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微軟正黑體" w:cs="微軟正黑體" w:eastAsia="微軟正黑體" w:hAnsi="微軟正黑體"/>
          <w:color w:val="555555"/>
          <w:sz w:val="24"/>
          <w:szCs w:val="24"/>
        </w:rPr>
        <w:t xml:space="preserve">台灣國際造船股份有限公司　高雄廠</w:t>
      </w:r>
    </w:p>
    <w:p>
      <w:pPr>
        <w:spacing w:after="120"/>
        <w:jc w:val="center"/>
      </w:pPr>
      <w:r>
        <w:rPr>
          <w:rFonts w:ascii="微軟正黑體" w:cs="微軟正黑體" w:eastAsia="微軟正黑體" w:hAnsi="微軟正黑體"/>
          <w:b/>
          <w:bCs/>
          <w:color w:val="1F3864"/>
          <w:sz w:val="46"/>
          <w:szCs w:val="46"/>
        </w:rPr>
        <w:t xml:space="preserve">營建工程低碳精進</w:t>
      </w:r>
    </w:p>
    <w:p>
      <w:pPr>
        <w:spacing w:after="300"/>
        <w:jc w:val="center"/>
      </w:pPr>
      <w:r>
        <w:rPr>
          <w:rFonts w:ascii="微軟正黑體" w:cs="微軟正黑體" w:eastAsia="微軟正黑體" w:hAnsi="微軟正黑體"/>
          <w:b/>
          <w:bCs/>
          <w:color w:val="1F3864"/>
          <w:sz w:val="46"/>
          <w:szCs w:val="46"/>
        </w:rPr>
        <w:t xml:space="preserve">暨施工風險治理服務建議書</w:t>
      </w:r>
    </w:p>
    <w:p>
      <w:pPr>
        <w:spacing w:after="900"/>
        <w:jc w:val="center"/>
      </w:pPr>
      <w:r>
        <w:rPr>
          <w:rFonts w:ascii="微軟正黑體" w:cs="微軟正黑體" w:eastAsia="微軟正黑體" w:hAnsi="微軟正黑體"/>
          <w:color w:val="2E5496"/>
          <w:sz w:val="22"/>
          <w:szCs w:val="22"/>
        </w:rPr>
        <w:t xml:space="preserve">以現況基線為起點，把不確定性收斂成可核定的決策</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200"/>
        <w:gridCol w:w="6826"/>
      </w:tblGrid>
      <w:tr>
        <w:trPr>
          <w:tblHeader/>
        </w:trPr>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68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內　容</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提報單位</w:t>
            </w:r>
          </w:p>
        </w:tc>
        <w:tc>
          <w:tcPr>
            <w:tcW w:type="dxa" w:w="6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台船防蝕科技股份有限公司　／　營造承攬單位（正式名稱請提報前填列）</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標　的</w:t>
            </w:r>
          </w:p>
        </w:tc>
        <w:tc>
          <w:tcPr>
            <w:tcW w:type="dxa" w:w="6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新增庫房、改建廠房（潛船廠房、潛機廠房）、大船塢、小船塢、一至四號碼頭</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文件版本</w:t>
            </w:r>
          </w:p>
        </w:tc>
        <w:tc>
          <w:tcPr>
            <w:tcW w:type="dxa" w:w="6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第二版　整合修訂</w:t>
            </w:r>
          </w:p>
        </w:tc>
      </w:tr>
      <w:tr>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提報日期</w:t>
            </w:r>
          </w:p>
        </w:tc>
        <w:tc>
          <w:tcPr>
            <w:tcW w:type="dxa" w:w="6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中華民國 115 年 8 月</w:t>
            </w:r>
          </w:p>
        </w:tc>
      </w:tr>
      <w:tr>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文件性質</w:t>
            </w:r>
          </w:p>
        </w:tc>
        <w:tc>
          <w:tcPr>
            <w:tcW w:type="dxa" w:w="6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服務建議書（草案），承諾事項以第肆至柒章為限</w:t>
            </w:r>
          </w:p>
        </w:tc>
      </w:tr>
    </w:tbl>
    <w:p>
      <w:pPr>
        <w:spacing w:before="400"/>
      </w:pPr>
      <w:r>
        <w:rPr>
          <w:rFonts w:ascii="微軟正黑體" w:cs="微軟正黑體" w:eastAsia="微軟正黑體" w:hAnsi="微軟正黑體"/>
          <w:color w:val="777777"/>
          <w:sz w:val="18"/>
          <w:szCs w:val="18"/>
        </w:rPr>
        <w:t xml:space="preserve">本建議書之承諾事項與選項事項分列。第捌章所列項目於取得業主及主管機關核准前，不構成履約義務。</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壹、服務定位</w:t>
      </w:r>
    </w:p>
    <w:p>
      <w:pPr>
        <w:spacing w:after="100" w:before="240"/>
      </w:pPr>
      <w:r>
        <w:rPr>
          <w:rFonts w:ascii="微軟正黑體" w:cs="微軟正黑體" w:eastAsia="微軟正黑體" w:hAnsi="微軟正黑體"/>
          <w:b/>
          <w:bCs/>
          <w:color w:val="2E5496"/>
          <w:sz w:val="23"/>
          <w:szCs w:val="23"/>
        </w:rPr>
        <w:t xml:space="preserve">一之一　本建議書之修訂緣由</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本建議書係就前版規劃內容進行全面檢核後之修訂版本。修訂重點有四：</w:t>
      </w:r>
    </w:p>
    <w:p>
      <w:pPr>
        <w:spacing w:after="90" w:line="300"/>
        <w:ind w:left="340" w:hanging="200"/>
      </w:pPr>
      <w:r>
        <w:rPr>
          <w:rFonts w:ascii="微軟正黑體" w:cs="微軟正黑體" w:eastAsia="微軟正黑體" w:hAnsi="微軟正黑體"/>
          <w:sz w:val="21"/>
          <w:szCs w:val="21"/>
        </w:rPr>
        <w:t xml:space="preserve">‧ 將服務事項區分為核心承諾、選項服務與待確認事項三個層級，避免在協力資源尚未到位前形成無條件履約義務。</w:t>
      </w:r>
    </w:p>
    <w:p>
      <w:pPr>
        <w:spacing w:after="90" w:line="300"/>
        <w:ind w:left="340" w:hanging="200"/>
      </w:pPr>
      <w:r>
        <w:rPr>
          <w:rFonts w:ascii="微軟正黑體" w:cs="微軟正黑體" w:eastAsia="微軟正黑體" w:hAnsi="微軟正黑體"/>
          <w:sz w:val="21"/>
          <w:szCs w:val="21"/>
        </w:rPr>
        <w:t xml:space="preserve">‧ 新增施工風險治理主軸，補足前版僅有技術訴求而缺乏管理架構之缺口。</w:t>
      </w:r>
    </w:p>
    <w:p>
      <w:pPr>
        <w:spacing w:after="90" w:line="300"/>
        <w:ind w:left="340" w:hanging="200"/>
      </w:pPr>
      <w:r>
        <w:rPr>
          <w:rFonts w:ascii="微軟正黑體" w:cs="微軟正黑體" w:eastAsia="微軟正黑體" w:hAnsi="微軟正黑體"/>
          <w:sz w:val="21"/>
          <w:szCs w:val="21"/>
        </w:rPr>
        <w:t xml:space="preserve">‧ 更正前版現況資料之時序誤差與名詞誤植，並將尚待查證事項明列於第二章之六。</w:t>
      </w:r>
    </w:p>
    <w:p>
      <w:pPr>
        <w:spacing w:after="90" w:line="300"/>
        <w:ind w:left="340" w:hanging="200"/>
      </w:pPr>
      <w:r>
        <w:rPr>
          <w:rFonts w:ascii="微軟正黑體" w:cs="微軟正黑體" w:eastAsia="微軟正黑體" w:hAnsi="微軟正黑體"/>
          <w:sz w:val="21"/>
          <w:szCs w:val="21"/>
        </w:rPr>
        <w:t xml:space="preserve">‧ 依協力團隊實際能量重新配置分工，刪除無對應執行單位之技術項目。</w:t>
      </w:r>
    </w:p>
    <w:p>
      <w:pPr>
        <w:spacing w:after="100" w:before="240"/>
      </w:pPr>
      <w:r>
        <w:rPr>
          <w:rFonts w:ascii="微軟正黑體" w:cs="微軟正黑體" w:eastAsia="微軟正黑體" w:hAnsi="微軟正黑體"/>
          <w:b/>
          <w:bCs/>
          <w:color w:val="2E5496"/>
          <w:sz w:val="23"/>
          <w:szCs w:val="23"/>
        </w:rPr>
        <w:t xml:space="preserve">一之二　兩條服務主軸</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本案標的橫跨新建、改建、既有結構延壽三種型態，其風險性質並不相同。本建議書據此設定兩條主軸：</w:t>
      </w:r>
    </w:p>
    <w:p>
      <w:pPr>
        <w:spacing w:after="70" w:before="160"/>
      </w:pPr>
      <w:r>
        <w:rPr>
          <w:rFonts w:ascii="微軟正黑體" w:cs="微軟正黑體" w:eastAsia="微軟正黑體" w:hAnsi="微軟正黑體"/>
          <w:b/>
          <w:bCs/>
          <w:color w:val="333333"/>
          <w:sz w:val="21"/>
          <w:szCs w:val="21"/>
        </w:rPr>
        <w:t xml:space="preserve">主軸 A：施工風險治理（適用新增庫房、改建廠房）</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新建庫房與改建廠房之最大成本風險來自既有條件不明與資訊分散。標的物之結構、開口、管道與設備動線一旦定型，越晚發現問題，處理成本越高。本主軸之作法為先建立經核定的現況基線，再讓後續設計、採購與施工決策全部回到同一份證據，並以四道決策 Gate 控制推進節奏。</w:t>
      </w:r>
    </w:p>
    <w:p>
      <w:pPr>
        <w:spacing w:after="70" w:before="160"/>
      </w:pPr>
      <w:r>
        <w:rPr>
          <w:rFonts w:ascii="微軟正黑體" w:cs="微軟正黑體" w:eastAsia="微軟正黑體" w:hAnsi="微軟正黑體"/>
          <w:b/>
          <w:bCs/>
          <w:color w:val="333333"/>
          <w:sz w:val="21"/>
          <w:szCs w:val="21"/>
        </w:rPr>
        <w:t xml:space="preserve">主軸 B：低碳工法與現況數位化（適用全部標的）</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本主軸涵蓋抗鹽防蝕材料與塗裝、屋面外牆隔熱、低碳混凝土與再生鋼材、犧牲陽極防蝕、塢壁層縫防滲漏，以及船塢與碼頭之三維掃描與點雲建置。此部分均屬提報單位既有本業或已有實績之工項。</w:t>
      </w:r>
    </w:p>
    <w:p>
      <w:pPr>
        <w:shd w:fill="F2F5FA" w:val="clear"/>
        <w:spacing w:after="160" w:before="80" w:line="290"/>
        <w:ind w:left="220"/>
      </w:pPr>
      <w:r>
        <w:rPr>
          <w:rFonts w:ascii="微軟正黑體" w:cs="微軟正黑體" w:eastAsia="微軟正黑體" w:hAnsi="微軟正黑體"/>
          <w:color w:val="444444"/>
          <w:sz w:val="19"/>
          <w:szCs w:val="19"/>
        </w:rPr>
        <w:t xml:space="preserve">說明：低碳成效之量化必須建立在標單與現況資料之上。若無經核定的工項清單與現況基線，碳係數比選即缺乏比較基準。因此主軸 A 為主軸 B 的前置條件，兩者並非平行關係。</w:t>
      </w:r>
    </w:p>
    <w:p>
      <w:pPr>
        <w:spacing w:after="100" w:before="240"/>
      </w:pPr>
      <w:r>
        <w:rPr>
          <w:rFonts w:ascii="微軟正黑體" w:cs="微軟正黑體" w:eastAsia="微軟正黑體" w:hAnsi="微軟正黑體"/>
          <w:b/>
          <w:bCs/>
          <w:color w:val="2E5496"/>
          <w:sz w:val="23"/>
          <w:szCs w:val="23"/>
        </w:rPr>
        <w:t xml:space="preserve">一之三　承諾分層原則</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500"/>
        <w:gridCol w:w="3000"/>
        <w:gridCol w:w="4526"/>
      </w:tblGrid>
      <w:tr>
        <w:trPr>
          <w:tblHeader/>
        </w:trPr>
        <w:tc>
          <w:tcPr>
            <w:tcW w:type="dxa" w:w="15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層　級</w:t>
            </w:r>
          </w:p>
        </w:tc>
        <w:tc>
          <w:tcPr>
            <w:tcW w:type="dxa" w:w="3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定　義</w:t>
            </w:r>
          </w:p>
        </w:tc>
        <w:tc>
          <w:tcPr>
            <w:tcW w:type="dxa" w:w="45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契約效力</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核心承諾</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提報單位或已到位之協力團隊具備執行能量，且不受第三方核准影響之項目</w:t>
            </w:r>
          </w:p>
        </w:tc>
        <w:tc>
          <w:tcPr>
            <w:tcW w:type="dxa" w:w="4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列為履約義務，納入計價</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選項服務</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技術可行但須經業主、軍方或主管機關核准，或須另覓協力單位之項目</w:t>
            </w:r>
          </w:p>
        </w:tc>
        <w:tc>
          <w:tcPr>
            <w:tcW w:type="dxa" w:w="4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經核准後另案提送規劃書及報價，核准前不構成義務</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待確認事項</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前提條件尚未釐清，影響服務範圍與可行性之項目</w:t>
            </w:r>
          </w:p>
        </w:tc>
        <w:tc>
          <w:tcPr>
            <w:tcW w:type="dxa" w:w="4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不列入本次承諾，請業主協助釐清</w:t>
            </w:r>
          </w:p>
        </w:tc>
      </w:tr>
    </w:tbl>
    <w:p>
      <w:pPr>
        <w:shd w:fill="F2F5FA" w:val="clear"/>
        <w:spacing w:after="160" w:before="80" w:line="290"/>
        <w:ind w:left="220"/>
      </w:pPr>
      <w:r>
        <w:rPr>
          <w:rFonts w:ascii="微軟正黑體" w:cs="微軟正黑體" w:eastAsia="微軟正黑體" w:hAnsi="微軟正黑體"/>
          <w:color w:val="444444"/>
          <w:sz w:val="19"/>
          <w:szCs w:val="19"/>
        </w:rPr>
        <w:t xml:space="preserve">前版將數位監測與能源管理列入延伸服務章節以避免墊高主體單價。此作法於最有利標評選下具有風險：技術建議書中受評分之承諾，實務上多被認定為履約內容。本版改以上述三層架構處理，收費與義務範圍一致。</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貳、標的物範圍與現況認知</w:t>
      </w:r>
    </w:p>
    <w:p>
      <w:pPr>
        <w:spacing w:after="100" w:before="240"/>
      </w:pPr>
      <w:r>
        <w:rPr>
          <w:rFonts w:ascii="微軟正黑體" w:cs="微軟正黑體" w:eastAsia="微軟正黑體" w:hAnsi="微軟正黑體"/>
          <w:b/>
          <w:bCs/>
          <w:color w:val="2E5496"/>
          <w:sz w:val="23"/>
          <w:szCs w:val="23"/>
        </w:rPr>
        <w:t xml:space="preserve">二之一　新增庫房</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平面尺寸約 58 公尺乘 22 公尺，地上三層。單層建築面積約 386 坪，三層合計約 1,158 坪。</w:t>
      </w:r>
    </w:p>
    <w:p>
      <w:pPr>
        <w:spacing w:after="90" w:line="300"/>
        <w:ind w:left="340" w:hanging="200"/>
      </w:pPr>
      <w:r>
        <w:rPr>
          <w:rFonts w:ascii="微軟正黑體" w:cs="微軟正黑體" w:eastAsia="微軟正黑體" w:hAnsi="微軟正黑體"/>
          <w:sz w:val="21"/>
          <w:szCs w:val="21"/>
        </w:rPr>
        <w:t xml:space="preserve">‧ 一樓設置天車軌道，供大型物料進出與吊卸。</w:t>
      </w:r>
    </w:p>
    <w:p>
      <w:pPr>
        <w:spacing w:after="90" w:line="300"/>
        <w:ind w:left="340" w:hanging="200"/>
      </w:pPr>
      <w:r>
        <w:rPr>
          <w:rFonts w:ascii="微軟正黑體" w:cs="微軟正黑體" w:eastAsia="微軟正黑體" w:hAnsi="微軟正黑體"/>
          <w:sz w:val="21"/>
          <w:szCs w:val="21"/>
        </w:rPr>
        <w:t xml:space="preserve">‧ 設置載貨電梯一部，內部淨尺寸約 4 公尺乘 3.5 公尺，高度約 4 公尺。</w:t>
      </w:r>
    </w:p>
    <w:p>
      <w:pPr>
        <w:spacing w:after="90" w:line="300"/>
        <w:ind w:left="340" w:hanging="200"/>
      </w:pPr>
      <w:r>
        <w:rPr>
          <w:rFonts w:ascii="微軟正黑體" w:cs="微軟正黑體" w:eastAsia="微軟正黑體" w:hAnsi="微軟正黑體"/>
          <w:sz w:val="21"/>
          <w:szCs w:val="21"/>
        </w:rPr>
        <w:t xml:space="preserve">‧ 二樓及三樓規劃堆高機作業，樓版須依實際機型荷重與轉彎半徑檢核。</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本項工程依業主規定須具備甲級營造業資格，故由營造部門主導承攬，防蝕部門承接防蝕塗裝及相關工項。</w:t>
      </w:r>
    </w:p>
    <w:p>
      <w:pPr>
        <w:shd w:fill="F2F5FA" w:val="clear"/>
        <w:spacing w:after="160" w:before="80" w:line="290"/>
        <w:ind w:left="220"/>
      </w:pPr>
      <w:r>
        <w:rPr>
          <w:rFonts w:ascii="微軟正黑體" w:cs="微軟正黑體" w:eastAsia="微軟正黑體" w:hAnsi="微軟正黑體"/>
          <w:color w:val="444444"/>
          <w:sz w:val="19"/>
          <w:szCs w:val="19"/>
        </w:rPr>
        <w:t xml:space="preserve">前版誤植：單層建築面積前版記載為 3,868 坪。依 58 公尺乘 22 公尺換算，單層應為 386 坪，三層合計 1,158 坪，本版已更正。</w:t>
      </w:r>
    </w:p>
    <w:p>
      <w:pPr>
        <w:spacing w:after="100" w:before="240"/>
      </w:pPr>
      <w:r>
        <w:rPr>
          <w:rFonts w:ascii="微軟正黑體" w:cs="微軟正黑體" w:eastAsia="微軟正黑體" w:hAnsi="微軟正黑體"/>
          <w:b/>
          <w:bCs/>
          <w:color w:val="2E5496"/>
          <w:sz w:val="23"/>
          <w:szCs w:val="23"/>
        </w:rPr>
        <w:t xml:space="preserve">二之二　改建廠房（潛船廠房、潛機廠房）</w:t>
      </w:r>
    </w:p>
    <w:p>
      <w:pPr>
        <w:spacing w:after="70" w:before="160"/>
      </w:pPr>
      <w:r>
        <w:rPr>
          <w:rFonts w:ascii="微軟正黑體" w:cs="微軟正黑體" w:eastAsia="微軟正黑體" w:hAnsi="微軟正黑體"/>
          <w:b/>
          <w:bCs/>
          <w:color w:val="333333"/>
          <w:sz w:val="21"/>
          <w:szCs w:val="21"/>
        </w:rPr>
        <w:t xml:space="preserve">潛船廠房</w:t>
      </w:r>
    </w:p>
    <w:p>
      <w:pPr>
        <w:spacing w:after="90" w:line="300"/>
        <w:ind w:left="340" w:hanging="200"/>
      </w:pPr>
      <w:r>
        <w:rPr>
          <w:rFonts w:ascii="微軟正黑體" w:cs="微軟正黑體" w:eastAsia="微軟正黑體" w:hAnsi="微軟正黑體"/>
          <w:sz w:val="21"/>
          <w:szCs w:val="21"/>
        </w:rPr>
        <w:t xml:space="preserve">‧ 主體向後延伸約 23 公尺。</w:t>
      </w:r>
    </w:p>
    <w:p>
      <w:pPr>
        <w:spacing w:after="90" w:line="300"/>
        <w:ind w:left="340" w:hanging="200"/>
      </w:pPr>
      <w:r>
        <w:rPr>
          <w:rFonts w:ascii="微軟正黑體" w:cs="微軟正黑體" w:eastAsia="微軟正黑體" w:hAnsi="微軟正黑體"/>
          <w:sz w:val="21"/>
          <w:szCs w:val="21"/>
        </w:rPr>
        <w:t xml:space="preserve">‧ 新增 15 公噸龍門天車一部，含軌道系統及對應之結構承載檢討。</w:t>
      </w:r>
    </w:p>
    <w:p>
      <w:pPr>
        <w:spacing w:after="90" w:line="300"/>
        <w:ind w:left="340" w:hanging="200"/>
      </w:pPr>
      <w:r>
        <w:rPr>
          <w:rFonts w:ascii="微軟正黑體" w:cs="微軟正黑體" w:eastAsia="微軟正黑體" w:hAnsi="微軟正黑體"/>
          <w:sz w:val="21"/>
          <w:szCs w:val="21"/>
        </w:rPr>
        <w:t xml:space="preserve">‧ 前門為 15 公尺乘 8 公尺特殊規格門，後門為 8 公尺乘 8 公尺鐵捲門。</w:t>
      </w:r>
    </w:p>
    <w:p>
      <w:pPr>
        <w:spacing w:after="90" w:line="300"/>
        <w:ind w:left="340" w:hanging="200"/>
      </w:pPr>
      <w:r>
        <w:rPr>
          <w:rFonts w:ascii="微軟正黑體" w:cs="微軟正黑體" w:eastAsia="微軟正黑體" w:hAnsi="微軟正黑體"/>
          <w:sz w:val="21"/>
          <w:szCs w:val="21"/>
        </w:rPr>
        <w:t xml:space="preserve">‧ 屋面及外牆鐵皮浪板全面更換，同步提升隔熱性能。</w:t>
      </w:r>
    </w:p>
    <w:p>
      <w:pPr>
        <w:spacing w:after="90" w:line="300"/>
        <w:ind w:left="340" w:hanging="200"/>
      </w:pPr>
      <w:r>
        <w:rPr>
          <w:rFonts w:ascii="微軟正黑體" w:cs="微軟正黑體" w:eastAsia="微軟正黑體" w:hAnsi="微軟正黑體"/>
          <w:sz w:val="21"/>
          <w:szCs w:val="21"/>
        </w:rPr>
        <w:t xml:space="preserve">‧ 通風球、照明系統及配電系統一併更新。</w:t>
      </w:r>
    </w:p>
    <w:p>
      <w:pPr>
        <w:spacing w:after="70" w:before="160"/>
      </w:pPr>
      <w:r>
        <w:rPr>
          <w:rFonts w:ascii="微軟正黑體" w:cs="微軟正黑體" w:eastAsia="微軟正黑體" w:hAnsi="微軟正黑體"/>
          <w:b/>
          <w:bCs/>
          <w:color w:val="333333"/>
          <w:sz w:val="21"/>
          <w:szCs w:val="21"/>
        </w:rPr>
        <w:t xml:space="preserve">潛機廠房</w:t>
      </w:r>
    </w:p>
    <w:p>
      <w:pPr>
        <w:spacing w:after="90" w:line="300"/>
        <w:ind w:left="340" w:hanging="200"/>
      </w:pPr>
      <w:r>
        <w:rPr>
          <w:rFonts w:ascii="微軟正黑體" w:cs="微軟正黑體" w:eastAsia="微軟正黑體" w:hAnsi="微軟正黑體"/>
          <w:sz w:val="21"/>
          <w:szCs w:val="21"/>
        </w:rPr>
        <w:t xml:space="preserve">‧ 依結構技師評估結果辦理廠房結構補強。</w:t>
      </w:r>
    </w:p>
    <w:p>
      <w:pPr>
        <w:spacing w:after="90" w:line="300"/>
        <w:ind w:left="340" w:hanging="200"/>
      </w:pPr>
      <w:r>
        <w:rPr>
          <w:rFonts w:ascii="微軟正黑體" w:cs="微軟正黑體" w:eastAsia="微軟正黑體" w:hAnsi="微軟正黑體"/>
          <w:sz w:val="21"/>
          <w:szCs w:val="21"/>
        </w:rPr>
        <w:t xml:space="preserve">‧ 屋面及外牆整修，含防蝕塗裝。</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提報單位已承攬並完成該區廠房改建工程，具備現場作業經驗與既有介面關係，為本次承攬之重要基礎。</w:t>
      </w:r>
    </w:p>
    <w:p>
      <w:pPr>
        <w:shd w:fill="F2F5FA" w:val="clear"/>
        <w:spacing w:after="160" w:before="80" w:line="290"/>
        <w:ind w:left="220"/>
      </w:pPr>
      <w:r>
        <w:rPr>
          <w:rFonts w:ascii="微軟正黑體" w:cs="微軟正黑體" w:eastAsia="微軟正黑體" w:hAnsi="微軟正黑體"/>
          <w:color w:val="444444"/>
          <w:sz w:val="19"/>
          <w:szCs w:val="19"/>
        </w:rPr>
        <w:t xml:space="preserve">風險提示：本項工程之主要不確定性在於既有結構現況、既有開口位置、既有管線走向與設備進場動線。新增龍門天車軌道與 15 公尺乘 8 公尺特規門，均須以精確之既有結構資料為前提。此為第肆章現況基線作業之首要標的。</w:t>
      </w:r>
    </w:p>
    <w:p>
      <w:pPr>
        <w:spacing w:after="100" w:before="240"/>
      </w:pPr>
      <w:r>
        <w:rPr>
          <w:rFonts w:ascii="微軟正黑體" w:cs="微軟正黑體" w:eastAsia="微軟正黑體" w:hAnsi="微軟正黑體"/>
          <w:b/>
          <w:bCs/>
          <w:color w:val="2E5496"/>
          <w:sz w:val="23"/>
          <w:szCs w:val="23"/>
        </w:rPr>
        <w:t xml:space="preserve">二之三　大船塢</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平面尺寸約 950 公尺乘 92 公尺，深度約 12 公尺。</w:t>
      </w:r>
    </w:p>
    <w:p>
      <w:pPr>
        <w:spacing w:after="90" w:line="300"/>
        <w:ind w:left="340" w:hanging="200"/>
      </w:pPr>
      <w:r>
        <w:rPr>
          <w:rFonts w:ascii="微軟正黑體" w:cs="微軟正黑體" w:eastAsia="微軟正黑體" w:hAnsi="微軟正黑體"/>
          <w:sz w:val="21"/>
          <w:szCs w:val="21"/>
        </w:rPr>
        <w:t xml:space="preserve">‧ 塢壁混凝土局部剝落，鋼筋外露。劣化最顯著之區段位於水位變動帶與飛沫帶，該區段因乾濕交替使氧氣供應充足，鋼筋腐蝕速率高於長期浸沒區段。</w:t>
      </w:r>
    </w:p>
    <w:p>
      <w:pPr>
        <w:spacing w:after="90" w:line="300"/>
        <w:ind w:left="340" w:hanging="200"/>
      </w:pPr>
      <w:r>
        <w:rPr>
          <w:rFonts w:ascii="微軟正黑體" w:cs="微軟正黑體" w:eastAsia="微軟正黑體" w:hAnsi="微軟正黑體"/>
          <w:sz w:val="21"/>
          <w:szCs w:val="21"/>
        </w:rPr>
        <w:t xml:space="preserve">‧ 塢壁施工層縫滲漏。0 至 400 公尺區段之防滲漏工程已由提報單位完成，其餘區段尚待辦理。</w:t>
      </w:r>
    </w:p>
    <w:p>
      <w:pPr>
        <w:spacing w:after="90" w:line="300"/>
        <w:ind w:left="340" w:hanging="200"/>
      </w:pPr>
      <w:r>
        <w:rPr>
          <w:rFonts w:ascii="微軟正黑體" w:cs="微軟正黑體" w:eastAsia="微軟正黑體" w:hAnsi="微軟正黑體"/>
          <w:sz w:val="21"/>
          <w:szCs w:val="21"/>
        </w:rPr>
        <w:t xml:space="preserve">‧ 塢底及塢壁鋼構件之犧牲陽極防蝕工程已於 113 年完成，並建立電位量測紀錄。</w:t>
      </w:r>
    </w:p>
    <w:p>
      <w:pPr>
        <w:spacing w:after="90" w:line="300"/>
        <w:ind w:left="340" w:hanging="200"/>
      </w:pPr>
      <w:r>
        <w:rPr>
          <w:rFonts w:ascii="微軟正黑體" w:cs="微軟正黑體" w:eastAsia="微軟正黑體" w:hAnsi="微軟正黑體"/>
          <w:sz w:val="21"/>
          <w:szCs w:val="21"/>
        </w:rPr>
        <w:t xml:space="preserve">‧ 大塢為營收資產，修造船進出塢排程直接排擠維修工程可施作時間。</w:t>
      </w:r>
    </w:p>
    <w:p>
      <w:pPr>
        <w:shd w:fill="F2F5FA" w:val="clear"/>
        <w:spacing w:after="160" w:before="80" w:line="290"/>
        <w:ind w:left="220"/>
      </w:pPr>
      <w:r>
        <w:rPr>
          <w:rFonts w:ascii="微軟正黑體" w:cs="微軟正黑體" w:eastAsia="微軟正黑體" w:hAnsi="微軟正黑體"/>
          <w:color w:val="444444"/>
          <w:sz w:val="19"/>
          <w:szCs w:val="19"/>
        </w:rPr>
        <w:t xml:space="preserve">前版用語修正：前版記載「混凝土已逾使用年限」。混凝土並無固定使用年限，設計使用年限為設計參數。四十年之鋼筋混凝土船塢並不當然達於結構壽命終點。本版改以「須辦理現況檢測評估」表述，避免於文件中作出無檢測依據之結構判定。</w:t>
      </w:r>
    </w:p>
    <w:p>
      <w:pPr>
        <w:spacing w:after="100" w:before="240"/>
      </w:pPr>
      <w:r>
        <w:rPr>
          <w:rFonts w:ascii="微軟正黑體" w:cs="微軟正黑體" w:eastAsia="微軟正黑體" w:hAnsi="微軟正黑體"/>
          <w:b/>
          <w:bCs/>
          <w:color w:val="2E5496"/>
          <w:sz w:val="23"/>
          <w:szCs w:val="23"/>
        </w:rPr>
        <w:t xml:space="preserve">二之四　小船塢</w:t>
      </w:r>
    </w:p>
    <w:p>
      <w:pPr>
        <w:spacing w:after="90" w:line="300"/>
        <w:ind w:left="340" w:hanging="200"/>
      </w:pPr>
      <w:r>
        <w:rPr>
          <w:rFonts w:ascii="微軟正黑體" w:cs="微軟正黑體" w:eastAsia="微軟正黑體" w:hAnsi="微軟正黑體"/>
          <w:sz w:val="21"/>
          <w:szCs w:val="21"/>
        </w:rPr>
        <w:t xml:space="preserve">‧ 進出塢頻繁，單次可施作期程短暫。</w:t>
      </w:r>
    </w:p>
    <w:p>
      <w:pPr>
        <w:spacing w:after="90" w:line="300"/>
        <w:ind w:left="340" w:hanging="200"/>
      </w:pPr>
      <w:r>
        <w:rPr>
          <w:rFonts w:ascii="微軟正黑體" w:cs="微軟正黑體" w:eastAsia="微軟正黑體" w:hAnsi="微軟正黑體"/>
          <w:sz w:val="21"/>
          <w:szCs w:val="21"/>
        </w:rPr>
        <w:t xml:space="preserve">‧ 塢壁及塢底有局部劣化情形。</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鑑於作業空窗期短，本案對小塢採取先建立監測與現況基線、累積趨勢資料後再決定分段補強範圍之順序，避免在資料不足時投入不可回復之工程。</w:t>
      </w:r>
    </w:p>
    <w:p>
      <w:pPr>
        <w:spacing w:after="100" w:before="240"/>
      </w:pPr>
      <w:r>
        <w:rPr>
          <w:rFonts w:ascii="微軟正黑體" w:cs="微軟正黑體" w:eastAsia="微軟正黑體" w:hAnsi="微軟正黑體"/>
          <w:b/>
          <w:bCs/>
          <w:color w:val="2E5496"/>
          <w:sz w:val="23"/>
          <w:szCs w:val="23"/>
        </w:rPr>
        <w:t xml:space="preserve">二之五　一號至四號碼頭</w:t>
      </w:r>
    </w:p>
    <w:p>
      <w:pPr>
        <w:spacing w:after="90" w:line="300"/>
        <w:ind w:left="340" w:hanging="200"/>
      </w:pPr>
      <w:r>
        <w:rPr>
          <w:rFonts w:ascii="微軟正黑體" w:cs="微軟正黑體" w:eastAsia="微軟正黑體" w:hAnsi="微軟正黑體"/>
          <w:sz w:val="21"/>
          <w:szCs w:val="21"/>
        </w:rPr>
        <w:t xml:space="preserve">‧ 建置年代分別為民國 80 年代及民國 60 年代初期。以民國 115 年計算，使用年數約為 35 年至 55 年。</w:t>
      </w:r>
    </w:p>
    <w:p>
      <w:pPr>
        <w:spacing w:after="90" w:line="300"/>
        <w:ind w:left="340" w:hanging="200"/>
      </w:pPr>
      <w:r>
        <w:rPr>
          <w:rFonts w:ascii="微軟正黑體" w:cs="微軟正黑體" w:eastAsia="微軟正黑體" w:hAnsi="微軟正黑體"/>
          <w:sz w:val="21"/>
          <w:szCs w:val="21"/>
        </w:rPr>
        <w:t xml:space="preserve">‧ 土地及設施產權非提報單位或業主所有，係向台灣港務股份有限公司高雄港務分公司承租。</w:t>
      </w:r>
    </w:p>
    <w:p>
      <w:pPr>
        <w:spacing w:after="90" w:line="300"/>
        <w:ind w:left="340" w:hanging="200"/>
      </w:pPr>
      <w:r>
        <w:rPr>
          <w:rFonts w:ascii="微軟正黑體" w:cs="微軟正黑體" w:eastAsia="微軟正黑體" w:hAnsi="微軟正黑體"/>
          <w:sz w:val="21"/>
          <w:szCs w:val="21"/>
        </w:rPr>
        <w:t xml:space="preserve">‧ 民國 106 年曾委託專業廠商辦理水下結構安全評估，該報告為本次現況判斷之既有依據。</w:t>
      </w:r>
    </w:p>
    <w:p>
      <w:pPr>
        <w:shd w:fill="F2F5FA" w:val="clear"/>
        <w:spacing w:after="160" w:before="80" w:line="290"/>
        <w:ind w:left="220"/>
      </w:pPr>
      <w:r>
        <w:rPr>
          <w:rFonts w:ascii="微軟正黑體" w:cs="微軟正黑體" w:eastAsia="微軟正黑體" w:hAnsi="微軟正黑體"/>
          <w:color w:val="444444"/>
          <w:sz w:val="19"/>
          <w:szCs w:val="19"/>
        </w:rPr>
        <w:t xml:space="preserve">前版誤植兩處：其一，前版記載碼頭「已使用逾 24 至 44 年」。該組數字係以民國 104 年前後為基準推算，至民國 115 年已有 11 年時序落差，本版更正為 35 至 55 年。其二，前版記載之「高雄港務局」已於民國 101 年改制為台灣港務股份有限公司高雄港務分公司，本版更正名稱。</w:t>
      </w:r>
    </w:p>
    <w:p>
      <w:pPr>
        <w:spacing w:after="100" w:before="240"/>
      </w:pPr>
      <w:r>
        <w:rPr>
          <w:rFonts w:ascii="微軟正黑體" w:cs="微軟正黑體" w:eastAsia="微軟正黑體" w:hAnsi="微軟正黑體"/>
          <w:b/>
          <w:bCs/>
          <w:color w:val="2E5496"/>
          <w:sz w:val="23"/>
          <w:szCs w:val="23"/>
        </w:rPr>
        <w:t xml:space="preserve">二之六　現況資料待查證事項</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下列資料於本建議書提報時尚未取得確認，將於現況基線作業階段查證後更新：</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600"/>
        <w:gridCol w:w="3400"/>
        <w:gridCol w:w="3026"/>
      </w:tblGrid>
      <w:tr>
        <w:trPr>
          <w:tblHeader/>
        </w:trPr>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3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待查證內容</w:t>
            </w:r>
          </w:p>
        </w:tc>
        <w:tc>
          <w:tcPr>
            <w:tcW w:type="dxa" w:w="30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影響範圍</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大船塢竣工年份</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前版記載使用逾 40 餘年，實際竣工年份待查</w:t>
            </w:r>
          </w:p>
        </w:tc>
        <w:tc>
          <w:tcPr>
            <w:tcW w:type="dxa" w:w="3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結構評估基準、耐久性推估</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小船塢竣工年份</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前版記載使用逾 30 餘年，實際竣工年份待查</w:t>
            </w:r>
          </w:p>
        </w:tc>
        <w:tc>
          <w:tcPr>
            <w:tcW w:type="dxa" w:w="3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同上</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碼頭租約年期</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剩餘租賃年限及續約條件</w:t>
            </w:r>
          </w:p>
        </w:tc>
        <w:tc>
          <w:tcPr>
            <w:tcW w:type="dxa" w:w="3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延壽投資回收年限、永久性設施可行性</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廠房既有結構圖說</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原始結構計算書、竣工圖及歷次補強紀錄</w:t>
            </w:r>
          </w:p>
        </w:tc>
        <w:tc>
          <w:tcPr>
            <w:tcW w:type="dxa" w:w="3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天車荷重檢討、補強設計</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106 年水下評估報告</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報告全文、量測位置與判定準則</w:t>
            </w:r>
          </w:p>
        </w:tc>
        <w:tc>
          <w:tcPr>
            <w:tcW w:type="dxa" w:w="3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碼頭劣化趨勢比對基準</w:t>
            </w:r>
          </w:p>
        </w:tc>
      </w:tr>
    </w:tbl>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參、承攬架構與團隊分工</w:t>
      </w:r>
    </w:p>
    <w:p>
      <w:pPr>
        <w:spacing w:after="100" w:before="240"/>
      </w:pPr>
      <w:r>
        <w:rPr>
          <w:rFonts w:ascii="微軟正黑體" w:cs="微軟正黑體" w:eastAsia="微軟正黑體" w:hAnsi="微軟正黑體"/>
          <w:b/>
          <w:bCs/>
          <w:color w:val="2E5496"/>
          <w:sz w:val="23"/>
          <w:szCs w:val="23"/>
        </w:rPr>
        <w:t xml:space="preserve">三之一　承攬架構</w:t>
      </w:r>
    </w:p>
    <w:p>
      <w:pPr>
        <w:spacing w:after="90" w:line="300"/>
        <w:ind w:left="340" w:hanging="200"/>
      </w:pPr>
      <w:r>
        <w:rPr>
          <w:rFonts w:ascii="微軟正黑體" w:cs="微軟正黑體" w:eastAsia="微軟正黑體" w:hAnsi="微軟正黑體"/>
          <w:sz w:val="21"/>
          <w:szCs w:val="21"/>
        </w:rPr>
        <w:t xml:space="preserve">‧ 新增庫房：由營造部門主導承攬，防蝕部門承接防蝕塗裝及相關工項。</w:t>
      </w:r>
    </w:p>
    <w:p>
      <w:pPr>
        <w:spacing w:after="90" w:line="300"/>
        <w:ind w:left="340" w:hanging="200"/>
      </w:pPr>
      <w:r>
        <w:rPr>
          <w:rFonts w:ascii="微軟正黑體" w:cs="微軟正黑體" w:eastAsia="微軟正黑體" w:hAnsi="微軟正黑體"/>
          <w:sz w:val="21"/>
          <w:szCs w:val="21"/>
        </w:rPr>
        <w:t xml:space="preserve">‧ 改建廠房：由防蝕部門主導承攬，營造部門支援結構補強相關作業。</w:t>
      </w:r>
    </w:p>
    <w:p>
      <w:pPr>
        <w:spacing w:after="90" w:line="300"/>
        <w:ind w:left="340" w:hanging="200"/>
      </w:pPr>
      <w:r>
        <w:rPr>
          <w:rFonts w:ascii="微軟正黑體" w:cs="微軟正黑體" w:eastAsia="微軟正黑體" w:hAnsi="微軟正黑體"/>
          <w:sz w:val="21"/>
          <w:szCs w:val="21"/>
        </w:rPr>
        <w:t xml:space="preserve">‧ 大小船塢：兩單位共同承攬。物料供應及施工架搭拆由防蝕部門負責，結構評估及改善由營造部門負責。</w:t>
      </w:r>
    </w:p>
    <w:p>
      <w:pPr>
        <w:spacing w:after="90" w:line="300"/>
        <w:ind w:left="340" w:hanging="200"/>
      </w:pPr>
      <w:r>
        <w:rPr>
          <w:rFonts w:ascii="微軟正黑體" w:cs="微軟正黑體" w:eastAsia="微軟正黑體" w:hAnsi="微軟正黑體"/>
          <w:sz w:val="21"/>
          <w:szCs w:val="21"/>
        </w:rPr>
        <w:t xml:space="preserve">‧ 一至四號碼頭：以現況數位化、防蝕維護及監測為主要範圍，結構補強俟評估後另行議定。</w:t>
      </w:r>
    </w:p>
    <w:p>
      <w:pPr>
        <w:spacing w:after="100" w:before="240"/>
      </w:pPr>
      <w:r>
        <w:rPr>
          <w:rFonts w:ascii="微軟正黑體" w:cs="微軟正黑體" w:eastAsia="微軟正黑體" w:hAnsi="微軟正黑體"/>
          <w:b/>
          <w:bCs/>
          <w:color w:val="2E5496"/>
          <w:sz w:val="23"/>
          <w:szCs w:val="23"/>
        </w:rPr>
        <w:t xml:space="preserve">三之二　協力團隊組成</w:t>
      </w:r>
    </w:p>
    <w:p>
      <w:pPr>
        <w:spacing w:after="70" w:before="160"/>
      </w:pPr>
      <w:r>
        <w:rPr>
          <w:rFonts w:ascii="微軟正黑體" w:cs="微軟正黑體" w:eastAsia="微軟正黑體" w:hAnsi="微軟正黑體"/>
          <w:b/>
          <w:bCs/>
          <w:color w:val="333333"/>
          <w:sz w:val="21"/>
          <w:szCs w:val="21"/>
        </w:rPr>
        <w:t xml:space="preserve">（一）數位治理協力廠商</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負責新增庫房及改建廠房之現況盤查、機電整合建模、碰撞與淨空檢核、變更與標單治理、共用平台維運及竣工模型交付。</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該廠商具備既有結構現況盤查與建築機電整合之實務經驗，累計處理量體達五萬平方公尺級之既有結構專案，並具備完整之問題單生命週期管理與變更核定流程。</w:t>
      </w:r>
    </w:p>
    <w:p>
      <w:pPr>
        <w:spacing w:after="70" w:before="160"/>
      </w:pPr>
      <w:r>
        <w:rPr>
          <w:rFonts w:ascii="微軟正黑體" w:cs="微軟正黑體" w:eastAsia="微軟正黑體" w:hAnsi="微軟正黑體"/>
          <w:b/>
          <w:bCs/>
          <w:color w:val="333333"/>
          <w:sz w:val="21"/>
          <w:szCs w:val="21"/>
        </w:rPr>
        <w:t xml:space="preserve">（二）學研技術團隊</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由中國科技大學建築系相關研究團隊以產學合作方式提供技術支援，負責船塢及碼頭之三維掃描與點雲建置、數位孿生模型建立、以及沉浸式視覺化與教育訓練素材製作。</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該團隊於既有線形結構之數位孿生與檢測應用領域具備研究成果，包含古蹟隧道檢測維護之數位孿生與延展實境應用、光達點雲數位孿生之跨裝置感知比較研究等，並具備商用延展實境系統之實際交付經驗。相關成果已於國際研討會發表並收錄。</w:t>
      </w:r>
    </w:p>
    <w:p>
      <w:pPr>
        <w:shd w:fill="F2F5FA" w:val="clear"/>
        <w:spacing w:after="160" w:before="80" w:line="290"/>
        <w:ind w:left="220"/>
      </w:pPr>
      <w:r>
        <w:rPr>
          <w:rFonts w:ascii="微軟正黑體" w:cs="微軟正黑體" w:eastAsia="微軟正黑體" w:hAnsi="微軟正黑體"/>
          <w:color w:val="444444"/>
          <w:sz w:val="19"/>
          <w:szCs w:val="19"/>
        </w:rPr>
        <w:t xml:space="preserve">說明：古蹟隧道之長條形封閉結構、既有裂縫與滲漏、人工巡檢困難等特性，與船塢塢壁檢測具有高度可類比性。惟大船塢長度達 950 公尺，點雲資料量與處理工時與隧道案例存在數量級差距，作業期程及硬體配置將另行估算，不逕行援用既有案例之工期。</w:t>
      </w:r>
    </w:p>
    <w:p>
      <w:pPr>
        <w:spacing w:after="70" w:before="160"/>
      </w:pPr>
      <w:r>
        <w:rPr>
          <w:rFonts w:ascii="微軟正黑體" w:cs="微軟正黑體" w:eastAsia="微軟正黑體" w:hAnsi="微軟正黑體"/>
          <w:b/>
          <w:bCs/>
          <w:color w:val="333333"/>
          <w:sz w:val="21"/>
          <w:szCs w:val="21"/>
        </w:rPr>
        <w:t xml:space="preserve">（三）尚待覓合適單位之項目</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下列項目目前尚無對應之執行單位，列為選項服務，詳見第捌章：</w:t>
      </w:r>
    </w:p>
    <w:p>
      <w:pPr>
        <w:spacing w:after="90" w:line="300"/>
        <w:ind w:left="340" w:hanging="200"/>
      </w:pPr>
      <w:r>
        <w:rPr>
          <w:rFonts w:ascii="微軟正黑體" w:cs="微軟正黑體" w:eastAsia="微軟正黑體" w:hAnsi="微軟正黑體"/>
          <w:sz w:val="21"/>
          <w:szCs w:val="21"/>
        </w:rPr>
        <w:t xml:space="preserve">‧ 溫室氣體盤查、產品碳足跡與物質流成本會計之查證機構。</w:t>
      </w:r>
    </w:p>
    <w:p>
      <w:pPr>
        <w:spacing w:after="90" w:line="300"/>
        <w:ind w:left="340" w:hanging="200"/>
      </w:pPr>
      <w:r>
        <w:rPr>
          <w:rFonts w:ascii="微軟正黑體" w:cs="微軟正黑體" w:eastAsia="微軟正黑體" w:hAnsi="微軟正黑體"/>
          <w:sz w:val="21"/>
          <w:szCs w:val="21"/>
        </w:rPr>
        <w:t xml:space="preserve">‧ 人工智慧影像判釋之技術單位。</w:t>
      </w:r>
    </w:p>
    <w:p>
      <w:pPr>
        <w:spacing w:after="90" w:line="300"/>
        <w:ind w:left="340" w:hanging="200"/>
      </w:pPr>
      <w:r>
        <w:rPr>
          <w:rFonts w:ascii="微軟正黑體" w:cs="微軟正黑體" w:eastAsia="微軟正黑體" w:hAnsi="微軟正黑體"/>
          <w:sz w:val="21"/>
          <w:szCs w:val="21"/>
        </w:rPr>
        <w:t xml:space="preserve">‧ 水下無人載具作業之專業廠商。</w:t>
      </w:r>
    </w:p>
    <w:p>
      <w:pPr>
        <w:spacing w:after="90" w:line="300"/>
        <w:ind w:left="340" w:hanging="200"/>
      </w:pPr>
      <w:r>
        <w:rPr>
          <w:rFonts w:ascii="微軟正黑體" w:cs="微軟正黑體" w:eastAsia="微軟正黑體" w:hAnsi="微軟正黑體"/>
          <w:sz w:val="21"/>
          <w:szCs w:val="21"/>
        </w:rPr>
        <w:t xml:space="preserve">‧ 結構技師事務所（結構補強設計及簽證）。</w:t>
      </w:r>
    </w:p>
    <w:p>
      <w:pPr>
        <w:spacing w:after="90" w:line="300"/>
        <w:ind w:left="340" w:hanging="200"/>
      </w:pPr>
      <w:r>
        <w:rPr>
          <w:rFonts w:ascii="微軟正黑體" w:cs="微軟正黑體" w:eastAsia="微軟正黑體" w:hAnsi="微軟正黑體"/>
          <w:sz w:val="21"/>
          <w:szCs w:val="21"/>
        </w:rPr>
        <w:t xml:space="preserve">‧ 電力及儲能系統之設計與統包單位。</w:t>
      </w:r>
    </w:p>
    <w:p>
      <w:pPr>
        <w:spacing w:after="90" w:line="300"/>
        <w:ind w:left="340" w:hanging="200"/>
      </w:pPr>
      <w:r>
        <w:rPr>
          <w:rFonts w:ascii="微軟正黑體" w:cs="微軟正黑體" w:eastAsia="微軟正黑體" w:hAnsi="微軟正黑體"/>
          <w:sz w:val="21"/>
          <w:szCs w:val="21"/>
        </w:rPr>
        <w:t xml:space="preserve">‧ 防火避難綜合檢討之專業單位。</w:t>
      </w:r>
    </w:p>
    <w:p>
      <w:pPr>
        <w:spacing w:after="100" w:before="240"/>
      </w:pPr>
      <w:r>
        <w:rPr>
          <w:rFonts w:ascii="微軟正黑體" w:cs="微軟正黑體" w:eastAsia="微軟正黑體" w:hAnsi="微軟正黑體"/>
          <w:b/>
          <w:bCs/>
          <w:color w:val="2E5496"/>
          <w:sz w:val="23"/>
          <w:szCs w:val="23"/>
        </w:rPr>
        <w:t xml:space="preserve">三之三　責任界線</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400"/>
        <w:gridCol w:w="6626"/>
      </w:tblGrid>
      <w:tr>
        <w:trPr>
          <w:tblHeader/>
        </w:trPr>
        <w:tc>
          <w:tcPr>
            <w:tcW w:type="dxa" w:w="2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事　項</w:t>
            </w:r>
          </w:p>
        </w:tc>
        <w:tc>
          <w:tcPr>
            <w:tcW w:type="dxa" w:w="66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權責歸屬</w:t>
            </w:r>
          </w:p>
        </w:tc>
      </w:tr>
      <w:tr>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專案管理與現場統籌</w:t>
            </w:r>
          </w:p>
        </w:tc>
        <w:tc>
          <w:tcPr>
            <w:tcW w:type="dxa" w:w="66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由主承攬單位負責。協力廠商為技術分包，不具專案管理決定權。</w:t>
            </w:r>
          </w:p>
        </w:tc>
      </w:tr>
      <w:tr>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變更核定</w:t>
            </w:r>
          </w:p>
        </w:tc>
        <w:tc>
          <w:tcPr>
            <w:tcW w:type="dxa" w:w="66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核定權屬業主或業主授權人。協力廠商僅負責證據彙整、影響分析與建議。</w:t>
            </w:r>
          </w:p>
        </w:tc>
      </w:tr>
      <w:tr>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結構安全判定與設計簽證</w:t>
            </w:r>
          </w:p>
        </w:tc>
        <w:tc>
          <w:tcPr>
            <w:tcW w:type="dxa" w:w="66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由具執業資格之結構技師負責。學研團隊及數位治理廠商不承擔結構簽證責任。</w:t>
            </w:r>
          </w:p>
        </w:tc>
      </w:tr>
      <w:tr>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共用平台資料所有權</w:t>
            </w:r>
          </w:p>
        </w:tc>
        <w:tc>
          <w:tcPr>
            <w:tcW w:type="dxa" w:w="66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平台內之模型、照片、量測資料、問題單與決策紀錄，所有權歸屬業主。合約終止時完整移交。</w:t>
            </w:r>
          </w:p>
        </w:tc>
      </w:tr>
      <w:tr>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資訊安全與保密</w:t>
            </w:r>
          </w:p>
        </w:tc>
        <w:tc>
          <w:tcPr>
            <w:tcW w:type="dxa" w:w="66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全體協力人員均須簽署保密切結並配合身分查核，違反者由所屬單位負責。</w:t>
            </w:r>
          </w:p>
        </w:tc>
      </w:tr>
    </w:tbl>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肆、核心承諾服務事項 A：施工風險治理</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本章適用於新增庫房及改建廠房。</w:t>
      </w:r>
    </w:p>
    <w:p>
      <w:pPr>
        <w:spacing w:after="100" w:before="240"/>
      </w:pPr>
      <w:r>
        <w:rPr>
          <w:rFonts w:ascii="微軟正黑體" w:cs="微軟正黑體" w:eastAsia="微軟正黑體" w:hAnsi="微軟正黑體"/>
          <w:b/>
          <w:bCs/>
          <w:color w:val="2E5496"/>
          <w:sz w:val="23"/>
          <w:szCs w:val="23"/>
        </w:rPr>
        <w:t xml:space="preserve">四之一　現況基線建立</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於工程啟動後第一個月內完成，作為後續一切設計與採購之基準版本。</w:t>
      </w:r>
    </w:p>
    <w:p>
      <w:pPr>
        <w:spacing w:after="90" w:line="300"/>
        <w:ind w:left="340" w:hanging="200"/>
      </w:pPr>
      <w:r>
        <w:rPr>
          <w:rFonts w:ascii="微軟正黑體" w:cs="微軟正黑體" w:eastAsia="微軟正黑體" w:hAnsi="微軟正黑體"/>
          <w:sz w:val="21"/>
          <w:szCs w:val="21"/>
        </w:rPr>
        <w:t xml:space="preserve">‧ 既有結構實況盤查：結構體、樓版、核心區、機房及管道空間。</w:t>
      </w:r>
    </w:p>
    <w:p>
      <w:pPr>
        <w:spacing w:after="90" w:line="300"/>
        <w:ind w:left="340" w:hanging="200"/>
      </w:pPr>
      <w:r>
        <w:rPr>
          <w:rFonts w:ascii="微軟正黑體" w:cs="微軟正黑體" w:eastAsia="微軟正黑體" w:hAnsi="微軟正黑體"/>
          <w:sz w:val="21"/>
          <w:szCs w:val="21"/>
        </w:rPr>
        <w:t xml:space="preserve">‧ 預留與障礙物盤查：套管、開口、淨高、支架、設備進場路徑及維修空間。</w:t>
      </w:r>
    </w:p>
    <w:p>
      <w:pPr>
        <w:spacing w:after="90" w:line="300"/>
        <w:ind w:left="340" w:hanging="200"/>
      </w:pPr>
      <w:r>
        <w:rPr>
          <w:rFonts w:ascii="微軟正黑體" w:cs="微軟正黑體" w:eastAsia="微軟正黑體" w:hAnsi="微軟正黑體"/>
          <w:sz w:val="21"/>
          <w:szCs w:val="21"/>
        </w:rPr>
        <w:t xml:space="preserve">‧ 可追溯證據建立：位置編碼、照片、量測紀錄，並與模型物件建立連結。</w:t>
      </w:r>
    </w:p>
    <w:p>
      <w:pPr>
        <w:spacing w:after="90" w:line="300"/>
        <w:ind w:left="340" w:hanging="200"/>
      </w:pPr>
      <w:r>
        <w:rPr>
          <w:rFonts w:ascii="微軟正黑體" w:cs="微軟正黑體" w:eastAsia="微軟正黑體" w:hAnsi="微軟正黑體"/>
          <w:sz w:val="21"/>
          <w:szCs w:val="21"/>
        </w:rPr>
        <w:t xml:space="preserve">‧ 異點清單形成：圖面異點、未決項目、責任人及完成期限。</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現況基線經核定後定版。基線核定前，不進入完整細部設計，亦不進行不可回復之採購。</w:t>
      </w:r>
    </w:p>
    <w:p>
      <w:pPr>
        <w:spacing w:after="100" w:before="240"/>
      </w:pPr>
      <w:r>
        <w:rPr>
          <w:rFonts w:ascii="微軟正黑體" w:cs="微軟正黑體" w:eastAsia="微軟正黑體" w:hAnsi="微軟正黑體"/>
          <w:b/>
          <w:bCs/>
          <w:color w:val="2E5496"/>
          <w:sz w:val="23"/>
          <w:szCs w:val="23"/>
        </w:rPr>
        <w:t xml:space="preserve">四之二　BIM 整合與淨空檢核</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依先定大系統、再整合可施工細節之順序辦理，避免團隊過早投入細部製圖。</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900"/>
        <w:gridCol w:w="4200"/>
        <w:gridCol w:w="2926"/>
      </w:tblGrid>
      <w:tr>
        <w:trPr>
          <w:tblHeader/>
        </w:trPr>
        <w:tc>
          <w:tcPr>
            <w:tcW w:type="dxa" w:w="19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層　級</w:t>
            </w:r>
          </w:p>
        </w:tc>
        <w:tc>
          <w:tcPr>
            <w:tcW w:type="dxa" w:w="4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檢核內容</w:t>
            </w:r>
          </w:p>
        </w:tc>
        <w:tc>
          <w:tcPr>
            <w:tcW w:type="dxa" w:w="29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決策事項</w:t>
            </w:r>
          </w:p>
        </w:tc>
      </w:tr>
      <w:tr>
        <w:tc>
          <w:tcPr>
            <w:tcW w:type="dxa" w:w="1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系統容量與主線</w:t>
            </w:r>
          </w:p>
        </w:tc>
        <w:tc>
          <w:tcPr>
            <w:tcW w:type="dxa" w:w="4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電力、給排水、空調、消防之設備容量與主要幹線路徑</w:t>
            </w:r>
          </w:p>
        </w:tc>
        <w:tc>
          <w:tcPr>
            <w:tcW w:type="dxa" w:w="29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系統容量是否足夠</w:t>
            </w:r>
          </w:p>
        </w:tc>
      </w:tr>
      <w:tr>
        <w:tc>
          <w:tcPr>
            <w:tcW w:type="dxa" w:w="19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垂直與水平空間</w:t>
            </w:r>
          </w:p>
        </w:tc>
        <w:tc>
          <w:tcPr>
            <w:tcW w:type="dxa" w:w="4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管道空間、機房、通道與天花板淨高，系統優先順序</w:t>
            </w:r>
          </w:p>
        </w:tc>
        <w:tc>
          <w:tcPr>
            <w:tcW w:type="dxa" w:w="29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空間是否容納</w:t>
            </w:r>
          </w:p>
        </w:tc>
      </w:tr>
      <w:tr>
        <w:tc>
          <w:tcPr>
            <w:tcW w:type="dxa" w:w="1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安裝與維修</w:t>
            </w:r>
          </w:p>
        </w:tc>
        <w:tc>
          <w:tcPr>
            <w:tcW w:type="dxa" w:w="4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支架、接管、設備附件、維修門、施工順序</w:t>
            </w:r>
          </w:p>
        </w:tc>
        <w:tc>
          <w:tcPr>
            <w:tcW w:type="dxa" w:w="29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現場是否可施工</w:t>
            </w:r>
          </w:p>
        </w:tc>
      </w:tr>
    </w:tbl>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本案之特定檢核重點如下：</w:t>
      </w:r>
    </w:p>
    <w:p>
      <w:pPr>
        <w:spacing w:after="90" w:line="300"/>
        <w:ind w:left="340" w:hanging="200"/>
      </w:pPr>
      <w:r>
        <w:rPr>
          <w:rFonts w:ascii="微軟正黑體" w:cs="微軟正黑體" w:eastAsia="微軟正黑體" w:hAnsi="微軟正黑體"/>
          <w:sz w:val="21"/>
          <w:szCs w:val="21"/>
        </w:rPr>
        <w:t xml:space="preserve">‧ 庫房載貨電梯（4 公尺乘 3.5 公尺乘 4 公尺）之機坑、機房、井道與周邊管線之淨空。</w:t>
      </w:r>
    </w:p>
    <w:p>
      <w:pPr>
        <w:spacing w:after="90" w:line="300"/>
        <w:ind w:left="340" w:hanging="200"/>
      </w:pPr>
      <w:r>
        <w:rPr>
          <w:rFonts w:ascii="微軟正黑體" w:cs="微軟正黑體" w:eastAsia="微軟正黑體" w:hAnsi="微軟正黑體"/>
          <w:sz w:val="21"/>
          <w:szCs w:val="21"/>
        </w:rPr>
        <w:t xml:space="preserve">‧ 庫房一樓天車軌道與屋架、消防管線、照明之淨空衝突。</w:t>
      </w:r>
    </w:p>
    <w:p>
      <w:pPr>
        <w:spacing w:after="90" w:line="300"/>
        <w:ind w:left="340" w:hanging="200"/>
      </w:pPr>
      <w:r>
        <w:rPr>
          <w:rFonts w:ascii="微軟正黑體" w:cs="微軟正黑體" w:eastAsia="微軟正黑體" w:hAnsi="微軟正黑體"/>
          <w:sz w:val="21"/>
          <w:szCs w:val="21"/>
        </w:rPr>
        <w:t xml:space="preserve">‧ 庫房二三樓堆高機作業動線之淨高、轉彎半徑與柱位干涉。</w:t>
      </w:r>
    </w:p>
    <w:p>
      <w:pPr>
        <w:spacing w:after="90" w:line="300"/>
        <w:ind w:left="340" w:hanging="200"/>
      </w:pPr>
      <w:r>
        <w:rPr>
          <w:rFonts w:ascii="微軟正黑體" w:cs="微軟正黑體" w:eastAsia="微軟正黑體" w:hAnsi="微軟正黑體"/>
          <w:sz w:val="21"/>
          <w:szCs w:val="21"/>
        </w:rPr>
        <w:t xml:space="preserve">‧ 潛船廠房新增 15 公噸龍門天車軌道與既有結構之介面。</w:t>
      </w:r>
    </w:p>
    <w:p>
      <w:pPr>
        <w:spacing w:after="90" w:line="300"/>
        <w:ind w:left="340" w:hanging="200"/>
      </w:pPr>
      <w:r>
        <w:rPr>
          <w:rFonts w:ascii="微軟正黑體" w:cs="微軟正黑體" w:eastAsia="微軟正黑體" w:hAnsi="微軟正黑體"/>
          <w:sz w:val="21"/>
          <w:szCs w:val="21"/>
        </w:rPr>
        <w:t xml:space="preserve">‧ 15 公尺乘 8 公尺特規門及 8 公尺乘 8 公尺鐵捲門之開口結構補強與周邊設備避讓。</w:t>
      </w:r>
    </w:p>
    <w:p>
      <w:pPr>
        <w:shd w:fill="F2F5FA" w:val="clear"/>
        <w:spacing w:after="160" w:before="80" w:line="290"/>
        <w:ind w:left="220"/>
      </w:pPr>
      <w:r>
        <w:rPr>
          <w:rFonts w:ascii="微軟正黑體" w:cs="微軟正黑體" w:eastAsia="微軟正黑體" w:hAnsi="微軟正黑體"/>
          <w:color w:val="444444"/>
          <w:sz w:val="19"/>
          <w:szCs w:val="19"/>
        </w:rPr>
        <w:t xml:space="preserve">作業原則：模型放得進去，不代表現場裝得進去。所有檢核均須同時確認施工空間、操作空間與維修空間，不以幾何不干涉為唯一判準。</w:t>
      </w:r>
    </w:p>
    <w:p>
      <w:pPr>
        <w:spacing w:after="100" w:before="240"/>
      </w:pPr>
      <w:r>
        <w:rPr>
          <w:rFonts w:ascii="微軟正黑體" w:cs="微軟正黑體" w:eastAsia="微軟正黑體" w:hAnsi="微軟正黑體"/>
          <w:b/>
          <w:bCs/>
          <w:color w:val="2E5496"/>
          <w:sz w:val="23"/>
          <w:szCs w:val="23"/>
        </w:rPr>
        <w:t xml:space="preserve">四之三　變更與標單治理</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本案將所有變更區分為四類，各類均訂定必要證據、影響評估項目與核定規則。未附現場證據、模型位置、成本與工期影響及核定人者，不形成可執行變更。</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500"/>
        <w:gridCol w:w="2300"/>
        <w:gridCol w:w="1700"/>
        <w:gridCol w:w="1700"/>
        <w:gridCol w:w="1826"/>
      </w:tblGrid>
      <w:tr>
        <w:trPr>
          <w:tblHeader/>
        </w:trPr>
        <w:tc>
          <w:tcPr>
            <w:tcW w:type="dxa" w:w="15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變更類型</w:t>
            </w:r>
          </w:p>
        </w:tc>
        <w:tc>
          <w:tcPr>
            <w:tcW w:type="dxa" w:w="23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必要證據</w:t>
            </w:r>
          </w:p>
        </w:tc>
        <w:tc>
          <w:tcPr>
            <w:tcW w:type="dxa" w:w="17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成本影響</w:t>
            </w:r>
          </w:p>
        </w:tc>
        <w:tc>
          <w:tcPr>
            <w:tcW w:type="dxa" w:w="17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工期影響</w:t>
            </w:r>
          </w:p>
        </w:tc>
        <w:tc>
          <w:tcPr>
            <w:tcW w:type="dxa" w:w="18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核定規則</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標單缺項</w:t>
            </w:r>
          </w:p>
        </w:tc>
        <w:tc>
          <w:tcPr>
            <w:tcW w:type="dxa" w:w="2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模型位置及設計依據</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新增或調整</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是否影響主要動線</w:t>
            </w:r>
          </w:p>
        </w:tc>
        <w:tc>
          <w:tcPr>
            <w:tcW w:type="dxa" w:w="1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核定後始得採購</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現況異點</w:t>
            </w:r>
          </w:p>
        </w:tc>
        <w:tc>
          <w:tcPr>
            <w:tcW w:type="dxa" w:w="2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照片、量測及異點圖</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追加或減少</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施工順序重排</w:t>
            </w:r>
          </w:p>
        </w:tc>
        <w:tc>
          <w:tcPr>
            <w:tcW w:type="dxa" w:w="1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問題單結案後施工</w:t>
            </w:r>
          </w:p>
        </w:tc>
      </w:tr>
      <w:tr>
        <w:tc>
          <w:tcPr>
            <w:tcW w:type="dxa" w:w="15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需求變更</w:t>
            </w:r>
          </w:p>
        </w:tc>
        <w:tc>
          <w:tcPr>
            <w:tcW w:type="dxa" w:w="2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需求來源及核定版本</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方案比較表</w:t>
            </w:r>
          </w:p>
        </w:tc>
        <w:tc>
          <w:tcPr>
            <w:tcW w:type="dxa" w:w="17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重要節點影響</w:t>
            </w:r>
          </w:p>
        </w:tc>
        <w:tc>
          <w:tcPr>
            <w:tcW w:type="dxa" w:w="18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業主或授權人核定</w:t>
            </w:r>
          </w:p>
        </w:tc>
      </w:tr>
      <w:tr>
        <w:tc>
          <w:tcPr>
            <w:tcW w:type="dxa" w:w="15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效益工程</w:t>
            </w:r>
          </w:p>
        </w:tc>
        <w:tc>
          <w:tcPr>
            <w:tcW w:type="dxa" w:w="2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功能等同性及比較表</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減少費用</w:t>
            </w:r>
          </w:p>
        </w:tc>
        <w:tc>
          <w:tcPr>
            <w:tcW w:type="dxa" w:w="17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交期及工法影響</w:t>
            </w:r>
          </w:p>
        </w:tc>
        <w:tc>
          <w:tcPr>
            <w:tcW w:type="dxa" w:w="18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設計與業主共同核定</w:t>
            </w:r>
          </w:p>
        </w:tc>
      </w:tr>
    </w:tbl>
    <w:p>
      <w:pPr>
        <w:shd w:fill="F2F5FA" w:val="clear"/>
        <w:spacing w:after="160" w:before="80" w:line="290"/>
        <w:ind w:left="220"/>
      </w:pPr>
      <w:r>
        <w:rPr>
          <w:rFonts w:ascii="微軟正黑體" w:cs="微軟正黑體" w:eastAsia="微軟正黑體" w:hAnsi="微軟正黑體"/>
          <w:color w:val="444444"/>
          <w:sz w:val="19"/>
          <w:szCs w:val="19"/>
        </w:rPr>
        <w:t xml:space="preserve">與低碳工作之銜接：第伍章之低碳替代方案比選，於本流程中歸類為效益工程。其提出、審查與核定，均循上表之證據要求與核定規則辦理。此安排使低碳比選具備正式決策路徑，而非僅止於技術建議。</w:t>
      </w:r>
    </w:p>
    <w:p>
      <w:pPr>
        <w:spacing w:after="100" w:before="240"/>
      </w:pPr>
      <w:r>
        <w:rPr>
          <w:rFonts w:ascii="微軟正黑體" w:cs="微軟正黑體" w:eastAsia="微軟正黑體" w:hAnsi="微軟正黑體"/>
          <w:b/>
          <w:bCs/>
          <w:color w:val="2E5496"/>
          <w:sz w:val="23"/>
          <w:szCs w:val="23"/>
        </w:rPr>
        <w:t xml:space="preserve">四之四　共用平台與問題單管理</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模型、圖說、問題單、進度與預算變更於同一平台流轉。一項問題單之完整生命週期如下：</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900"/>
        <w:gridCol w:w="2200"/>
        <w:gridCol w:w="3400"/>
        <w:gridCol w:w="2526"/>
      </w:tblGrid>
      <w:tr>
        <w:trPr>
          <w:tblHeader/>
        </w:trPr>
        <w:tc>
          <w:tcPr>
            <w:tcW w:type="dxa" w:w="9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序</w:t>
            </w:r>
          </w:p>
        </w:tc>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階　段</w:t>
            </w:r>
          </w:p>
        </w:tc>
        <w:tc>
          <w:tcPr>
            <w:tcW w:type="dxa" w:w="3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產出內容</w:t>
            </w:r>
          </w:p>
        </w:tc>
        <w:tc>
          <w:tcPr>
            <w:tcW w:type="dxa" w:w="25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負責角色</w:t>
            </w:r>
          </w:p>
        </w:tc>
      </w:tr>
      <w:tr>
        <w:tc>
          <w:tcPr>
            <w:tcW w:type="dxa" w:w="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現場提出</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位置標定、現場照片、問題分類</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現場工程人員</w:t>
            </w:r>
          </w:p>
        </w:tc>
      </w:tr>
      <w:tr>
        <w:tc>
          <w:tcPr>
            <w:tcW w:type="dxa" w:w="9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2</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指派受理</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責任人指定、回應期限、影響等級判定</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專案管理</w:t>
            </w:r>
          </w:p>
        </w:tc>
      </w:tr>
      <w:tr>
        <w:tc>
          <w:tcPr>
            <w:tcW w:type="dxa" w:w="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3</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整合判斷</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模型檢核、法規檢討、施工與設計意見</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協力廠商與設計單位</w:t>
            </w:r>
          </w:p>
        </w:tc>
      </w:tr>
      <w:tr>
        <w:tc>
          <w:tcPr>
            <w:tcW w:type="dxa" w:w="9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4</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成本核定</w:t>
            </w:r>
          </w:p>
        </w:tc>
        <w:tc>
          <w:tcPr>
            <w:tcW w:type="dxa" w:w="3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標單異點、成本影響、工期影響評估</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業主或授權人</w:t>
            </w:r>
          </w:p>
        </w:tc>
      </w:tr>
      <w:tr>
        <w:tc>
          <w:tcPr>
            <w:tcW w:type="dxa" w:w="9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5</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版本回填</w:t>
            </w:r>
          </w:p>
        </w:tc>
        <w:tc>
          <w:tcPr>
            <w:tcW w:type="dxa" w:w="3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核定圖說發布、模型更新、現場結案</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協力廠商</w:t>
            </w:r>
          </w:p>
        </w:tc>
      </w:tr>
    </w:tbl>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平台之價值在於留存決策紀錄。提出人、判斷人、核定人及現場執行版本，均須可查。</w:t>
      </w:r>
    </w:p>
    <w:p>
      <w:pPr>
        <w:shd w:fill="F2F5FA" w:val="clear"/>
        <w:spacing w:after="160" w:before="80" w:line="290"/>
        <w:ind w:left="220"/>
      </w:pPr>
      <w:r>
        <w:rPr>
          <w:rFonts w:ascii="微軟正黑體" w:cs="微軟正黑體" w:eastAsia="微軟正黑體" w:hAnsi="微軟正黑體"/>
          <w:color w:val="444444"/>
          <w:sz w:val="19"/>
          <w:szCs w:val="19"/>
        </w:rPr>
        <w:t xml:space="preserve">前提條件：平台之部署方式須配合場域資通安全要求。若業主要求地端部署或限制資料境外傳輸，將依實際條件調整平台架構，相關事項詳見第拾貳章之二。</w:t>
      </w:r>
    </w:p>
    <w:p>
      <w:pPr>
        <w:spacing w:after="100" w:before="240"/>
      </w:pPr>
      <w:r>
        <w:rPr>
          <w:rFonts w:ascii="微軟正黑體" w:cs="微軟正黑體" w:eastAsia="微軟正黑體" w:hAnsi="微軟正黑體"/>
          <w:b/>
          <w:bCs/>
          <w:color w:val="2E5496"/>
          <w:sz w:val="23"/>
          <w:szCs w:val="23"/>
        </w:rPr>
        <w:t xml:space="preserve">四之五　竣工模型與數位資產移交</w:t>
      </w:r>
    </w:p>
    <w:p>
      <w:pPr>
        <w:spacing w:after="90" w:line="300"/>
        <w:ind w:left="340" w:hanging="200"/>
      </w:pPr>
      <w:r>
        <w:rPr>
          <w:rFonts w:ascii="微軟正黑體" w:cs="微軟正黑體" w:eastAsia="微軟正黑體" w:hAnsi="微軟正黑體"/>
          <w:sz w:val="21"/>
          <w:szCs w:val="21"/>
        </w:rPr>
        <w:t xml:space="preserve">‧ 竣工模型（as-built）與現場實況一致，並附版本核定紀錄。</w:t>
      </w:r>
    </w:p>
    <w:p>
      <w:pPr>
        <w:spacing w:after="90" w:line="300"/>
        <w:ind w:left="340" w:hanging="200"/>
      </w:pPr>
      <w:r>
        <w:rPr>
          <w:rFonts w:ascii="微軟正黑體" w:cs="微軟正黑體" w:eastAsia="微軟正黑體" w:hAnsi="微軟正黑體"/>
          <w:sz w:val="21"/>
          <w:szCs w:val="21"/>
        </w:rPr>
        <w:t xml:space="preserve">‧ 設備屬性資料、位置編碼與維護履歷欄位建置。</w:t>
      </w:r>
    </w:p>
    <w:p>
      <w:pPr>
        <w:spacing w:after="90" w:line="300"/>
        <w:ind w:left="340" w:hanging="200"/>
      </w:pPr>
      <w:r>
        <w:rPr>
          <w:rFonts w:ascii="微軟正黑體" w:cs="微軟正黑體" w:eastAsia="微軟正黑體" w:hAnsi="微軟正黑體"/>
          <w:sz w:val="21"/>
          <w:szCs w:val="21"/>
        </w:rPr>
        <w:t xml:space="preserve">‧ 問題單、決策紀錄與變更歷程之完整匯出。</w:t>
      </w:r>
    </w:p>
    <w:p>
      <w:pPr>
        <w:spacing w:after="90" w:line="300"/>
        <w:ind w:left="340" w:hanging="200"/>
      </w:pPr>
      <w:r>
        <w:rPr>
          <w:rFonts w:ascii="微軟正黑體" w:cs="微軟正黑體" w:eastAsia="微軟正黑體" w:hAnsi="微軟正黑體"/>
          <w:sz w:val="21"/>
          <w:szCs w:val="21"/>
        </w:rPr>
        <w:t xml:space="preserve">‧ 資料格式採開放標準，確保業主於合約終止後仍可讀取及使用。</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伍、核心承諾服務事項 B：低碳工法與材料</w:t>
      </w:r>
    </w:p>
    <w:p>
      <w:pPr>
        <w:spacing w:after="100" w:before="240"/>
      </w:pPr>
      <w:r>
        <w:rPr>
          <w:rFonts w:ascii="微軟正黑體" w:cs="微軟正黑體" w:eastAsia="微軟正黑體" w:hAnsi="微軟正黑體"/>
          <w:b/>
          <w:bCs/>
          <w:color w:val="2E5496"/>
          <w:sz w:val="23"/>
          <w:szCs w:val="23"/>
        </w:rPr>
        <w:t xml:space="preserve">五之一　抗鹽防蝕材料選用與塗裝</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本項為提報單位本業範圍，具備長期高鹽害環境之施作實績。</w:t>
      </w:r>
    </w:p>
    <w:p>
      <w:pPr>
        <w:spacing w:after="90" w:line="300"/>
        <w:ind w:left="340" w:hanging="200"/>
      </w:pPr>
      <w:r>
        <w:rPr>
          <w:rFonts w:ascii="微軟正黑體" w:cs="微軟正黑體" w:eastAsia="微軟正黑體" w:hAnsi="微軟正黑體"/>
          <w:sz w:val="21"/>
          <w:szCs w:val="21"/>
        </w:rPr>
        <w:t xml:space="preserve">‧ 依暴露環境分區選用塗裝系統，區分大氣區、飛沫區、水位變動區與浸沒區，避免全區採用單一規格造成材料浪費。</w:t>
      </w:r>
    </w:p>
    <w:p>
      <w:pPr>
        <w:spacing w:after="90" w:line="300"/>
        <w:ind w:left="340" w:hanging="200"/>
      </w:pPr>
      <w:r>
        <w:rPr>
          <w:rFonts w:ascii="微軟正黑體" w:cs="微軟正黑體" w:eastAsia="微軟正黑體" w:hAnsi="微軟正黑體"/>
          <w:sz w:val="21"/>
          <w:szCs w:val="21"/>
        </w:rPr>
        <w:t xml:space="preserve">‧ 提高單次塗裝之耐久年限，以延長重塗週期方式降低生命週期碳排與維護成本。</w:t>
      </w:r>
    </w:p>
    <w:p>
      <w:pPr>
        <w:spacing w:after="90" w:line="300"/>
        <w:ind w:left="340" w:hanging="200"/>
      </w:pPr>
      <w:r>
        <w:rPr>
          <w:rFonts w:ascii="微軟正黑體" w:cs="微軟正黑體" w:eastAsia="微軟正黑體" w:hAnsi="微軟正黑體"/>
          <w:sz w:val="21"/>
          <w:szCs w:val="21"/>
        </w:rPr>
        <w:t xml:space="preserve">‧ 表面處理作業之粉塵收集與廢料分類處理，並記錄廢棄物產出量。</w:t>
      </w:r>
    </w:p>
    <w:p>
      <w:pPr>
        <w:spacing w:after="100" w:before="240"/>
      </w:pPr>
      <w:r>
        <w:rPr>
          <w:rFonts w:ascii="微軟正黑體" w:cs="微軟正黑體" w:eastAsia="微軟正黑體" w:hAnsi="微軟正黑體"/>
          <w:b/>
          <w:bCs/>
          <w:color w:val="2E5496"/>
          <w:sz w:val="23"/>
          <w:szCs w:val="23"/>
        </w:rPr>
        <w:t xml:space="preserve">五之二　屋面外牆隔熱、通風與照明配電</w:t>
      </w:r>
    </w:p>
    <w:p>
      <w:pPr>
        <w:spacing w:after="90" w:line="300"/>
        <w:ind w:left="340" w:hanging="200"/>
      </w:pPr>
      <w:r>
        <w:rPr>
          <w:rFonts w:ascii="微軟正黑體" w:cs="微軟正黑體" w:eastAsia="微軟正黑體" w:hAnsi="微軟正黑體"/>
          <w:sz w:val="21"/>
          <w:szCs w:val="21"/>
        </w:rPr>
        <w:t xml:space="preserve">‧ 鐵皮浪板更換同步提升隔熱性能，降低廠房空調與通風負荷。</w:t>
      </w:r>
    </w:p>
    <w:p>
      <w:pPr>
        <w:spacing w:after="90" w:line="300"/>
        <w:ind w:left="340" w:hanging="200"/>
      </w:pPr>
      <w:r>
        <w:rPr>
          <w:rFonts w:ascii="微軟正黑體" w:cs="微軟正黑體" w:eastAsia="微軟正黑體" w:hAnsi="微軟正黑體"/>
          <w:sz w:val="21"/>
          <w:szCs w:val="21"/>
        </w:rPr>
        <w:t xml:space="preserve">‧ 通風球配置檢討，以自然通風減少機械換氣需求。</w:t>
      </w:r>
    </w:p>
    <w:p>
      <w:pPr>
        <w:spacing w:after="90" w:line="300"/>
        <w:ind w:left="340" w:hanging="200"/>
      </w:pPr>
      <w:r>
        <w:rPr>
          <w:rFonts w:ascii="微軟正黑體" w:cs="微軟正黑體" w:eastAsia="微軟正黑體" w:hAnsi="微軟正黑體"/>
          <w:sz w:val="21"/>
          <w:szCs w:val="21"/>
        </w:rPr>
        <w:t xml:space="preserve">‧ 照明系統更新為高效率燈具，並依作業區域分區控制。</w:t>
      </w:r>
    </w:p>
    <w:p>
      <w:pPr>
        <w:spacing w:after="90" w:line="300"/>
        <w:ind w:left="340" w:hanging="200"/>
      </w:pPr>
      <w:r>
        <w:rPr>
          <w:rFonts w:ascii="微軟正黑體" w:cs="微軟正黑體" w:eastAsia="微軟正黑體" w:hAnsi="微軟正黑體"/>
          <w:sz w:val="21"/>
          <w:szCs w:val="21"/>
        </w:rPr>
        <w:t xml:space="preserve">‧ 配電系統更新時預留計量迴路，供後續能耗監測擴充使用。</w:t>
      </w:r>
    </w:p>
    <w:p>
      <w:pPr>
        <w:shd w:fill="F2F5FA" w:val="clear"/>
        <w:spacing w:after="160" w:before="80" w:line="290"/>
        <w:ind w:left="220"/>
      </w:pPr>
      <w:r>
        <w:rPr>
          <w:rFonts w:ascii="微軟正黑體" w:cs="微軟正黑體" w:eastAsia="微軟正黑體" w:hAnsi="微軟正黑體"/>
          <w:color w:val="444444"/>
          <w:sz w:val="19"/>
          <w:szCs w:val="19"/>
        </w:rPr>
        <w:t xml:space="preserve">待確認事項：外牆浪板更換涉及外牆防火時效及延燒界線之檢討。隔熱材與防火時效屬同一構造層，須一併認定。本項責任歸屬請業主釐清，詳見第拾貳章之四。</w:t>
      </w:r>
    </w:p>
    <w:p>
      <w:pPr>
        <w:spacing w:after="100" w:before="240"/>
      </w:pPr>
      <w:r>
        <w:rPr>
          <w:rFonts w:ascii="微軟正黑體" w:cs="微軟正黑體" w:eastAsia="微軟正黑體" w:hAnsi="微軟正黑體"/>
          <w:b/>
          <w:bCs/>
          <w:color w:val="2E5496"/>
          <w:sz w:val="23"/>
          <w:szCs w:val="23"/>
        </w:rPr>
        <w:t xml:space="preserve">五之三　低碳混凝土與再生鋼材</w:t>
      </w:r>
    </w:p>
    <w:p>
      <w:pPr>
        <w:spacing w:after="90" w:line="300"/>
        <w:ind w:left="340" w:hanging="200"/>
      </w:pPr>
      <w:r>
        <w:rPr>
          <w:rFonts w:ascii="微軟正黑體" w:cs="微軟正黑體" w:eastAsia="微軟正黑體" w:hAnsi="微軟正黑體"/>
          <w:sz w:val="21"/>
          <w:szCs w:val="21"/>
        </w:rPr>
        <w:t xml:space="preserve">‧ 於結構安全及耐久性要求許可範圍內，採用高爐水泥或飛灰取代部分水泥用量之混凝土配比。</w:t>
      </w:r>
    </w:p>
    <w:p>
      <w:pPr>
        <w:spacing w:after="90" w:line="300"/>
        <w:ind w:left="340" w:hanging="200"/>
      </w:pPr>
      <w:r>
        <w:rPr>
          <w:rFonts w:ascii="微軟正黑體" w:cs="微軟正黑體" w:eastAsia="微軟正黑體" w:hAnsi="微軟正黑體"/>
          <w:sz w:val="21"/>
          <w:szCs w:val="21"/>
        </w:rPr>
        <w:t xml:space="preserve">‧ 鋼構材料優先選用具環境產品聲明之供應商產品，並記錄再生料比例。</w:t>
      </w:r>
    </w:p>
    <w:p>
      <w:pPr>
        <w:spacing w:after="90" w:line="300"/>
        <w:ind w:left="340" w:hanging="200"/>
      </w:pPr>
      <w:r>
        <w:rPr>
          <w:rFonts w:ascii="微軟正黑體" w:cs="微軟正黑體" w:eastAsia="微軟正黑體" w:hAnsi="微軟正黑體"/>
          <w:sz w:val="21"/>
          <w:szCs w:val="21"/>
        </w:rPr>
        <w:t xml:space="preserve">‧ 所有低碳材料之替代方案，均須提送配比設計、試拌報告及耐久性評估，經業主核定後施作。</w:t>
      </w:r>
    </w:p>
    <w:p>
      <w:pPr>
        <w:shd w:fill="F2F5FA" w:val="clear"/>
        <w:spacing w:after="160" w:before="80" w:line="290"/>
        <w:ind w:left="220"/>
      </w:pPr>
      <w:r>
        <w:rPr>
          <w:rFonts w:ascii="微軟正黑體" w:cs="微軟正黑體" w:eastAsia="微軟正黑體" w:hAnsi="微軟正黑體"/>
          <w:color w:val="444444"/>
          <w:sz w:val="19"/>
          <w:szCs w:val="19"/>
        </w:rPr>
        <w:t xml:space="preserve">執行限制：海洋環境之氯離子滲透為主要劣化因子。水泥取代率之提高須同時檢核抗氯離子滲透性與早期強度發展，不以碳排降低幅度為唯一取捨依據。</w:t>
      </w:r>
    </w:p>
    <w:p>
      <w:pPr>
        <w:spacing w:after="100" w:before="240"/>
      </w:pPr>
      <w:r>
        <w:rPr>
          <w:rFonts w:ascii="微軟正黑體" w:cs="微軟正黑體" w:eastAsia="微軟正黑體" w:hAnsi="微軟正黑體"/>
          <w:b/>
          <w:bCs/>
          <w:color w:val="2E5496"/>
          <w:sz w:val="23"/>
          <w:szCs w:val="23"/>
        </w:rPr>
        <w:t xml:space="preserve">五之四　低碳替代方案比選</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針對主要工項提出二至三個替代方案進行比選，比較項目包含功能等同性、碳排放量、造價、工期及維護需求。</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比選作業之基礎為第肆章所建立之經核定標單。每一工項具備模型位置與核定紀錄後，碳數據之附加即為可執行之作業。</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比選結果依第四章之三之效益工程流程提出，經設計與業主共同核定後執行。</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陸、核心承諾服務事項 C：船塢碼頭現況數位化與防蝕</w:t>
      </w:r>
    </w:p>
    <w:p>
      <w:pPr>
        <w:spacing w:after="100" w:before="240"/>
      </w:pPr>
      <w:r>
        <w:rPr>
          <w:rFonts w:ascii="微軟正黑體" w:cs="微軟正黑體" w:eastAsia="微軟正黑體" w:hAnsi="微軟正黑體"/>
          <w:b/>
          <w:bCs/>
          <w:color w:val="2E5496"/>
          <w:sz w:val="23"/>
          <w:szCs w:val="23"/>
        </w:rPr>
        <w:t xml:space="preserve">六之一　塢壁層縫防滲漏</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延續已完成之 0 至 400 公尺區段作業，就其餘區段辦理層縫止水處理。</w:t>
      </w:r>
    </w:p>
    <w:p>
      <w:pPr>
        <w:spacing w:after="90" w:line="300"/>
        <w:ind w:left="340" w:hanging="200"/>
      </w:pPr>
      <w:r>
        <w:rPr>
          <w:rFonts w:ascii="微軟正黑體" w:cs="微軟正黑體" w:eastAsia="微軟正黑體" w:hAnsi="微軟正黑體"/>
          <w:sz w:val="21"/>
          <w:szCs w:val="21"/>
        </w:rPr>
        <w:t xml:space="preserve">‧ 依進出塢空窗期規劃分段施工範圍，各段獨立完成、獨立驗收。</w:t>
      </w:r>
    </w:p>
    <w:p>
      <w:pPr>
        <w:spacing w:after="90" w:line="300"/>
        <w:ind w:left="340" w:hanging="200"/>
      </w:pPr>
      <w:r>
        <w:rPr>
          <w:rFonts w:ascii="微軟正黑體" w:cs="微軟正黑體" w:eastAsia="微軟正黑體" w:hAnsi="微軟正黑體"/>
          <w:sz w:val="21"/>
          <w:szCs w:val="21"/>
        </w:rPr>
        <w:t xml:space="preserve">‧ 採用可快速搭拆之作業平台，縮短單次佔用塢區之時間。</w:t>
      </w:r>
    </w:p>
    <w:p>
      <w:pPr>
        <w:spacing w:after="90" w:line="300"/>
        <w:ind w:left="340" w:hanging="200"/>
      </w:pPr>
      <w:r>
        <w:rPr>
          <w:rFonts w:ascii="微軟正黑體" w:cs="微軟正黑體" w:eastAsia="微軟正黑體" w:hAnsi="微軟正黑體"/>
          <w:sz w:val="21"/>
          <w:szCs w:val="21"/>
        </w:rPr>
        <w:t xml:space="preserve">‧ 建立標準化工序，使各段作業得於既有空窗期內完成。</w:t>
      </w:r>
    </w:p>
    <w:p>
      <w:pPr>
        <w:shd w:fill="F2F5FA" w:val="clear"/>
        <w:spacing w:after="160" w:before="80" w:line="290"/>
        <w:ind w:left="220"/>
      </w:pPr>
      <w:r>
        <w:rPr>
          <w:rFonts w:ascii="微軟正黑體" w:cs="微軟正黑體" w:eastAsia="微軟正黑體" w:hAnsi="微軟正黑體"/>
          <w:color w:val="444444"/>
          <w:sz w:val="19"/>
          <w:szCs w:val="19"/>
        </w:rPr>
        <w:t xml:space="preserve">管理重點：大塢為營收資產，停塢施工等同暫停修造船收入。本案之核心解法為分段施工、快速搭拆與工序標準化，以壓縮單次佔用時間，而非以模擬工具處理排程問題。</w:t>
      </w:r>
    </w:p>
    <w:p>
      <w:pPr>
        <w:spacing w:after="100" w:before="240"/>
      </w:pPr>
      <w:r>
        <w:rPr>
          <w:rFonts w:ascii="微軟正黑體" w:cs="微軟正黑體" w:eastAsia="微軟正黑體" w:hAnsi="微軟正黑體"/>
          <w:b/>
          <w:bCs/>
          <w:color w:val="2E5496"/>
          <w:sz w:val="23"/>
          <w:szCs w:val="23"/>
        </w:rPr>
        <w:t xml:space="preserve">六之二　犧牲陽極防蝕與電位量測</w:t>
      </w:r>
    </w:p>
    <w:p>
      <w:pPr>
        <w:spacing w:after="90" w:line="300"/>
        <w:ind w:left="340" w:hanging="200"/>
      </w:pPr>
      <w:r>
        <w:rPr>
          <w:rFonts w:ascii="微軟正黑體" w:cs="微軟正黑體" w:eastAsia="微軟正黑體" w:hAnsi="微軟正黑體"/>
          <w:sz w:val="21"/>
          <w:szCs w:val="21"/>
        </w:rPr>
        <w:t xml:space="preserve">‧ 延續 113 年已完成之陽極塊防蝕工程，辦理定期電位量測及消耗率評估。</w:t>
      </w:r>
    </w:p>
    <w:p>
      <w:pPr>
        <w:spacing w:after="90" w:line="300"/>
        <w:ind w:left="340" w:hanging="200"/>
      </w:pPr>
      <w:r>
        <w:rPr>
          <w:rFonts w:ascii="微軟正黑體" w:cs="微軟正黑體" w:eastAsia="微軟正黑體" w:hAnsi="微軟正黑體"/>
          <w:sz w:val="21"/>
          <w:szCs w:val="21"/>
        </w:rPr>
        <w:t xml:space="preserve">‧ 建立量測點位編碼與歷次數據紀錄，形成可比對之趨勢資料。</w:t>
      </w:r>
    </w:p>
    <w:p>
      <w:pPr>
        <w:spacing w:after="90" w:line="300"/>
        <w:ind w:left="340" w:hanging="200"/>
      </w:pPr>
      <w:r>
        <w:rPr>
          <w:rFonts w:ascii="微軟正黑體" w:cs="微軟正黑體" w:eastAsia="微軟正黑體" w:hAnsi="微軟正黑體"/>
          <w:sz w:val="21"/>
          <w:szCs w:val="21"/>
        </w:rPr>
        <w:t xml:space="preserve">‧ 依電位量測結果提出陽極塊補充或更換建議。</w:t>
      </w:r>
    </w:p>
    <w:p>
      <w:pPr>
        <w:spacing w:after="100" w:before="240"/>
      </w:pPr>
      <w:r>
        <w:rPr>
          <w:rFonts w:ascii="微軟正黑體" w:cs="微軟正黑體" w:eastAsia="微軟正黑體" w:hAnsi="微軟正黑體"/>
          <w:b/>
          <w:bCs/>
          <w:color w:val="2E5496"/>
          <w:sz w:val="23"/>
          <w:szCs w:val="23"/>
        </w:rPr>
        <w:t xml:space="preserve">六之三　船塢碼頭三維掃描與點雲建置</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由學研技術團隊執行，建立船塢及碼頭之現況數位基準。</w:t>
      </w:r>
    </w:p>
    <w:p>
      <w:pPr>
        <w:spacing w:after="90" w:line="300"/>
        <w:ind w:left="340" w:hanging="200"/>
      </w:pPr>
      <w:r>
        <w:rPr>
          <w:rFonts w:ascii="微軟正黑體" w:cs="微軟正黑體" w:eastAsia="微軟正黑體" w:hAnsi="微軟正黑體"/>
          <w:sz w:val="21"/>
          <w:szCs w:val="21"/>
        </w:rPr>
        <w:t xml:space="preserve">‧ 以光達及攝影測量方式建立塢壁、塢底及碼頭結構之點雲資料。</w:t>
      </w:r>
    </w:p>
    <w:p>
      <w:pPr>
        <w:spacing w:after="90" w:line="300"/>
        <w:ind w:left="340" w:hanging="200"/>
      </w:pPr>
      <w:r>
        <w:rPr>
          <w:rFonts w:ascii="微軟正黑體" w:cs="微軟正黑體" w:eastAsia="微軟正黑體" w:hAnsi="微軟正黑體"/>
          <w:sz w:val="21"/>
          <w:szCs w:val="21"/>
        </w:rPr>
        <w:t xml:space="preserve">‧ 缺陷位置標定與編碼，包含混凝土剝落、鋼筋外露、裂縫及滲漏點位。</w:t>
      </w:r>
    </w:p>
    <w:p>
      <w:pPr>
        <w:spacing w:after="90" w:line="300"/>
        <w:ind w:left="340" w:hanging="200"/>
      </w:pPr>
      <w:r>
        <w:rPr>
          <w:rFonts w:ascii="微軟正黑體" w:cs="微軟正黑體" w:eastAsia="微軟正黑體" w:hAnsi="微軟正黑體"/>
          <w:sz w:val="21"/>
          <w:szCs w:val="21"/>
        </w:rPr>
        <w:t xml:space="preserve">‧ 建立數位孿生模型，供歷次檢測結果比對與維護履歷管理。</w:t>
      </w:r>
    </w:p>
    <w:p>
      <w:pPr>
        <w:spacing w:after="90" w:line="300"/>
        <w:ind w:left="340" w:hanging="200"/>
      </w:pPr>
      <w:r>
        <w:rPr>
          <w:rFonts w:ascii="微軟正黑體" w:cs="微軟正黑體" w:eastAsia="微軟正黑體" w:hAnsi="微軟正黑體"/>
          <w:sz w:val="21"/>
          <w:szCs w:val="21"/>
        </w:rPr>
        <w:t xml:space="preserve">‧ 掃描成果以固定基準點控制，確保各期資料具可比性。</w:t>
      </w:r>
    </w:p>
    <w:p>
      <w:pPr>
        <w:shd w:fill="F2F5FA" w:val="clear"/>
        <w:spacing w:after="160" w:before="80" w:line="290"/>
        <w:ind w:left="220"/>
      </w:pPr>
      <w:r>
        <w:rPr>
          <w:rFonts w:ascii="微軟正黑體" w:cs="微軟正黑體" w:eastAsia="微軟正黑體" w:hAnsi="微軟正黑體"/>
          <w:color w:val="444444"/>
          <w:sz w:val="19"/>
          <w:szCs w:val="19"/>
        </w:rPr>
        <w:t xml:space="preserve">範圍界定：本項交付內容為現況之數位化與可比對基準之建立。劣化程度之結構安全判定、剩餘壽命推估及補強設計，須由具執業資格之結構技師辦理，不在本項範圍內。</w:t>
      </w:r>
    </w:p>
    <w:p>
      <w:pPr>
        <w:spacing w:after="100" w:before="240"/>
      </w:pPr>
      <w:r>
        <w:rPr>
          <w:rFonts w:ascii="微軟正黑體" w:cs="微軟正黑體" w:eastAsia="微軟正黑體" w:hAnsi="微軟正黑體"/>
          <w:b/>
          <w:bCs/>
          <w:color w:val="2E5496"/>
          <w:sz w:val="23"/>
          <w:szCs w:val="23"/>
        </w:rPr>
        <w:t xml:space="preserve">六之四　沉浸式視覺化與教育訓練</w:t>
      </w:r>
    </w:p>
    <w:p>
      <w:pPr>
        <w:spacing w:after="90" w:line="300"/>
        <w:ind w:left="340" w:hanging="200"/>
      </w:pPr>
      <w:r>
        <w:rPr>
          <w:rFonts w:ascii="微軟正黑體" w:cs="微軟正黑體" w:eastAsia="微軟正黑體" w:hAnsi="微軟正黑體"/>
          <w:sz w:val="21"/>
          <w:szCs w:val="21"/>
        </w:rPr>
        <w:t xml:space="preserve">‧ 以數位孿生模型製作施工方案之視覺化說明素材。</w:t>
      </w:r>
    </w:p>
    <w:p>
      <w:pPr>
        <w:spacing w:after="90" w:line="300"/>
        <w:ind w:left="340" w:hanging="200"/>
      </w:pPr>
      <w:r>
        <w:rPr>
          <w:rFonts w:ascii="微軟正黑體" w:cs="微軟正黑體" w:eastAsia="微軟正黑體" w:hAnsi="微軟正黑體"/>
          <w:sz w:val="21"/>
          <w:szCs w:val="21"/>
        </w:rPr>
        <w:t xml:space="preserve">‧ 製作局限空間作業、高處作業及水下作業之安全教育訓練素材。</w:t>
      </w:r>
    </w:p>
    <w:p>
      <w:pPr>
        <w:spacing w:after="90" w:line="300"/>
        <w:ind w:left="340" w:hanging="200"/>
      </w:pPr>
      <w:r>
        <w:rPr>
          <w:rFonts w:ascii="微軟正黑體" w:cs="微軟正黑體" w:eastAsia="微軟正黑體" w:hAnsi="微軟正黑體"/>
          <w:sz w:val="21"/>
          <w:szCs w:val="21"/>
        </w:rPr>
        <w:t xml:space="preserve">‧ 提供方案溝通與決策說明用之沉浸式呈現。</w:t>
      </w:r>
    </w:p>
    <w:p>
      <w:pPr>
        <w:shd w:fill="F2F5FA" w:val="clear"/>
        <w:spacing w:after="160" w:before="80" w:line="290"/>
        <w:ind w:left="220"/>
      </w:pPr>
      <w:r>
        <w:rPr>
          <w:rFonts w:ascii="微軟正黑體" w:cs="微軟正黑體" w:eastAsia="微軟正黑體" w:hAnsi="微軟正黑體"/>
          <w:color w:val="444444"/>
          <w:sz w:val="19"/>
          <w:szCs w:val="19"/>
        </w:rPr>
        <w:t xml:space="preserve">範圍界定：本項為方案視覺化與教育訓練用途。進出塢排程之衝突分析屬四維建築資訊模型結合離散事件模擬之範疇，不在本項承諾範圍內。</w:t>
      </w:r>
    </w:p>
    <w:p>
      <w:pPr>
        <w:shd w:fill="F2F5FA" w:val="clear"/>
        <w:spacing w:after="160" w:before="80" w:line="290"/>
        <w:ind w:left="220"/>
      </w:pPr>
      <w:r>
        <w:rPr>
          <w:rFonts w:ascii="微軟正黑體" w:cs="微軟正黑體" w:eastAsia="微軟正黑體" w:hAnsi="微軟正黑體"/>
          <w:color w:val="444444"/>
          <w:sz w:val="19"/>
          <w:szCs w:val="19"/>
        </w:rPr>
        <w:t xml:space="preserve">前提條件：三維掃描、攝影及沉浸式素材之製作與使用，均須先取得業主及軍方對於可攜入設備、可採集資料與可對外呈現範圍之核可。相關事項詳見第拾貳章之二。</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柒、核心承諾服務事項 D：碳數據基礎建置</w:t>
      </w:r>
    </w:p>
    <w:p>
      <w:pPr>
        <w:spacing w:after="100" w:before="240"/>
      </w:pPr>
      <w:r>
        <w:rPr>
          <w:rFonts w:ascii="微軟正黑體" w:cs="微軟正黑體" w:eastAsia="微軟正黑體" w:hAnsi="微軟正黑體"/>
          <w:b/>
          <w:bCs/>
          <w:color w:val="2E5496"/>
          <w:sz w:val="23"/>
          <w:szCs w:val="23"/>
        </w:rPr>
        <w:t xml:space="preserve">七之一　工項碳數據隨標單建置</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於第肆章標單治理流程運作之同時，就主要工項附加材料用量、運輸距離與施工機具耗能之基礎數據欄位。</w:t>
      </w:r>
    </w:p>
    <w:p>
      <w:pPr>
        <w:spacing w:after="90" w:line="300"/>
        <w:ind w:left="340" w:hanging="200"/>
      </w:pPr>
      <w:r>
        <w:rPr>
          <w:rFonts w:ascii="微軟正黑體" w:cs="微軟正黑體" w:eastAsia="微軟正黑體" w:hAnsi="微軟正黑體"/>
          <w:sz w:val="21"/>
          <w:szCs w:val="21"/>
        </w:rPr>
        <w:t xml:space="preserve">‧ 數據隨標單建立，不另行建置平行資料庫。</w:t>
      </w:r>
    </w:p>
    <w:p>
      <w:pPr>
        <w:spacing w:after="90" w:line="300"/>
        <w:ind w:left="340" w:hanging="200"/>
      </w:pPr>
      <w:r>
        <w:rPr>
          <w:rFonts w:ascii="微軟正黑體" w:cs="微軟正黑體" w:eastAsia="微軟正黑體" w:hAnsi="微軟正黑體"/>
          <w:sz w:val="21"/>
          <w:szCs w:val="21"/>
        </w:rPr>
        <w:t xml:space="preserve">‧ 資料來源以供應商提供之環境產品聲明及實際採購紀錄為優先。</w:t>
      </w:r>
    </w:p>
    <w:p>
      <w:pPr>
        <w:spacing w:after="90" w:line="300"/>
        <w:ind w:left="340" w:hanging="200"/>
      </w:pPr>
      <w:r>
        <w:rPr>
          <w:rFonts w:ascii="微軟正黑體" w:cs="微軟正黑體" w:eastAsia="微軟正黑體" w:hAnsi="微軟正黑體"/>
          <w:sz w:val="21"/>
          <w:szCs w:val="21"/>
        </w:rPr>
        <w:t xml:space="preserve">‧ 無可用係數之工項，明列為資料缺口，不以推估值充數。</w:t>
      </w:r>
    </w:p>
    <w:p>
      <w:pPr>
        <w:spacing w:after="100" w:before="240"/>
      </w:pPr>
      <w:r>
        <w:rPr>
          <w:rFonts w:ascii="微軟正黑體" w:cs="微軟正黑體" w:eastAsia="微軟正黑體" w:hAnsi="微軟正黑體"/>
          <w:b/>
          <w:bCs/>
          <w:color w:val="2E5496"/>
          <w:sz w:val="23"/>
          <w:szCs w:val="23"/>
        </w:rPr>
        <w:t xml:space="preserve">七之二　施工階段能資源使用紀錄</w:t>
      </w:r>
    </w:p>
    <w:p>
      <w:pPr>
        <w:spacing w:after="90" w:line="300"/>
        <w:ind w:left="340" w:hanging="200"/>
      </w:pPr>
      <w:r>
        <w:rPr>
          <w:rFonts w:ascii="微軟正黑體" w:cs="微軟正黑體" w:eastAsia="微軟正黑體" w:hAnsi="微軟正黑體"/>
          <w:sz w:val="21"/>
          <w:szCs w:val="21"/>
        </w:rPr>
        <w:t xml:space="preserve">‧ 工地用電、用水、柴油及主要機具運轉時數之逐月紀錄。</w:t>
      </w:r>
    </w:p>
    <w:p>
      <w:pPr>
        <w:spacing w:after="90" w:line="300"/>
        <w:ind w:left="340" w:hanging="200"/>
      </w:pPr>
      <w:r>
        <w:rPr>
          <w:rFonts w:ascii="微軟正黑體" w:cs="微軟正黑體" w:eastAsia="微軟正黑體" w:hAnsi="微軟正黑體"/>
          <w:sz w:val="21"/>
          <w:szCs w:val="21"/>
        </w:rPr>
        <w:t xml:space="preserve">‧ 廢棄物產出量與去化方式紀錄。</w:t>
      </w:r>
    </w:p>
    <w:p>
      <w:pPr>
        <w:spacing w:after="90" w:line="300"/>
        <w:ind w:left="340" w:hanging="200"/>
      </w:pPr>
      <w:r>
        <w:rPr>
          <w:rFonts w:ascii="微軟正黑體" w:cs="微軟正黑體" w:eastAsia="微軟正黑體" w:hAnsi="微軟正黑體"/>
          <w:sz w:val="21"/>
          <w:szCs w:val="21"/>
        </w:rPr>
        <w:t xml:space="preserve">‧ 紀錄格式配合業主既有報表需求設計，可直接供業主之盤查作業使用。</w:t>
      </w:r>
    </w:p>
    <w:p>
      <w:pPr>
        <w:spacing w:after="100" w:before="240"/>
      </w:pPr>
      <w:r>
        <w:rPr>
          <w:rFonts w:ascii="微軟正黑體" w:cs="微軟正黑體" w:eastAsia="微軟正黑體" w:hAnsi="微軟正黑體"/>
          <w:b/>
          <w:bCs/>
          <w:color w:val="2E5496"/>
          <w:sz w:val="23"/>
          <w:szCs w:val="23"/>
        </w:rPr>
        <w:t xml:space="preserve">七之三　人員能力建置</w:t>
      </w:r>
    </w:p>
    <w:p>
      <w:pPr>
        <w:spacing w:after="90" w:line="300"/>
        <w:ind w:left="340" w:hanging="200"/>
      </w:pPr>
      <w:r>
        <w:rPr>
          <w:rFonts w:ascii="微軟正黑體" w:cs="微軟正黑體" w:eastAsia="微軟正黑體" w:hAnsi="微軟正黑體"/>
          <w:sz w:val="21"/>
          <w:szCs w:val="21"/>
        </w:rPr>
        <w:t xml:space="preserve">‧ 指派專責人員接受溫室氣體盤查相關訓練並取得結業資格。</w:t>
      </w:r>
    </w:p>
    <w:p>
      <w:pPr>
        <w:spacing w:after="90" w:line="300"/>
        <w:ind w:left="340" w:hanging="200"/>
      </w:pPr>
      <w:r>
        <w:rPr>
          <w:rFonts w:ascii="微軟正黑體" w:cs="微軟正黑體" w:eastAsia="微軟正黑體" w:hAnsi="微軟正黑體"/>
          <w:sz w:val="21"/>
          <w:szCs w:val="21"/>
        </w:rPr>
        <w:t xml:space="preserve">‧ 建立內部資料蒐集標準作業程序，降低長期委外成本。</w:t>
      </w:r>
    </w:p>
    <w:p>
      <w:pPr>
        <w:shd w:fill="F2F5FA" w:val="clear"/>
        <w:spacing w:after="160" w:before="80" w:line="290"/>
        <w:ind w:left="220"/>
      </w:pPr>
      <w:r>
        <w:rPr>
          <w:rFonts w:ascii="微軟正黑體" w:cs="微軟正黑體" w:eastAsia="微軟正黑體" w:hAnsi="微軟正黑體"/>
          <w:color w:val="444444"/>
          <w:sz w:val="19"/>
          <w:szCs w:val="19"/>
        </w:rPr>
        <w:t xml:space="preserve">範圍界定：本章交付內容為碳數據之蒐集、紀錄與整理。組織型溫室氣體盤查之查證、產品碳足跡查證、物質流成本會計之導入，以及業主之永續資訊揭露，均須由具備相應資格之查證機構或顧問辦理，列為選項服務。提報單位提供之數據可供該等作業使用，惟不承擔查證意見之責任。</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捌、選項服務事項</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下列項目之技術路徑可行，惟均受制於第三方核准或尚未覓得執行單位。本建議書列為選項，於取得核准並確認執行單位後，另案提送規劃書及報價。核准前不構成履約義務。</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000"/>
        <w:gridCol w:w="3600"/>
        <w:gridCol w:w="3426"/>
      </w:tblGrid>
      <w:tr>
        <w:trPr>
          <w:tblHeader/>
        </w:trPr>
        <w:tc>
          <w:tcPr>
            <w:tcW w:type="dxa" w:w="2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項　目</w:t>
            </w:r>
          </w:p>
        </w:tc>
        <w:tc>
          <w:tcPr>
            <w:tcW w:type="dxa" w:w="3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內　容</w:t>
            </w:r>
          </w:p>
        </w:tc>
        <w:tc>
          <w:tcPr>
            <w:tcW w:type="dxa" w:w="34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前提條件</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屋頂太陽光電</w:t>
            </w:r>
          </w:p>
        </w:tc>
        <w:tc>
          <w:tcPr>
            <w:tcW w:type="dxa" w:w="3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改建廠房及新增庫房屋頂設置太陽光電系統之可行性評估與設置</w:t>
            </w:r>
          </w:p>
        </w:tc>
        <w:tc>
          <w:tcPr>
            <w:tcW w:type="dxa" w:w="34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屋面結構承載檢核、業主核准、台電併聯審查</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戰備儲能與微電網</w:t>
            </w:r>
          </w:p>
        </w:tc>
        <w:tc>
          <w:tcPr>
            <w:tcW w:type="dxa" w:w="3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儲能系統與微電網之規劃、設置及平戰轉換運作</w:t>
            </w:r>
          </w:p>
        </w:tc>
        <w:tc>
          <w:tcPr>
            <w:tcW w:type="dxa" w:w="34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海軍及國防部核准、消防及危險物品法規、軍事設施安全規定、資通安全審查、防火避難綜合檢討</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能耗監測與能源管理</w:t>
            </w:r>
          </w:p>
        </w:tc>
        <w:tc>
          <w:tcPr>
            <w:tcW w:type="dxa" w:w="3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智慧電表、物聯網感測與能源管理系統建置</w:t>
            </w:r>
          </w:p>
        </w:tc>
        <w:tc>
          <w:tcPr>
            <w:tcW w:type="dxa" w:w="34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需另覓系統整合廠商、平台資安審查、長期維運人力配置</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人工智慧影像判釋</w:t>
            </w:r>
          </w:p>
        </w:tc>
        <w:tc>
          <w:tcPr>
            <w:tcW w:type="dxa" w:w="3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塢壁及碼頭缺陷之自動化影像辨識</w:t>
            </w:r>
          </w:p>
        </w:tc>
        <w:tc>
          <w:tcPr>
            <w:tcW w:type="dxa" w:w="34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需累積足量標註影像資料、需另覓技術單位、預估養成期二年以上</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水下無人載具巡檢</w:t>
            </w:r>
          </w:p>
        </w:tc>
        <w:tc>
          <w:tcPr>
            <w:tcW w:type="dxa" w:w="3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碼頭水下結構之無人載具影像巡檢</w:t>
            </w:r>
          </w:p>
        </w:tc>
        <w:tc>
          <w:tcPr>
            <w:tcW w:type="dxa" w:w="34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需另覓專業廠商、港區作業許可、軍方核准、水域作業環保規定</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結構補強設計與簽證</w:t>
            </w:r>
          </w:p>
        </w:tc>
        <w:tc>
          <w:tcPr>
            <w:tcW w:type="dxa" w:w="3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船塢、碼頭及廠房之結構補強設計</w:t>
            </w:r>
          </w:p>
        </w:tc>
        <w:tc>
          <w:tcPr>
            <w:tcW w:type="dxa" w:w="34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須委由結構技師事務所辦理並負專業責任</w:t>
            </w:r>
          </w:p>
        </w:tc>
      </w:tr>
      <w:tr>
        <w:tc>
          <w:tcPr>
            <w:tcW w:type="dxa" w:w="2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防火避難綜合檢討</w:t>
            </w:r>
          </w:p>
        </w:tc>
        <w:tc>
          <w:tcPr>
            <w:tcW w:type="dxa" w:w="3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廠房外牆防火時效、庫房防火區劃及儲能設置之消防分區檢討</w:t>
            </w:r>
          </w:p>
        </w:tc>
        <w:tc>
          <w:tcPr>
            <w:tcW w:type="dxa" w:w="34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須委由專業單位辦理，責任歸屬待業主釐清</w:t>
            </w:r>
          </w:p>
        </w:tc>
      </w:tr>
      <w:tr>
        <w:tc>
          <w:tcPr>
            <w:tcW w:type="dxa" w:w="2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碳查證與永續揭露</w:t>
            </w:r>
          </w:p>
        </w:tc>
        <w:tc>
          <w:tcPr>
            <w:tcW w:type="dxa" w:w="3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溫室氣體盤查查證、產品碳足跡、物質流成本會計、永續資訊揭露支援</w:t>
            </w:r>
          </w:p>
        </w:tc>
        <w:tc>
          <w:tcPr>
            <w:tcW w:type="dxa" w:w="34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須委由具服務能量登錄之查證機構或顧問辦理</w:t>
            </w:r>
          </w:p>
        </w:tc>
      </w:tr>
    </w:tbl>
    <w:p>
      <w:pPr>
        <w:shd w:fill="F2F5FA" w:val="clear"/>
        <w:spacing w:after="160" w:before="80" w:line="290"/>
        <w:ind w:left="220"/>
      </w:pPr>
      <w:r>
        <w:rPr>
          <w:rFonts w:ascii="微軟正黑體" w:cs="微軟正黑體" w:eastAsia="微軟正黑體" w:hAnsi="微軟正黑體"/>
          <w:color w:val="444444"/>
          <w:sz w:val="19"/>
          <w:szCs w:val="19"/>
        </w:rPr>
        <w:t xml:space="preserve">說明：前版將上列多數項目列為技術訴求並隱含承諾。經檢核，該等項目於本建議書提報時均無對應之執行單位或核准依據。將其誠實列為選項並說明前提條件，較之列入承諾而無法交付，對雙方均為較低風險之作法。</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玖、執行架構：四道決策 Gate</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本案以決策 Gate 推進。每一道 Gate 均須產生可核定之成果，Gate 未通過者，不得將未核定資訊帶入下一階段之採購或施工。</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300"/>
        <w:gridCol w:w="2200"/>
        <w:gridCol w:w="3000"/>
        <w:gridCol w:w="2526"/>
      </w:tblGrid>
      <w:tr>
        <w:trPr>
          <w:tblHeader/>
        </w:trPr>
        <w:tc>
          <w:tcPr>
            <w:tcW w:type="dxa" w:w="13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Gate</w:t>
            </w:r>
          </w:p>
        </w:tc>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階　段</w:t>
            </w:r>
          </w:p>
        </w:tc>
        <w:tc>
          <w:tcPr>
            <w:tcW w:type="dxa" w:w="30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應產出成果</w:t>
            </w:r>
          </w:p>
        </w:tc>
        <w:tc>
          <w:tcPr>
            <w:tcW w:type="dxa" w:w="25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通過判準</w:t>
            </w:r>
          </w:p>
        </w:tc>
      </w:tr>
      <w:tr>
        <w:tc>
          <w:tcPr>
            <w:tcW w:type="dxa" w:w="1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G01</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啟動與現況盤查</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現況基線模型、異點清單、位置編碼與證據資料</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盤查區域全數完成且具證據；基線經業主核定定版</w:t>
            </w:r>
          </w:p>
        </w:tc>
      </w:tr>
      <w:tr>
        <w:tc>
          <w:tcPr>
            <w:tcW w:type="dxa" w:w="1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G02</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大系統核定</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系統容量、主要幹線、管道空間配置、重大問題單結案</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重大衝突結案率達標；容量與空間決策經核定</w:t>
            </w:r>
          </w:p>
        </w:tc>
      </w:tr>
      <w:tr>
        <w:tc>
          <w:tcPr>
            <w:tcW w:type="dxa" w:w="13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G03</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可施工版本</w:t>
            </w:r>
          </w:p>
        </w:tc>
        <w:tc>
          <w:tcPr>
            <w:tcW w:type="dxa" w:w="30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細部整合模型、標單回寫、低碳替代方案比選核定</w:t>
            </w:r>
          </w:p>
        </w:tc>
        <w:tc>
          <w:tcPr>
            <w:tcW w:type="dxa" w:w="25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圖說、模型與標單同版；未核定變更為零</w:t>
            </w:r>
          </w:p>
        </w:tc>
      </w:tr>
      <w:tr>
        <w:tc>
          <w:tcPr>
            <w:tcW w:type="dxa" w:w="13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G04</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竣工與移交</w:t>
            </w:r>
          </w:p>
        </w:tc>
        <w:tc>
          <w:tcPr>
            <w:tcW w:type="dxa" w:w="30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竣工模型、設備屬性、維護履歷、決策紀錄與數位資產</w:t>
            </w:r>
          </w:p>
        </w:tc>
        <w:tc>
          <w:tcPr>
            <w:tcW w:type="dxa" w:w="25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竣工資料與現場一致；資產完整移交業主</w:t>
            </w:r>
          </w:p>
        </w:tc>
      </w:tr>
    </w:tbl>
    <w:p>
      <w:pPr>
        <w:spacing w:after="100" w:before="240"/>
      </w:pPr>
      <w:r>
        <w:rPr>
          <w:rFonts w:ascii="微軟正黑體" w:cs="微軟正黑體" w:eastAsia="微軟正黑體" w:hAnsi="微軟正黑體"/>
          <w:b/>
          <w:bCs/>
          <w:color w:val="2E5496"/>
          <w:sz w:val="23"/>
          <w:szCs w:val="23"/>
        </w:rPr>
        <w:t xml:space="preserve">九之一　Gate 制對計價之意義</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各 Gate 之產出為可獨立驗收之成果。服務費用依 Gate 完成進度計價，使數位治理相關服務之收費依據明確，避免與工程主體單價混淆。</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拾、管理指標</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下列指標為本案建議之管控標準，供啟動會議討論核定。核定後納入週報及月報。</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2600"/>
        <w:gridCol w:w="2200"/>
        <w:gridCol w:w="4226"/>
      </w:tblGrid>
      <w:tr>
        <w:trPr>
          <w:tblHeader/>
        </w:trPr>
        <w:tc>
          <w:tcPr>
            <w:tcW w:type="dxa" w:w="2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指　標</w:t>
            </w:r>
          </w:p>
        </w:tc>
        <w:tc>
          <w:tcPr>
            <w:tcW w:type="dxa" w:w="22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建議目標值</w:t>
            </w:r>
          </w:p>
        </w:tc>
        <w:tc>
          <w:tcPr>
            <w:tcW w:type="dxa" w:w="42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意　義</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現況盤查結案率</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第一個月達 100%</w:t>
            </w:r>
          </w:p>
        </w:tc>
        <w:tc>
          <w:tcPr>
            <w:tcW w:type="dxa" w:w="4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盤查區域全數完成且留有證據</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重大問題單回應時間</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48 小時內</w:t>
            </w:r>
          </w:p>
        </w:tc>
        <w:tc>
          <w:tcPr>
            <w:tcW w:type="dxa" w:w="4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A 級問題不影響現場作業</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重大衝突結案率</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Gate 前達 90% 以上</w:t>
            </w:r>
          </w:p>
        </w:tc>
        <w:tc>
          <w:tcPr>
            <w:tcW w:type="dxa" w:w="4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進入施工版本前完成整合</w:t>
            </w:r>
          </w:p>
        </w:tc>
      </w:tr>
      <w:tr>
        <w:tc>
          <w:tcPr>
            <w:tcW w:type="dxa" w:w="2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圖模版本一致率</w:t>
            </w:r>
          </w:p>
        </w:tc>
        <w:tc>
          <w:tcPr>
            <w:tcW w:type="dxa" w:w="22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核定版達 100%</w:t>
            </w:r>
          </w:p>
        </w:tc>
        <w:tc>
          <w:tcPr>
            <w:tcW w:type="dxa" w:w="42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模型、圖說與現場同一版本</w:t>
            </w:r>
          </w:p>
        </w:tc>
      </w:tr>
      <w:tr>
        <w:tc>
          <w:tcPr>
            <w:tcW w:type="dxa" w:w="2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未核定變更施工件數</w:t>
            </w:r>
          </w:p>
        </w:tc>
        <w:tc>
          <w:tcPr>
            <w:tcW w:type="dxa" w:w="22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目標 0 件</w:t>
            </w:r>
          </w:p>
        </w:tc>
        <w:tc>
          <w:tcPr>
            <w:tcW w:type="dxa" w:w="42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成本與責任先核定再施工</w:t>
            </w:r>
          </w:p>
        </w:tc>
      </w:tr>
    </w:tbl>
    <w:p>
      <w:pPr>
        <w:shd w:fill="F2F5FA" w:val="clear"/>
        <w:spacing w:after="160" w:before="80" w:line="290"/>
        <w:ind w:left="220"/>
      </w:pPr>
      <w:r>
        <w:rPr>
          <w:rFonts w:ascii="微軟正黑體" w:cs="微軟正黑體" w:eastAsia="微軟正黑體" w:hAnsi="微軟正黑體"/>
          <w:color w:val="444444"/>
          <w:sz w:val="19"/>
          <w:szCs w:val="19"/>
        </w:rPr>
        <w:t xml:space="preserve">性質說明：上列數值為提報之管控目標，並非既有實績之量測值。實際達成率將於各 Gate 檢討會議中報告。</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拾壹、推動期程</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本建議書提報時已進入民國 115 年下半年，可運用期間有限。為避免排定無法達成之進度，期程自民國 116 年起算。</w:t>
      </w:r>
    </w:p>
    <w:tbl>
      <w:tblPr>
        <w:tblW w:type="dxa" w:w="9026"/>
        <w:tblBorders>
          <w:top w:val="single" w:color="AAB4C4" w:sz="4"/>
          <w:left w:val="single" w:color="AAB4C4" w:sz="4"/>
          <w:bottom w:val="single" w:color="AAB4C4" w:sz="4"/>
          <w:right w:val="single" w:color="AAB4C4" w:sz="4"/>
          <w:insideH w:val="single" w:color="C8D0DC" w:sz="2"/>
          <w:insideV w:val="single" w:color="C8D0DC" w:sz="2"/>
        </w:tblBorders>
        <w:tblLayout w:type="fixed"/>
      </w:tblPr>
      <w:tblGrid>
        <w:gridCol w:w="1600"/>
        <w:gridCol w:w="2400"/>
        <w:gridCol w:w="5026"/>
      </w:tblGrid>
      <w:tr>
        <w:trPr>
          <w:tblHeader/>
        </w:trPr>
        <w:tc>
          <w:tcPr>
            <w:tcW w:type="dxa" w:w="16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期　程</w:t>
            </w:r>
          </w:p>
        </w:tc>
        <w:tc>
          <w:tcPr>
            <w:tcW w:type="dxa" w:w="2400"/>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階　段</w:t>
            </w:r>
          </w:p>
        </w:tc>
        <w:tc>
          <w:tcPr>
            <w:tcW w:type="dxa" w:w="5026"/>
            <w:shd w:fill="1F3864" w:val="clear"/>
            <w:tcMar>
              <w:top w:type="dxa" w:w="80"/>
              <w:left w:type="dxa" w:w="100"/>
              <w:bottom w:type="dxa" w:w="80"/>
              <w:right w:type="dxa" w:w="100"/>
            </w:tcMar>
          </w:tcPr>
          <w:p>
            <w:pPr>
              <w:spacing w:line="260"/>
              <w:jc w:val="center"/>
            </w:pPr>
            <w:r>
              <w:rPr>
                <w:rFonts w:ascii="微軟正黑體" w:cs="微軟正黑體" w:eastAsia="微軟正黑體" w:hAnsi="微軟正黑體"/>
                <w:b/>
                <w:bCs/>
                <w:color w:val="FFFFFF"/>
                <w:sz w:val="19"/>
                <w:szCs w:val="19"/>
              </w:rPr>
              <w:t xml:space="preserve">主要工作</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115 年 第4季</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前置準備</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釐清發包方式、保密與資安條件、協力廠商同意書取得、現況資料調閱</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116 年 上半年</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G01 現況基線</w:t>
            </w:r>
          </w:p>
        </w:tc>
        <w:tc>
          <w:tcPr>
            <w:tcW w:type="dxa" w:w="5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廠房及庫房現況盤查、異點清單、基線定版；船塢碼頭首次三維掃描</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116 年 下半年</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G02 大系統核定</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系統容量與主線核定、管道空間配置、重大問題單結案、低碳材料試拌</w:t>
            </w:r>
          </w:p>
        </w:tc>
      </w:tr>
      <w:tr>
        <w:tc>
          <w:tcPr>
            <w:tcW w:type="dxa" w:w="16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117 年</w:t>
            </w:r>
          </w:p>
        </w:tc>
        <w:tc>
          <w:tcPr>
            <w:tcW w:type="dxa" w:w="2400"/>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G03 可施工版本</w:t>
            </w:r>
          </w:p>
        </w:tc>
        <w:tc>
          <w:tcPr>
            <w:tcW w:type="dxa" w:w="5026"/>
            <w:shd w:fill="F5F7FA" w:val="clear"/>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細部整合、標單回寫、低碳替代方案比選核定、塢壁層縫分段施作</w:t>
            </w:r>
          </w:p>
        </w:tc>
      </w:tr>
      <w:tr>
        <w:tc>
          <w:tcPr>
            <w:tcW w:type="dxa" w:w="16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118 年</w:t>
            </w:r>
          </w:p>
        </w:tc>
        <w:tc>
          <w:tcPr>
            <w:tcW w:type="dxa" w:w="2400"/>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G04 竣工與移交</w:t>
            </w:r>
          </w:p>
        </w:tc>
        <w:tc>
          <w:tcPr>
            <w:tcW w:type="dxa" w:w="5026"/>
            <w:tcMar>
              <w:top w:type="dxa" w:w="70"/>
              <w:left w:type="dxa" w:w="100"/>
              <w:bottom w:type="dxa" w:w="70"/>
              <w:right w:type="dxa" w:w="100"/>
            </w:tcMar>
          </w:tcPr>
          <w:p>
            <w:pPr>
              <w:spacing w:line="260"/>
              <w:jc w:val="left"/>
            </w:pPr>
            <w:r>
              <w:rPr>
                <w:rFonts w:ascii="微軟正黑體" w:cs="微軟正黑體" w:eastAsia="微軟正黑體" w:hAnsi="微軟正黑體"/>
                <w:b w:val="false"/>
                <w:bCs w:val="false"/>
                <w:sz w:val="19"/>
                <w:szCs w:val="19"/>
              </w:rPr>
              <w:t xml:space="preserve">竣工模型與數位資產移交、電位量測趨勢報告、碳數據彙整移交</w:t>
            </w:r>
          </w:p>
        </w:tc>
      </w:tr>
    </w:tbl>
    <w:p>
      <w:pPr>
        <w:shd w:fill="F2F5FA" w:val="clear"/>
        <w:spacing w:after="160" w:before="80" w:line="290"/>
        <w:ind w:left="220"/>
      </w:pPr>
      <w:r>
        <w:rPr>
          <w:rFonts w:ascii="微軟正黑體" w:cs="微軟正黑體" w:eastAsia="微軟正黑體" w:hAnsi="微軟正黑體"/>
          <w:color w:val="444444"/>
          <w:sz w:val="19"/>
          <w:szCs w:val="19"/>
        </w:rPr>
        <w:t xml:space="preserve">期程調整說明：前版將第一階段訂於民國 115 年，內含屋頂光電及儲能之法規查核與主管機關意見徵詢。以本建議書提報時點計算，該階段僅餘約四個月，且協力單位尚未到位，該排程不具可行性，故予以重排。</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拾貳、前提條件與待確認事項</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下列事項將實質影響本建議書之服務範圍與可行性，敬請業主協助釐清。部分事項之答案將決定特定章節之存廢。</w:t>
      </w:r>
    </w:p>
    <w:p>
      <w:pPr>
        <w:spacing w:after="100" w:before="240"/>
      </w:pPr>
      <w:r>
        <w:rPr>
          <w:rFonts w:ascii="微軟正黑體" w:cs="微軟正黑體" w:eastAsia="微軟正黑體" w:hAnsi="微軟正黑體"/>
          <w:b/>
          <w:bCs/>
          <w:color w:val="2E5496"/>
          <w:sz w:val="23"/>
          <w:szCs w:val="23"/>
        </w:rPr>
        <w:t xml:space="preserve">十二之一　發包方式</w:t>
      </w:r>
    </w:p>
    <w:p>
      <w:pPr>
        <w:spacing w:after="90" w:line="300"/>
        <w:ind w:left="340" w:hanging="200"/>
      </w:pPr>
      <w:r>
        <w:rPr>
          <w:rFonts w:ascii="微軟正黑體" w:cs="微軟正黑體" w:eastAsia="微軟正黑體" w:hAnsi="微軟正黑體"/>
          <w:sz w:val="21"/>
          <w:szCs w:val="21"/>
        </w:rPr>
        <w:t xml:space="preserve">‧ 本案採最低標或最有利標？技術評分之配置比重為何？</w:t>
      </w:r>
    </w:p>
    <w:p>
      <w:pPr>
        <w:spacing w:after="90" w:line="300"/>
        <w:ind w:left="340" w:hanging="200"/>
      </w:pPr>
      <w:r>
        <w:rPr>
          <w:rFonts w:ascii="微軟正黑體" w:cs="微軟正黑體" w:eastAsia="微軟正黑體" w:hAnsi="微軟正黑體"/>
          <w:sz w:val="21"/>
          <w:szCs w:val="21"/>
        </w:rPr>
        <w:t xml:space="preserve">‧ 設計監造與施工係分離發包或統包？</w:t>
      </w:r>
    </w:p>
    <w:p>
      <w:pPr>
        <w:spacing w:after="90" w:line="300"/>
        <w:ind w:left="340" w:hanging="200"/>
      </w:pPr>
      <w:r>
        <w:rPr>
          <w:rFonts w:ascii="微軟正黑體" w:cs="微軟正黑體" w:eastAsia="微軟正黑體" w:hAnsi="微軟正黑體"/>
          <w:sz w:val="21"/>
          <w:szCs w:val="21"/>
        </w:rPr>
        <w:t xml:space="preserve">‧ 技術建議書所載事項是否列為契約履約內容？</w:t>
      </w:r>
    </w:p>
    <w:p>
      <w:pPr>
        <w:shd w:fill="F2F5FA" w:val="clear"/>
        <w:spacing w:after="160" w:before="80" w:line="290"/>
        <w:ind w:left="220"/>
      </w:pPr>
      <w:r>
        <w:rPr>
          <w:rFonts w:ascii="微軟正黑體" w:cs="微軟正黑體" w:eastAsia="微軟正黑體" w:hAnsi="微軟正黑體"/>
          <w:color w:val="444444"/>
          <w:sz w:val="19"/>
          <w:szCs w:val="19"/>
        </w:rPr>
        <w:t xml:space="preserve">影響：若採最低標，第肆章及第陸章之數位服務不僅無評分效益，且將墊高投標成本，屆時應大幅精簡。此為本建議書內容取捨之首要前提。</w:t>
      </w:r>
    </w:p>
    <w:p>
      <w:pPr>
        <w:spacing w:after="100" w:before="240"/>
      </w:pPr>
      <w:r>
        <w:rPr>
          <w:rFonts w:ascii="微軟正黑體" w:cs="微軟正黑體" w:eastAsia="微軟正黑體" w:hAnsi="微軟正黑體"/>
          <w:b/>
          <w:bCs/>
          <w:color w:val="2E5496"/>
          <w:sz w:val="23"/>
          <w:szCs w:val="23"/>
        </w:rPr>
        <w:t xml:space="preserve">十二之二　保密與資通安全</w:t>
      </w:r>
    </w:p>
    <w:p>
      <w:pPr>
        <w:spacing w:after="90" w:line="300"/>
        <w:ind w:left="340" w:hanging="200"/>
      </w:pPr>
      <w:r>
        <w:rPr>
          <w:rFonts w:ascii="微軟正黑體" w:cs="微軟正黑體" w:eastAsia="微軟正黑體" w:hAnsi="微軟正黑體"/>
          <w:sz w:val="21"/>
          <w:szCs w:val="21"/>
        </w:rPr>
        <w:t xml:space="preserve">‧ 潛船廠房及潛機廠房區域可攜入之設備範圍（平板電腦、相機、三維掃描儀、無人機）為何？</w:t>
      </w:r>
    </w:p>
    <w:p>
      <w:pPr>
        <w:spacing w:after="90" w:line="300"/>
        <w:ind w:left="340" w:hanging="200"/>
      </w:pPr>
      <w:r>
        <w:rPr>
          <w:rFonts w:ascii="微軟正黑體" w:cs="微軟正黑體" w:eastAsia="微軟正黑體" w:hAnsi="微軟正黑體"/>
          <w:sz w:val="21"/>
          <w:szCs w:val="21"/>
        </w:rPr>
        <w:t xml:space="preserve">‧ 可採集與可留存之資料類型為何？點雲模型、照片、影像是否受管制？</w:t>
      </w:r>
    </w:p>
    <w:p>
      <w:pPr>
        <w:spacing w:after="90" w:line="300"/>
        <w:ind w:left="340" w:hanging="200"/>
      </w:pPr>
      <w:r>
        <w:rPr>
          <w:rFonts w:ascii="微軟正黑體" w:cs="微軟正黑體" w:eastAsia="微軟正黑體" w:hAnsi="微軟正黑體"/>
          <w:sz w:val="21"/>
          <w:szCs w:val="21"/>
        </w:rPr>
        <w:t xml:space="preserve">‧ 共用平台可否使用雲端服務？是否要求地端部署？資料可否境外傳輸？</w:t>
      </w:r>
    </w:p>
    <w:p>
      <w:pPr>
        <w:spacing w:after="90" w:line="300"/>
        <w:ind w:left="340" w:hanging="200"/>
      </w:pPr>
      <w:r>
        <w:rPr>
          <w:rFonts w:ascii="微軟正黑體" w:cs="微軟正黑體" w:eastAsia="微軟正黑體" w:hAnsi="微軟正黑體"/>
          <w:sz w:val="21"/>
          <w:szCs w:val="21"/>
        </w:rPr>
        <w:t xml:space="preserve">‧ 協力單位人員（含學研團隊研究生）之身分查核程序與作業期程為何？</w:t>
      </w:r>
    </w:p>
    <w:p>
      <w:pPr>
        <w:spacing w:after="90" w:line="300"/>
        <w:ind w:left="340" w:hanging="200"/>
      </w:pPr>
      <w:r>
        <w:rPr>
          <w:rFonts w:ascii="微軟正黑體" w:cs="微軟正黑體" w:eastAsia="微軟正黑體" w:hAnsi="微軟正黑體"/>
          <w:sz w:val="21"/>
          <w:szCs w:val="21"/>
        </w:rPr>
        <w:t xml:space="preserve">‧ 數位成果可否作為對外簡報或實績佐證使用？</w:t>
      </w:r>
    </w:p>
    <w:p>
      <w:pPr>
        <w:shd w:fill="F2F5FA" w:val="clear"/>
        <w:spacing w:after="160" w:before="80" w:line="290"/>
        <w:ind w:left="220"/>
      </w:pPr>
      <w:r>
        <w:rPr>
          <w:rFonts w:ascii="微軟正黑體" w:cs="微軟正黑體" w:eastAsia="微軟正黑體" w:hAnsi="微軟正黑體"/>
          <w:color w:val="444444"/>
          <w:sz w:val="19"/>
          <w:szCs w:val="19"/>
        </w:rPr>
        <w:t xml:space="preserve">影響：本項為第肆章及第陸章之關鍵前提。若三維掃描、攝影或雲端平台於管制區域內不獲核可，該二章之多數項目將無法執行，須另行研議替代作法。此事項應優先於一切技術規劃處理。</w:t>
      </w:r>
    </w:p>
    <w:p>
      <w:pPr>
        <w:spacing w:after="100" w:before="240"/>
      </w:pPr>
      <w:r>
        <w:rPr>
          <w:rFonts w:ascii="微軟正黑體" w:cs="微軟正黑體" w:eastAsia="微軟正黑體" w:hAnsi="微軟正黑體"/>
          <w:b/>
          <w:bCs/>
          <w:color w:val="2E5496"/>
          <w:sz w:val="23"/>
          <w:szCs w:val="23"/>
        </w:rPr>
        <w:t xml:space="preserve">十二之三　碼頭產權與租約</w:t>
      </w:r>
    </w:p>
    <w:p>
      <w:pPr>
        <w:spacing w:after="90" w:line="300"/>
        <w:ind w:left="340" w:hanging="200"/>
      </w:pPr>
      <w:r>
        <w:rPr>
          <w:rFonts w:ascii="微軟正黑體" w:cs="微軟正黑體" w:eastAsia="微軟正黑體" w:hAnsi="微軟正黑體"/>
          <w:sz w:val="21"/>
          <w:szCs w:val="21"/>
        </w:rPr>
        <w:t xml:space="preserve">‧ 向台灣港務公司承租之剩餘年期及續約條件為何？</w:t>
      </w:r>
    </w:p>
    <w:p>
      <w:pPr>
        <w:spacing w:after="90" w:line="300"/>
        <w:ind w:left="340" w:hanging="200"/>
      </w:pPr>
      <w:r>
        <w:rPr>
          <w:rFonts w:ascii="微軟正黑體" w:cs="微軟正黑體" w:eastAsia="微軟正黑體" w:hAnsi="微軟正黑體"/>
          <w:sz w:val="21"/>
          <w:szCs w:val="21"/>
        </w:rPr>
        <w:t xml:space="preserve">‧ 於承租碼頭結構上安裝永久性設施或感測裝置，是否須取得出租方書面同意？</w:t>
      </w:r>
    </w:p>
    <w:p>
      <w:pPr>
        <w:spacing w:after="90" w:line="300"/>
        <w:ind w:left="340" w:hanging="200"/>
      </w:pPr>
      <w:r>
        <w:rPr>
          <w:rFonts w:ascii="微軟正黑體" w:cs="微軟正黑體" w:eastAsia="微軟正黑體" w:hAnsi="微軟正黑體"/>
          <w:sz w:val="21"/>
          <w:szCs w:val="21"/>
        </w:rPr>
        <w:t xml:space="preserve">‧ 延壽投資之攤提年限應以租約年限或設施設計壽命為準？</w:t>
      </w:r>
    </w:p>
    <w:p>
      <w:pPr>
        <w:spacing w:after="100" w:before="240"/>
      </w:pPr>
      <w:r>
        <w:rPr>
          <w:rFonts w:ascii="微軟正黑體" w:cs="微軟正黑體" w:eastAsia="微軟正黑體" w:hAnsi="微軟正黑體"/>
          <w:b/>
          <w:bCs/>
          <w:color w:val="2E5496"/>
          <w:sz w:val="23"/>
          <w:szCs w:val="23"/>
        </w:rPr>
        <w:t xml:space="preserve">十二之四　防火避難檢討之責任歸屬</w:t>
      </w:r>
    </w:p>
    <w:p>
      <w:pPr>
        <w:spacing w:after="90" w:line="300"/>
        <w:ind w:left="340" w:hanging="200"/>
      </w:pPr>
      <w:r>
        <w:rPr>
          <w:rFonts w:ascii="微軟正黑體" w:cs="微軟正黑體" w:eastAsia="微軟正黑體" w:hAnsi="微軟正黑體"/>
          <w:sz w:val="21"/>
          <w:szCs w:val="21"/>
        </w:rPr>
        <w:t xml:space="preserve">‧ 新增庫房之防火區劃、撒水設備需求及堆高機動線檢討，由設計單位或施工單位負責？</w:t>
      </w:r>
    </w:p>
    <w:p>
      <w:pPr>
        <w:spacing w:after="90" w:line="300"/>
        <w:ind w:left="340" w:hanging="200"/>
      </w:pPr>
      <w:r>
        <w:rPr>
          <w:rFonts w:ascii="微軟正黑體" w:cs="微軟正黑體" w:eastAsia="微軟正黑體" w:hAnsi="微軟正黑體"/>
          <w:sz w:val="21"/>
          <w:szCs w:val="21"/>
        </w:rPr>
        <w:t xml:space="preserve">‧ 廠房外牆浪板更換之防火時效與延燒界線認定，責任歸屬為何？</w:t>
      </w:r>
    </w:p>
    <w:p>
      <w:pPr>
        <w:shd w:fill="F2F5FA" w:val="clear"/>
        <w:spacing w:after="160" w:before="80" w:line="290"/>
        <w:ind w:left="220"/>
      </w:pPr>
      <w:r>
        <w:rPr>
          <w:rFonts w:ascii="微軟正黑體" w:cs="微軟正黑體" w:eastAsia="微軟正黑體" w:hAnsi="微軟正黑體"/>
          <w:color w:val="444444"/>
          <w:sz w:val="19"/>
          <w:szCs w:val="19"/>
        </w:rPr>
        <w:t xml:space="preserve">影響：庫房之防火區劃面積限制將直接影響二三樓分區配置。此事項應於建築資訊模型建置前定案，否則將產生重工。</w:t>
      </w:r>
    </w:p>
    <w:p>
      <w:pPr>
        <w:spacing w:after="100" w:before="240"/>
      </w:pPr>
      <w:r>
        <w:rPr>
          <w:rFonts w:ascii="微軟正黑體" w:cs="微軟正黑體" w:eastAsia="微軟正黑體" w:hAnsi="微軟正黑體"/>
          <w:b/>
          <w:bCs/>
          <w:color w:val="2E5496"/>
          <w:sz w:val="23"/>
          <w:szCs w:val="23"/>
        </w:rPr>
        <w:t xml:space="preserve">十二之五　協力廠商同意書</w:t>
      </w:r>
    </w:p>
    <w:p>
      <w:pPr>
        <w:spacing w:after="90" w:line="300"/>
        <w:ind w:left="340" w:hanging="200"/>
      </w:pPr>
      <w:r>
        <w:rPr>
          <w:rFonts w:ascii="微軟正黑體" w:cs="微軟正黑體" w:eastAsia="微軟正黑體" w:hAnsi="微軟正黑體"/>
          <w:sz w:val="21"/>
          <w:szCs w:val="21"/>
        </w:rPr>
        <w:t xml:space="preserve">‧ 招標文件是否要求檢附協力廠商同意書或分包合約？</w:t>
      </w:r>
    </w:p>
    <w:p>
      <w:pPr>
        <w:spacing w:after="90" w:line="300"/>
        <w:ind w:left="340" w:hanging="200"/>
      </w:pPr>
      <w:r>
        <w:rPr>
          <w:rFonts w:ascii="微軟正黑體" w:cs="微軟正黑體" w:eastAsia="微軟正黑體" w:hAnsi="微軟正黑體"/>
          <w:sz w:val="21"/>
          <w:szCs w:val="21"/>
        </w:rPr>
        <w:t xml:space="preserve">‧ 學研團隊得否以學校產學合作契約作為簽約主體？</w:t>
      </w:r>
    </w:p>
    <w:p>
      <w:pPr>
        <w:spacing w:after="90" w:line="300"/>
        <w:ind w:left="340" w:hanging="200"/>
      </w:pPr>
      <w:r>
        <w:rPr>
          <w:rFonts w:ascii="微軟正黑體" w:cs="微軟正黑體" w:eastAsia="微軟正黑體" w:hAnsi="微軟正黑體"/>
          <w:sz w:val="21"/>
          <w:szCs w:val="21"/>
        </w:rPr>
        <w:t xml:space="preserve">‧ 是否要求協力單位具備經濟部技術服務機構服務能量登錄資格？</w:t>
      </w:r>
    </w:p>
    <w:p>
      <w:pPr>
        <w:shd w:fill="F2F5FA" w:val="clear"/>
        <w:spacing w:after="160" w:before="80" w:line="290"/>
        <w:ind w:left="220"/>
      </w:pPr>
      <w:r>
        <w:rPr>
          <w:rFonts w:ascii="微軟正黑體" w:cs="微軟正黑體" w:eastAsia="微軟正黑體" w:hAnsi="微軟正黑體"/>
          <w:color w:val="444444"/>
          <w:sz w:val="19"/>
          <w:szCs w:val="19"/>
        </w:rPr>
        <w:t xml:space="preserve">說明：本建議書提報時，各協力單位之書面承諾文件尚在洽辦中。若招標文件要求投標時即檢附，將直接影響投標資格，故列為優先確認事項。</w:t>
      </w:r>
    </w:p>
    <w:p>
      <w:pPr>
        <w:spacing w:after="100" w:before="240"/>
      </w:pPr>
      <w:r>
        <w:rPr>
          <w:rFonts w:ascii="微軟正黑體" w:cs="微軟正黑體" w:eastAsia="微軟正黑體" w:hAnsi="微軟正黑體"/>
          <w:b/>
          <w:bCs/>
          <w:color w:val="2E5496"/>
          <w:sz w:val="23"/>
          <w:szCs w:val="23"/>
        </w:rPr>
        <w:t xml:space="preserve">十二之六　法令遵循</w:t>
      </w:r>
    </w:p>
    <w:p>
      <w:pPr>
        <w:spacing w:after="90" w:line="300"/>
        <w:ind w:left="340" w:hanging="200"/>
      </w:pPr>
      <w:r>
        <w:rPr>
          <w:rFonts w:ascii="微軟正黑體" w:cs="微軟正黑體" w:eastAsia="微軟正黑體" w:hAnsi="微軟正黑體"/>
          <w:sz w:val="21"/>
          <w:szCs w:val="21"/>
        </w:rPr>
        <w:t xml:space="preserve">‧ 政府採購法第二十六條關於規格訂定不得限制競爭之規定，本案技術規格之訂定方式應予檢視。</w:t>
      </w:r>
    </w:p>
    <w:p>
      <w:pPr>
        <w:spacing w:after="90" w:line="300"/>
        <w:ind w:left="340" w:hanging="200"/>
      </w:pPr>
      <w:r>
        <w:rPr>
          <w:rFonts w:ascii="微軟正黑體" w:cs="微軟正黑體" w:eastAsia="微軟正黑體" w:hAnsi="微軟正黑體"/>
          <w:sz w:val="21"/>
          <w:szCs w:val="21"/>
        </w:rPr>
        <w:t xml:space="preserve">‧ 協助業主研擬需求規範之單位，不宜同時支援投標作業，利益迴避事項應予釐清。</w:t>
      </w:r>
    </w:p>
    <w:p>
      <w:pPr>
        <w:spacing w:after="90" w:line="300"/>
        <w:ind w:left="340" w:hanging="200"/>
      </w:pPr>
      <w:r>
        <w:rPr>
          <w:rFonts w:ascii="微軟正黑體" w:cs="微軟正黑體" w:eastAsia="微軟正黑體" w:hAnsi="微軟正黑體"/>
          <w:sz w:val="21"/>
          <w:szCs w:val="21"/>
        </w:rPr>
        <w:t xml:space="preserve">‧ 關係企業共同承攬之適法性及共同投標相關規定應予確認。</w:t>
      </w:r>
    </w:p>
    <w:p>
      <w:r>
        <w:br w:type="page"/>
      </w:r>
    </w:p>
    <w:p>
      <w:pPr>
        <w:pBdr>
          <w:bottom w:val="single" w:color="1F3864" w:sz="8" w:space="6"/>
        </w:pBdr>
        <w:spacing w:after="160" w:before="320"/>
      </w:pPr>
      <w:r>
        <w:rPr>
          <w:rFonts w:ascii="微軟正黑體" w:cs="微軟正黑體" w:eastAsia="微軟正黑體" w:hAnsi="微軟正黑體"/>
          <w:b/>
          <w:bCs/>
          <w:color w:val="1F3864"/>
          <w:sz w:val="28"/>
          <w:szCs w:val="28"/>
        </w:rPr>
        <w:t xml:space="preserve">拾參、結語</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本建議書之核心主張為：先把現況變成經核定的共同事實，再讓設計、採購與施工決策全部回到同一份證據。</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本案標的橫跨新建、改建與既有結構延壽三種型態，其中改建廠房與既有船塢碼頭之最大成本風險並非技術難度，而是既有條件不明所導致的追加、重作與工期延誤。本建議書將資源優先配置於此，其次才是低碳成效之量化。</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對於能量尚未到位或須經第三方核准之項目，本建議書一律列為選項並說明前提條件。此一作法使承諾範圍與實際履約能力一致，亦使業主得以清楚辨識何者為可即刻執行、何者須另行決策。</w:t>
      </w:r>
    </w:p>
    <w:p>
      <w:pPr>
        <w:spacing w:after="100" w:before="0" w:line="300"/>
        <w:jc w:val="both"/>
      </w:pPr>
      <w:r>
        <w:rPr>
          <w:rFonts w:ascii="微軟正黑體" w:cs="微軟正黑體" w:eastAsia="微軟正黑體" w:hAnsi="微軟正黑體"/>
          <w:b w:val="false"/>
          <w:bCs w:val="false"/>
          <w:i w:val="false"/>
          <w:iCs w:val="false"/>
          <w:color w:val="000000"/>
          <w:sz w:val="21"/>
          <w:szCs w:val="21"/>
        </w:rPr>
        <w:t xml:space="preserve">第拾貳章所列前提條件，敬請業主優先協助釐清。其中保密與資通安全條件、以及發包方式，將直接決定本建議書多數章節之可行性與取捨。</w:t>
      </w:r>
    </w:p>
    <w:p>
      <w:pPr>
        <w:spacing w:before="600"/>
      </w:pPr>
      <w:r>
        <w:rPr>
          <w:rFonts w:ascii="微軟正黑體" w:cs="微軟正黑體" w:eastAsia="微軟正黑體" w:hAnsi="微軟正黑體"/>
          <w:color w:val="777777"/>
          <w:sz w:val="18"/>
          <w:szCs w:val="18"/>
        </w:rPr>
        <w:t xml:space="preserve">（本建議書為草案版本，承諾事項以第肆章至第柒章為限。第捌章所列事項於取得核准前不構成履約義務。）</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軟正黑體" w:cs="微軟正黑體" w:eastAsia="微軟正黑體" w:hAnsi="微軟正黑體"/>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2026-08-30T14:12:41.009Z</dcterms:created>
  <dcterms:modified xsi:type="dcterms:W3CDTF">2026-08-30T14:12:41.010Z</dcterms:modified>
</cp:coreProperties>
</file>

<file path=docProps/custom.xml><?xml version="1.0" encoding="utf-8"?>
<Properties xmlns="http://schemas.openxmlformats.org/officeDocument/2006/custom-properties" xmlns:vt="http://schemas.openxmlformats.org/officeDocument/2006/docPropsVTypes"/>
</file>