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1AE87" w14:textId="77777777" w:rsidR="00D95105" w:rsidRPr="009C520A" w:rsidRDefault="00D95105" w:rsidP="00D95105">
      <w:pPr>
        <w:rPr>
          <w:rFonts w:eastAsia="Times New Roman"/>
          <w:color w:val="000000"/>
          <w:lang w:val="en-AU" w:eastAsia="en-GB"/>
        </w:rPr>
      </w:pPr>
      <w:r w:rsidRPr="009C520A">
        <w:rPr>
          <w:rFonts w:eastAsia="Times New Roman"/>
          <w:b/>
          <w:bCs/>
          <w:color w:val="000000"/>
          <w:lang w:val="en-AU" w:eastAsia="en-GB"/>
        </w:rPr>
        <w:t>Summary</w:t>
      </w:r>
    </w:p>
    <w:p w14:paraId="25A1323C" w14:textId="7B6CE880" w:rsidR="00D95105" w:rsidRPr="009C520A" w:rsidRDefault="00D95105" w:rsidP="00D95105">
      <w:pPr>
        <w:rPr>
          <w:rFonts w:eastAsia="Times New Roman"/>
          <w:color w:val="000000"/>
          <w:lang w:val="en-AU" w:eastAsia="en-GB"/>
        </w:rPr>
      </w:pPr>
      <w:r w:rsidRPr="009C520A">
        <w:rPr>
          <w:rFonts w:eastAsia="Times New Roman"/>
          <w:color w:val="000000"/>
          <w:lang w:val="en-AU" w:eastAsia="en-GB"/>
        </w:rPr>
        <w:t>The current study seeks to understand the relationship between the neural pathways that are assumed to underpin cognitive control and performance variability observed i</w:t>
      </w:r>
      <w:r w:rsidR="00C508B0" w:rsidRPr="009C520A">
        <w:rPr>
          <w:rFonts w:eastAsia="Times New Roman"/>
          <w:color w:val="000000"/>
          <w:lang w:val="en-AU" w:eastAsia="en-GB"/>
        </w:rPr>
        <w:t xml:space="preserve">n </w:t>
      </w:r>
      <w:r w:rsidRPr="009C520A">
        <w:rPr>
          <w:rFonts w:eastAsia="Times New Roman"/>
          <w:color w:val="000000"/>
          <w:lang w:val="en-AU" w:eastAsia="en-GB"/>
        </w:rPr>
        <w:t>mentally demanding tasks, such as multi-tasking paradigms. Specifically, we are interested in tracts between the dorsolateral prefrontal cortex (DLPFC) and the anterior cingulate cortex (ACC), caudate, and putamen. Diffusion tensor imaging (DTI) methods were used to assess neural tracts. </w:t>
      </w:r>
    </w:p>
    <w:p w14:paraId="3410F353" w14:textId="77777777" w:rsidR="00D95105" w:rsidRPr="009C520A" w:rsidRDefault="00D95105" w:rsidP="00D95105">
      <w:pPr>
        <w:rPr>
          <w:rFonts w:eastAsia="Times New Roman"/>
          <w:color w:val="000000"/>
          <w:lang w:val="en-AU" w:eastAsia="en-GB"/>
        </w:rPr>
      </w:pPr>
      <w:r w:rsidRPr="009C520A">
        <w:rPr>
          <w:rFonts w:eastAsia="Times New Roman"/>
          <w:color w:val="000000"/>
          <w:lang w:val="en-AU" w:eastAsia="en-GB"/>
        </w:rPr>
        <w:t> </w:t>
      </w:r>
    </w:p>
    <w:p w14:paraId="09539497" w14:textId="77777777" w:rsidR="00D95105" w:rsidRPr="009C520A" w:rsidRDefault="00D95105" w:rsidP="00D95105">
      <w:pPr>
        <w:rPr>
          <w:rFonts w:eastAsia="Times New Roman"/>
          <w:color w:val="000000"/>
          <w:lang w:val="en-AU" w:eastAsia="en-GB"/>
        </w:rPr>
      </w:pPr>
      <w:r w:rsidRPr="009C520A">
        <w:rPr>
          <w:rFonts w:eastAsia="Times New Roman"/>
          <w:b/>
          <w:bCs/>
          <w:color w:val="000000"/>
          <w:lang w:val="en-AU" w:eastAsia="en-GB"/>
        </w:rPr>
        <w:t>Behaviour</w:t>
      </w:r>
    </w:p>
    <w:p w14:paraId="2B32C50F" w14:textId="7F87D156" w:rsidR="00D95105" w:rsidRPr="009C520A" w:rsidRDefault="00D95105" w:rsidP="00134EAB">
      <w:pPr>
        <w:rPr>
          <w:rFonts w:eastAsia="Times New Roman"/>
          <w:color w:val="000000"/>
          <w:lang w:val="en-AU" w:eastAsia="en-GB"/>
        </w:rPr>
      </w:pPr>
      <w:r w:rsidRPr="009C520A">
        <w:rPr>
          <w:rFonts w:eastAsia="Times New Roman"/>
          <w:color w:val="000000"/>
          <w:lang w:val="en-AU" w:eastAsia="en-GB"/>
        </w:rPr>
        <w:t xml:space="preserve">The behaviour that we are interested in is the increase of reaction time variability, as a function of multitasking. We are looking at differences in performance variability, at the intra-individual level. </w:t>
      </w:r>
    </w:p>
    <w:p w14:paraId="3D789F8A" w14:textId="77777777" w:rsidR="00134EAB" w:rsidRPr="009C520A" w:rsidRDefault="00134EAB" w:rsidP="00134EAB">
      <w:pPr>
        <w:rPr>
          <w:rFonts w:eastAsia="Times New Roman"/>
          <w:color w:val="000000"/>
          <w:lang w:val="en-AU" w:eastAsia="en-GB"/>
        </w:rPr>
      </w:pPr>
    </w:p>
    <w:p w14:paraId="55BE8A4B" w14:textId="77777777" w:rsidR="00D95105" w:rsidRPr="009C520A" w:rsidRDefault="00D95105" w:rsidP="00D95105">
      <w:pPr>
        <w:rPr>
          <w:rFonts w:eastAsia="Times New Roman"/>
          <w:color w:val="000000"/>
          <w:lang w:val="en-AU" w:eastAsia="en-GB"/>
        </w:rPr>
      </w:pPr>
      <w:r w:rsidRPr="009C520A">
        <w:rPr>
          <w:rFonts w:eastAsia="Times New Roman"/>
          <w:b/>
          <w:bCs/>
          <w:color w:val="000000"/>
          <w:lang w:val="en-AU" w:eastAsia="en-GB"/>
        </w:rPr>
        <w:t>Tracts</w:t>
      </w:r>
    </w:p>
    <w:p w14:paraId="09CC41C8" w14:textId="7D8BBF45" w:rsidR="00D95105" w:rsidRPr="009C520A" w:rsidRDefault="00D95105" w:rsidP="00D95105">
      <w:pPr>
        <w:rPr>
          <w:rFonts w:eastAsia="Times New Roman"/>
          <w:color w:val="000000"/>
          <w:lang w:val="en-AU" w:eastAsia="en-GB"/>
        </w:rPr>
      </w:pPr>
      <w:r w:rsidRPr="009C520A">
        <w:rPr>
          <w:rFonts w:eastAsia="Times New Roman"/>
          <w:color w:val="000000"/>
          <w:lang w:val="en-AU" w:eastAsia="en-GB"/>
        </w:rPr>
        <w:t xml:space="preserve">We are specifically interested in the role of the tracts between the dorsolateral prefrontal cortex and its connection to the anterior cingulate cortex, the caudate, and the putamen. </w:t>
      </w:r>
      <w:r w:rsidRPr="00953BB8">
        <w:rPr>
          <w:rFonts w:eastAsia="Times New Roman"/>
          <w:color w:val="000000"/>
          <w:lang w:val="en-AU" w:eastAsia="en-GB"/>
        </w:rPr>
        <w:t xml:space="preserve">Activation in the DLPFC and ACC has been shown to be linked to control and selection in attention, with functional connectivity between the two areas increasing with attentional demands (Weissman, Roberts, Visscher, &amp; </w:t>
      </w:r>
      <w:proofErr w:type="spellStart"/>
      <w:r w:rsidRPr="00953BB8">
        <w:rPr>
          <w:rFonts w:eastAsia="Times New Roman"/>
          <w:color w:val="000000"/>
          <w:lang w:val="en-AU" w:eastAsia="en-GB"/>
        </w:rPr>
        <w:t>Woldorff</w:t>
      </w:r>
      <w:proofErr w:type="spellEnd"/>
      <w:r w:rsidRPr="00953BB8">
        <w:rPr>
          <w:rFonts w:eastAsia="Times New Roman"/>
          <w:color w:val="000000"/>
          <w:lang w:val="en-AU" w:eastAsia="en-GB"/>
        </w:rPr>
        <w:t>, 2006; Prado, Carp, &amp; Weissman, 2011</w:t>
      </w:r>
      <w:r w:rsidR="00E640FA" w:rsidRPr="00953BB8">
        <w:rPr>
          <w:rFonts w:eastAsia="Times New Roman"/>
          <w:color w:val="000000"/>
          <w:lang w:val="en-AU" w:eastAsia="en-GB"/>
        </w:rPr>
        <w:t>; Wang et al., 2010</w:t>
      </w:r>
      <w:r w:rsidRPr="00953BB8">
        <w:rPr>
          <w:rFonts w:eastAsia="Times New Roman"/>
          <w:color w:val="000000"/>
          <w:lang w:val="en-AU" w:eastAsia="en-GB"/>
        </w:rPr>
        <w:t>).</w:t>
      </w:r>
      <w:r w:rsidRPr="009C520A">
        <w:rPr>
          <w:rFonts w:eastAsia="Times New Roman"/>
          <w:color w:val="000000"/>
          <w:lang w:val="en-AU" w:eastAsia="en-GB"/>
        </w:rPr>
        <w:t xml:space="preserve"> Activation in the DLPFC and the caudate have been shown to be associated with the rate of new learning and are involved in cognitive control and performance monitoring (Yin &amp; Knowlton, 2006; </w:t>
      </w:r>
      <w:proofErr w:type="spellStart"/>
      <w:r w:rsidRPr="009C520A">
        <w:rPr>
          <w:rFonts w:eastAsia="Times New Roman"/>
          <w:color w:val="000000"/>
          <w:lang w:val="en-AU" w:eastAsia="en-GB"/>
        </w:rPr>
        <w:t>Brovelli</w:t>
      </w:r>
      <w:proofErr w:type="spellEnd"/>
      <w:r w:rsidRPr="009C520A">
        <w:rPr>
          <w:rFonts w:eastAsia="Times New Roman"/>
          <w:color w:val="000000"/>
          <w:lang w:val="en-AU" w:eastAsia="en-GB"/>
        </w:rPr>
        <w:t xml:space="preserve">, Nazarian, Meunier, &amp; </w:t>
      </w:r>
      <w:proofErr w:type="spellStart"/>
      <w:r w:rsidRPr="009C520A">
        <w:rPr>
          <w:rFonts w:eastAsia="Times New Roman"/>
          <w:color w:val="000000"/>
          <w:lang w:val="en-AU" w:eastAsia="en-GB"/>
        </w:rPr>
        <w:t>Boussaoud</w:t>
      </w:r>
      <w:proofErr w:type="spellEnd"/>
      <w:r w:rsidRPr="009C520A">
        <w:rPr>
          <w:rFonts w:eastAsia="Times New Roman"/>
          <w:color w:val="000000"/>
          <w:lang w:val="en-AU" w:eastAsia="en-GB"/>
        </w:rPr>
        <w:t>, 2011</w:t>
      </w:r>
      <w:r w:rsidR="00A224D9" w:rsidRPr="009C520A">
        <w:rPr>
          <w:rFonts w:eastAsia="Times New Roman"/>
          <w:color w:val="000000"/>
          <w:lang w:val="en-AU" w:eastAsia="en-GB"/>
        </w:rPr>
        <w:t>;</w:t>
      </w:r>
      <w:r w:rsidR="008545AC" w:rsidRPr="009C520A">
        <w:rPr>
          <w:rFonts w:eastAsia="Times New Roman"/>
          <w:color w:val="000000"/>
          <w:lang w:val="en-AU" w:eastAsia="en-GB"/>
        </w:rPr>
        <w:t xml:space="preserve"> </w:t>
      </w:r>
      <w:proofErr w:type="spellStart"/>
      <w:r w:rsidR="008545AC" w:rsidRPr="009C520A">
        <w:rPr>
          <w:rFonts w:eastAsia="Times New Roman"/>
          <w:color w:val="000000"/>
          <w:lang w:val="en-AU" w:eastAsia="en-GB"/>
        </w:rPr>
        <w:t>Haruno</w:t>
      </w:r>
      <w:proofErr w:type="spellEnd"/>
      <w:r w:rsidR="008545AC" w:rsidRPr="009C520A">
        <w:rPr>
          <w:rFonts w:eastAsia="Times New Roman"/>
          <w:color w:val="000000"/>
          <w:lang w:val="en-AU" w:eastAsia="en-GB"/>
        </w:rPr>
        <w:t xml:space="preserve"> &amp; </w:t>
      </w:r>
      <w:proofErr w:type="spellStart"/>
      <w:r w:rsidR="008545AC" w:rsidRPr="009C520A">
        <w:rPr>
          <w:rFonts w:eastAsia="Times New Roman"/>
          <w:color w:val="000000"/>
          <w:lang w:val="en-AU" w:eastAsia="en-GB"/>
        </w:rPr>
        <w:t>Kawato</w:t>
      </w:r>
      <w:proofErr w:type="spellEnd"/>
      <w:r w:rsidR="008545AC" w:rsidRPr="009C520A">
        <w:rPr>
          <w:rFonts w:eastAsia="Times New Roman"/>
          <w:color w:val="000000"/>
          <w:lang w:val="en-AU" w:eastAsia="en-GB"/>
        </w:rPr>
        <w:t>, 2006</w:t>
      </w:r>
      <w:r w:rsidR="002E6F10" w:rsidRPr="009C520A">
        <w:rPr>
          <w:rFonts w:eastAsia="Times New Roman"/>
          <w:color w:val="000000"/>
          <w:lang w:val="en-AU" w:eastAsia="en-GB"/>
        </w:rPr>
        <w:t xml:space="preserve">; </w:t>
      </w:r>
      <w:proofErr w:type="spellStart"/>
      <w:r w:rsidR="002E6F10" w:rsidRPr="009C520A">
        <w:rPr>
          <w:rFonts w:eastAsia="Times New Roman"/>
          <w:color w:val="000000"/>
          <w:lang w:val="en-AU" w:eastAsia="en-GB"/>
        </w:rPr>
        <w:t>Balleine</w:t>
      </w:r>
      <w:proofErr w:type="spellEnd"/>
      <w:r w:rsidR="002E6F10" w:rsidRPr="009C520A">
        <w:rPr>
          <w:rFonts w:eastAsia="Times New Roman"/>
          <w:color w:val="000000"/>
          <w:lang w:val="en-AU" w:eastAsia="en-GB"/>
        </w:rPr>
        <w:t xml:space="preserve"> &amp; </w:t>
      </w:r>
      <w:proofErr w:type="spellStart"/>
      <w:r w:rsidR="002E6F10" w:rsidRPr="009C520A">
        <w:rPr>
          <w:rFonts w:eastAsia="Times New Roman"/>
          <w:color w:val="000000"/>
          <w:lang w:val="en-AU" w:eastAsia="en-GB"/>
        </w:rPr>
        <w:t>O’Doherty</w:t>
      </w:r>
      <w:proofErr w:type="spellEnd"/>
      <w:r w:rsidR="002E6F10" w:rsidRPr="009C520A">
        <w:rPr>
          <w:rFonts w:eastAsia="Times New Roman"/>
          <w:color w:val="000000"/>
          <w:lang w:val="en-AU" w:eastAsia="en-GB"/>
        </w:rPr>
        <w:t>, 2010</w:t>
      </w:r>
      <w:r w:rsidR="008A4D89">
        <w:rPr>
          <w:rFonts w:eastAsia="Times New Roman"/>
          <w:color w:val="000000"/>
          <w:lang w:val="en-AU" w:eastAsia="en-GB"/>
        </w:rPr>
        <w:t>; Ashby, Turner, &amp; Horvitz, 2010</w:t>
      </w:r>
      <w:r w:rsidRPr="009C520A">
        <w:rPr>
          <w:rFonts w:eastAsia="Times New Roman"/>
          <w:color w:val="000000"/>
          <w:lang w:val="en-AU" w:eastAsia="en-GB"/>
        </w:rPr>
        <w:t xml:space="preserve">). Similarly, there is involvement of the DLPFC and the putamen in how a conditioned stimulus leads to a correct response </w:t>
      </w:r>
      <w:r w:rsidR="00DC5E78" w:rsidRPr="009C520A">
        <w:rPr>
          <w:rFonts w:eastAsia="Times New Roman"/>
          <w:color w:val="000000"/>
          <w:lang w:val="en-AU" w:eastAsia="en-GB"/>
        </w:rPr>
        <w:t>and integration of information on how a</w:t>
      </w:r>
      <w:r w:rsidR="00F803BC" w:rsidRPr="009C520A">
        <w:rPr>
          <w:rFonts w:eastAsia="Times New Roman"/>
          <w:color w:val="000000"/>
          <w:lang w:val="en-AU" w:eastAsia="en-GB"/>
        </w:rPr>
        <w:t>n action may lead to a reward</w:t>
      </w:r>
      <w:r w:rsidR="00DC5E78" w:rsidRPr="009C520A">
        <w:rPr>
          <w:rFonts w:eastAsia="Times New Roman"/>
          <w:color w:val="000000"/>
          <w:lang w:val="en-AU" w:eastAsia="en-GB"/>
        </w:rPr>
        <w:t xml:space="preserve"> </w:t>
      </w:r>
      <w:r w:rsidRPr="009C520A">
        <w:rPr>
          <w:rFonts w:eastAsia="Times New Roman"/>
          <w:color w:val="000000"/>
          <w:lang w:val="en-AU" w:eastAsia="en-GB"/>
        </w:rPr>
        <w:t>(</w:t>
      </w:r>
      <w:proofErr w:type="spellStart"/>
      <w:r w:rsidRPr="009C520A">
        <w:rPr>
          <w:rFonts w:eastAsia="Times New Roman"/>
          <w:color w:val="000000"/>
          <w:lang w:val="en-AU" w:eastAsia="en-GB"/>
        </w:rPr>
        <w:t>Brovelli</w:t>
      </w:r>
      <w:proofErr w:type="spellEnd"/>
      <w:r w:rsidRPr="009C520A">
        <w:rPr>
          <w:rFonts w:eastAsia="Times New Roman"/>
          <w:color w:val="000000"/>
          <w:lang w:val="en-AU" w:eastAsia="en-GB"/>
        </w:rPr>
        <w:t xml:space="preserve">, Nazarian, Meunier &amp; </w:t>
      </w:r>
      <w:proofErr w:type="spellStart"/>
      <w:r w:rsidRPr="009C520A">
        <w:rPr>
          <w:rFonts w:eastAsia="Times New Roman"/>
          <w:color w:val="000000"/>
          <w:lang w:val="en-AU" w:eastAsia="en-GB"/>
        </w:rPr>
        <w:t>Boussaoud</w:t>
      </w:r>
      <w:proofErr w:type="spellEnd"/>
      <w:r w:rsidRPr="009C520A">
        <w:rPr>
          <w:rFonts w:eastAsia="Times New Roman"/>
          <w:color w:val="000000"/>
          <w:lang w:val="en-AU" w:eastAsia="en-GB"/>
        </w:rPr>
        <w:t>, 2011</w:t>
      </w:r>
      <w:r w:rsidR="00DC5E78" w:rsidRPr="009C520A">
        <w:rPr>
          <w:rFonts w:eastAsia="Times New Roman"/>
          <w:color w:val="000000"/>
          <w:lang w:val="en-AU" w:eastAsia="en-GB"/>
        </w:rPr>
        <w:t>, Yin &amp; Knowlton, 2006</w:t>
      </w:r>
      <w:r w:rsidR="00A224D9" w:rsidRPr="009C520A">
        <w:rPr>
          <w:rFonts w:eastAsia="Times New Roman"/>
          <w:color w:val="000000"/>
          <w:lang w:val="en-AU" w:eastAsia="en-GB"/>
        </w:rPr>
        <w:t>;</w:t>
      </w:r>
      <w:r w:rsidR="00F803BC" w:rsidRPr="009C520A">
        <w:rPr>
          <w:rFonts w:eastAsia="Times New Roman"/>
          <w:color w:val="000000"/>
          <w:lang w:val="en-AU" w:eastAsia="en-GB"/>
        </w:rPr>
        <w:t xml:space="preserve"> </w:t>
      </w:r>
      <w:proofErr w:type="spellStart"/>
      <w:r w:rsidR="00F803BC" w:rsidRPr="009C520A">
        <w:rPr>
          <w:rFonts w:eastAsia="Times New Roman"/>
          <w:lang w:val="en-AU" w:eastAsia="en-GB"/>
        </w:rPr>
        <w:t>Haruno</w:t>
      </w:r>
      <w:proofErr w:type="spellEnd"/>
      <w:r w:rsidR="00F803BC" w:rsidRPr="009C520A">
        <w:rPr>
          <w:rFonts w:eastAsia="Times New Roman"/>
          <w:lang w:val="en-AU" w:eastAsia="en-GB"/>
        </w:rPr>
        <w:t xml:space="preserve"> &amp; </w:t>
      </w:r>
      <w:proofErr w:type="spellStart"/>
      <w:r w:rsidR="00F803BC" w:rsidRPr="009C520A">
        <w:rPr>
          <w:rFonts w:eastAsia="Times New Roman"/>
          <w:lang w:val="en-AU" w:eastAsia="en-GB"/>
        </w:rPr>
        <w:t>Kawato</w:t>
      </w:r>
      <w:proofErr w:type="spellEnd"/>
      <w:r w:rsidR="00F803BC" w:rsidRPr="009C520A">
        <w:rPr>
          <w:rFonts w:eastAsia="Times New Roman"/>
          <w:lang w:val="en-AU" w:eastAsia="en-GB"/>
        </w:rPr>
        <w:t>, 2006</w:t>
      </w:r>
      <w:r w:rsidR="0039272F" w:rsidRPr="009C520A">
        <w:rPr>
          <w:rFonts w:eastAsia="Times New Roman"/>
          <w:lang w:val="en-AU" w:eastAsia="en-GB"/>
        </w:rPr>
        <w:t xml:space="preserve">; </w:t>
      </w:r>
      <w:proofErr w:type="spellStart"/>
      <w:r w:rsidR="0039272F" w:rsidRPr="009C520A">
        <w:rPr>
          <w:rFonts w:eastAsia="Times New Roman"/>
          <w:lang w:val="en-AU" w:eastAsia="en-GB"/>
        </w:rPr>
        <w:t>Hikosaka</w:t>
      </w:r>
      <w:proofErr w:type="spellEnd"/>
      <w:r w:rsidR="0039272F" w:rsidRPr="009C520A">
        <w:rPr>
          <w:rFonts w:eastAsia="Times New Roman"/>
          <w:lang w:val="en-AU" w:eastAsia="en-GB"/>
        </w:rPr>
        <w:t xml:space="preserve"> at al., 1999</w:t>
      </w:r>
      <w:r w:rsidR="008A4D89">
        <w:rPr>
          <w:rFonts w:eastAsia="Times New Roman"/>
          <w:lang w:val="en-AU" w:eastAsia="en-GB"/>
        </w:rPr>
        <w:t xml:space="preserve">; </w:t>
      </w:r>
      <w:r w:rsidR="008A4D89">
        <w:rPr>
          <w:rFonts w:eastAsia="Times New Roman"/>
          <w:color w:val="000000"/>
          <w:lang w:val="en-AU" w:eastAsia="en-GB"/>
        </w:rPr>
        <w:t>Ashby, Turner, &amp; Horvitz, 2010</w:t>
      </w:r>
      <w:r w:rsidRPr="009C520A">
        <w:rPr>
          <w:rFonts w:eastAsia="Times New Roman"/>
          <w:color w:val="000000"/>
          <w:lang w:val="en-AU" w:eastAsia="en-GB"/>
        </w:rPr>
        <w:t xml:space="preserve">). </w:t>
      </w:r>
      <w:r w:rsidRPr="00F65D6C">
        <w:rPr>
          <w:rFonts w:eastAsia="Times New Roman"/>
          <w:color w:val="000000"/>
          <w:lang w:val="en-AU" w:eastAsia="en-GB"/>
        </w:rPr>
        <w:t xml:space="preserve">In a functional sense, </w:t>
      </w:r>
      <w:r w:rsidR="00F65D6C" w:rsidRPr="00F65D6C">
        <w:rPr>
          <w:rFonts w:eastAsia="Times New Roman"/>
          <w:color w:val="000000"/>
          <w:lang w:val="en-AU" w:eastAsia="en-GB"/>
        </w:rPr>
        <w:t xml:space="preserve">because the caudate and putamen have competing processes such that one structure will take over or they may need to cooperate; </w:t>
      </w:r>
      <w:r w:rsidRPr="00F65D6C">
        <w:rPr>
          <w:rFonts w:eastAsia="Times New Roman"/>
          <w:color w:val="000000"/>
          <w:lang w:val="en-AU" w:eastAsia="en-GB"/>
        </w:rPr>
        <w:t xml:space="preserve">the caudate </w:t>
      </w:r>
      <w:r w:rsidR="00F65D6C" w:rsidRPr="00F65D6C">
        <w:rPr>
          <w:rFonts w:eastAsia="Times New Roman"/>
          <w:color w:val="000000"/>
          <w:lang w:val="en-AU" w:eastAsia="en-GB"/>
        </w:rPr>
        <w:t xml:space="preserve">likely </w:t>
      </w:r>
      <w:r w:rsidRPr="00F65D6C">
        <w:rPr>
          <w:rFonts w:eastAsia="Times New Roman"/>
          <w:color w:val="000000"/>
          <w:lang w:val="en-AU" w:eastAsia="en-GB"/>
        </w:rPr>
        <w:t>plays a role in the initial learning and understanding phase while the putamen takes over for more well learned tasks (</w:t>
      </w:r>
      <w:proofErr w:type="spellStart"/>
      <w:r w:rsidRPr="00F65D6C">
        <w:rPr>
          <w:rFonts w:eastAsia="Times New Roman"/>
          <w:color w:val="000000"/>
          <w:lang w:val="en-AU" w:eastAsia="en-GB"/>
        </w:rPr>
        <w:t>Brovelli</w:t>
      </w:r>
      <w:proofErr w:type="spellEnd"/>
      <w:r w:rsidRPr="00F65D6C">
        <w:rPr>
          <w:rFonts w:eastAsia="Times New Roman"/>
          <w:color w:val="000000"/>
          <w:lang w:val="en-AU" w:eastAsia="en-GB"/>
        </w:rPr>
        <w:t xml:space="preserve">, Nazarian, Meunier &amp; </w:t>
      </w:r>
      <w:proofErr w:type="spellStart"/>
      <w:r w:rsidRPr="00F65D6C">
        <w:rPr>
          <w:rFonts w:eastAsia="Times New Roman"/>
          <w:color w:val="000000"/>
          <w:lang w:val="en-AU" w:eastAsia="en-GB"/>
        </w:rPr>
        <w:t>Boussaoud</w:t>
      </w:r>
      <w:proofErr w:type="spellEnd"/>
      <w:r w:rsidRPr="00F65D6C">
        <w:rPr>
          <w:rFonts w:eastAsia="Times New Roman"/>
          <w:color w:val="000000"/>
          <w:lang w:val="en-AU" w:eastAsia="en-GB"/>
        </w:rPr>
        <w:t>, 2011</w:t>
      </w:r>
      <w:r w:rsidR="00A224D9" w:rsidRPr="00F65D6C">
        <w:rPr>
          <w:rFonts w:eastAsia="Times New Roman"/>
          <w:color w:val="000000"/>
          <w:lang w:val="en-AU" w:eastAsia="en-GB"/>
        </w:rPr>
        <w:t xml:space="preserve">; </w:t>
      </w:r>
      <w:proofErr w:type="spellStart"/>
      <w:r w:rsidR="00A224D9" w:rsidRPr="00F65D6C">
        <w:rPr>
          <w:rFonts w:eastAsia="Times New Roman"/>
          <w:color w:val="000000"/>
          <w:lang w:val="en-AU" w:eastAsia="en-GB"/>
        </w:rPr>
        <w:t>Haruno</w:t>
      </w:r>
      <w:proofErr w:type="spellEnd"/>
      <w:r w:rsidR="00A224D9" w:rsidRPr="00F65D6C">
        <w:rPr>
          <w:rFonts w:eastAsia="Times New Roman"/>
          <w:color w:val="000000"/>
          <w:lang w:val="en-AU" w:eastAsia="en-GB"/>
        </w:rPr>
        <w:t xml:space="preserve"> &amp; </w:t>
      </w:r>
      <w:proofErr w:type="spellStart"/>
      <w:r w:rsidR="00A224D9" w:rsidRPr="00F65D6C">
        <w:rPr>
          <w:rFonts w:eastAsia="Times New Roman"/>
          <w:color w:val="000000"/>
          <w:lang w:val="en-AU" w:eastAsia="en-GB"/>
        </w:rPr>
        <w:t>Kawato</w:t>
      </w:r>
      <w:proofErr w:type="spellEnd"/>
      <w:r w:rsidR="00A224D9" w:rsidRPr="00F65D6C">
        <w:rPr>
          <w:rFonts w:eastAsia="Times New Roman"/>
          <w:color w:val="000000"/>
          <w:lang w:val="en-AU" w:eastAsia="en-GB"/>
        </w:rPr>
        <w:t>, 2006</w:t>
      </w:r>
      <w:r w:rsidR="00F65D6C" w:rsidRPr="00F65D6C">
        <w:rPr>
          <w:rFonts w:eastAsia="Times New Roman"/>
          <w:color w:val="000000"/>
          <w:lang w:val="en-AU" w:eastAsia="en-GB"/>
        </w:rPr>
        <w:t xml:space="preserve">; </w:t>
      </w:r>
      <w:proofErr w:type="spellStart"/>
      <w:r w:rsidR="00F65D6C" w:rsidRPr="00F65D6C">
        <w:rPr>
          <w:rFonts w:eastAsia="Times New Roman"/>
          <w:color w:val="000000"/>
          <w:lang w:val="en-AU" w:eastAsia="en-GB"/>
        </w:rPr>
        <w:t>Balleine</w:t>
      </w:r>
      <w:proofErr w:type="spellEnd"/>
      <w:r w:rsidR="00F65D6C" w:rsidRPr="00F65D6C">
        <w:rPr>
          <w:rFonts w:eastAsia="Times New Roman"/>
          <w:color w:val="000000"/>
          <w:lang w:val="en-AU" w:eastAsia="en-GB"/>
        </w:rPr>
        <w:t xml:space="preserve"> &amp; </w:t>
      </w:r>
      <w:proofErr w:type="spellStart"/>
      <w:r w:rsidR="00F65D6C" w:rsidRPr="00F65D6C">
        <w:rPr>
          <w:rFonts w:eastAsia="Times New Roman"/>
          <w:color w:val="000000"/>
          <w:lang w:val="en-AU" w:eastAsia="en-GB"/>
        </w:rPr>
        <w:t>O’Doherty</w:t>
      </w:r>
      <w:proofErr w:type="spellEnd"/>
      <w:r w:rsidR="00F65D6C" w:rsidRPr="00F65D6C">
        <w:rPr>
          <w:rFonts w:eastAsia="Times New Roman"/>
          <w:color w:val="000000"/>
          <w:lang w:val="en-AU" w:eastAsia="en-GB"/>
        </w:rPr>
        <w:t>, 2010</w:t>
      </w:r>
      <w:r w:rsidR="00E07606">
        <w:rPr>
          <w:rFonts w:eastAsia="Times New Roman"/>
          <w:color w:val="000000"/>
          <w:lang w:val="en-AU" w:eastAsia="en-GB"/>
        </w:rPr>
        <w:t>; Ashby, Turner, &amp; Horvitz, 2010</w:t>
      </w:r>
      <w:r w:rsidRPr="00F65D6C">
        <w:rPr>
          <w:rFonts w:eastAsia="Times New Roman"/>
          <w:color w:val="000000"/>
          <w:lang w:val="en-AU" w:eastAsia="en-GB"/>
        </w:rPr>
        <w:t>).</w:t>
      </w:r>
      <w:r w:rsidRPr="009C520A">
        <w:rPr>
          <w:rFonts w:eastAsia="Times New Roman"/>
          <w:color w:val="000000"/>
          <w:lang w:val="en-AU" w:eastAsia="en-GB"/>
        </w:rPr>
        <w:t xml:space="preserve"> </w:t>
      </w:r>
      <w:r w:rsidRPr="00A33004">
        <w:rPr>
          <w:rFonts w:eastAsia="Times New Roman"/>
          <w:color w:val="000000"/>
          <w:lang w:val="en-AU" w:eastAsia="en-GB"/>
        </w:rPr>
        <w:t xml:space="preserve">Because of the role of the caudate in cognitive control and performance monitoring, we expect that the caudate will be more involved than the putamen in multitasking. </w:t>
      </w:r>
      <w:r w:rsidRPr="00DC24D2">
        <w:rPr>
          <w:rFonts w:eastAsia="Times New Roman"/>
          <w:color w:val="000000"/>
          <w:lang w:val="en-AU" w:eastAsia="en-GB"/>
        </w:rPr>
        <w:t xml:space="preserve">Further, </w:t>
      </w:r>
      <w:r w:rsidR="001B4877" w:rsidRPr="00DC24D2">
        <w:rPr>
          <w:rFonts w:eastAsia="Times New Roman"/>
          <w:color w:val="000000"/>
          <w:lang w:val="en-AU" w:eastAsia="en-GB"/>
        </w:rPr>
        <w:t>support</w:t>
      </w:r>
      <w:r w:rsidRPr="00DC24D2">
        <w:rPr>
          <w:rFonts w:eastAsia="Times New Roman"/>
          <w:color w:val="000000"/>
          <w:lang w:val="en-AU" w:eastAsia="en-GB"/>
        </w:rPr>
        <w:t xml:space="preserve"> has been shown </w:t>
      </w:r>
      <w:r w:rsidR="001B4877" w:rsidRPr="00DC24D2">
        <w:rPr>
          <w:rFonts w:eastAsia="Times New Roman"/>
          <w:color w:val="000000"/>
          <w:lang w:val="en-AU" w:eastAsia="en-GB"/>
        </w:rPr>
        <w:t>for</w:t>
      </w:r>
      <w:r w:rsidRPr="00DC24D2">
        <w:rPr>
          <w:rFonts w:eastAsia="Times New Roman"/>
          <w:color w:val="000000"/>
          <w:lang w:val="en-AU" w:eastAsia="en-GB"/>
        </w:rPr>
        <w:t xml:space="preserve"> visuomotor control and its interaction with executive function </w:t>
      </w:r>
      <w:r w:rsidR="001B4877" w:rsidRPr="00DC24D2">
        <w:rPr>
          <w:rFonts w:eastAsia="Times New Roman"/>
          <w:color w:val="000000"/>
          <w:lang w:val="en-AU" w:eastAsia="en-GB"/>
        </w:rPr>
        <w:t>as a</w:t>
      </w:r>
      <w:r w:rsidRPr="00DC24D2">
        <w:rPr>
          <w:rFonts w:eastAsia="Times New Roman"/>
          <w:color w:val="000000"/>
          <w:lang w:val="en-AU" w:eastAsia="en-GB"/>
        </w:rPr>
        <w:t xml:space="preserve"> left-lateralised</w:t>
      </w:r>
      <w:r w:rsidR="001B4877" w:rsidRPr="00DC24D2">
        <w:rPr>
          <w:rFonts w:eastAsia="Times New Roman"/>
          <w:color w:val="000000"/>
          <w:lang w:val="en-AU" w:eastAsia="en-GB"/>
        </w:rPr>
        <w:t xml:space="preserve"> function</w:t>
      </w:r>
      <w:r w:rsidRPr="00DC24D2">
        <w:rPr>
          <w:rFonts w:eastAsia="Times New Roman"/>
          <w:color w:val="000000"/>
          <w:lang w:val="en-AU" w:eastAsia="en-GB"/>
        </w:rPr>
        <w:t xml:space="preserve"> (Gonzalez, van </w:t>
      </w:r>
      <w:proofErr w:type="spellStart"/>
      <w:r w:rsidRPr="00DC24D2">
        <w:rPr>
          <w:rFonts w:eastAsia="Times New Roman"/>
          <w:color w:val="000000"/>
          <w:lang w:val="en-AU" w:eastAsia="en-GB"/>
        </w:rPr>
        <w:t>Rootselaar</w:t>
      </w:r>
      <w:proofErr w:type="spellEnd"/>
      <w:r w:rsidRPr="00DC24D2">
        <w:rPr>
          <w:rFonts w:eastAsia="Times New Roman"/>
          <w:color w:val="000000"/>
          <w:lang w:val="en-AU" w:eastAsia="en-GB"/>
        </w:rPr>
        <w:t>, &amp; Gibb, 2018</w:t>
      </w:r>
      <w:r w:rsidR="00A33004" w:rsidRPr="00DC24D2">
        <w:rPr>
          <w:rFonts w:eastAsia="Times New Roman"/>
          <w:color w:val="000000"/>
          <w:lang w:val="en-AU" w:eastAsia="en-GB"/>
        </w:rPr>
        <w:t>)</w:t>
      </w:r>
      <w:r w:rsidR="00DC24D2" w:rsidRPr="00DC24D2">
        <w:rPr>
          <w:rFonts w:eastAsia="Times New Roman"/>
          <w:color w:val="000000"/>
          <w:lang w:val="en-AU" w:eastAsia="en-GB"/>
        </w:rPr>
        <w:t>.</w:t>
      </w:r>
      <w:r w:rsidR="00DC24D2">
        <w:rPr>
          <w:rFonts w:eastAsia="Times New Roman"/>
          <w:color w:val="000000"/>
          <w:lang w:val="en-AU" w:eastAsia="en-GB"/>
        </w:rPr>
        <w:t xml:space="preserve"> Additionally</w:t>
      </w:r>
      <w:r w:rsidR="00A33004" w:rsidRPr="00DC24D2">
        <w:rPr>
          <w:rFonts w:eastAsia="Times New Roman"/>
          <w:color w:val="000000"/>
          <w:lang w:val="en-AU" w:eastAsia="en-GB"/>
        </w:rPr>
        <w:t xml:space="preserve">, that </w:t>
      </w:r>
      <w:r w:rsidR="00487057" w:rsidRPr="00DC24D2">
        <w:rPr>
          <w:rFonts w:eastAsia="Times New Roman"/>
          <w:color w:val="000000"/>
          <w:lang w:val="en-AU" w:eastAsia="en-GB"/>
        </w:rPr>
        <w:t>the left hemisphere is has an important role in the timing of movements under visual control and anatomical connectivity in the left hemisphere is also important in motor skill</w:t>
      </w:r>
      <w:r w:rsidRPr="00DC24D2">
        <w:rPr>
          <w:rFonts w:eastAsia="Times New Roman"/>
          <w:color w:val="000000"/>
          <w:lang w:val="en-AU" w:eastAsia="en-GB"/>
        </w:rPr>
        <w:t xml:space="preserve"> </w:t>
      </w:r>
      <w:r w:rsidR="00487057" w:rsidRPr="00DC24D2">
        <w:rPr>
          <w:rFonts w:eastAsia="Times New Roman"/>
          <w:color w:val="000000"/>
          <w:lang w:val="en-AU" w:eastAsia="en-GB"/>
        </w:rPr>
        <w:t>(</w:t>
      </w:r>
      <w:r w:rsidRPr="00DC24D2">
        <w:rPr>
          <w:rFonts w:eastAsia="Times New Roman"/>
          <w:color w:val="000000"/>
          <w:lang w:val="en-AU" w:eastAsia="en-GB"/>
        </w:rPr>
        <w:t xml:space="preserve">Barber et al., 2012; </w:t>
      </w:r>
      <w:proofErr w:type="spellStart"/>
      <w:r w:rsidRPr="00DC24D2">
        <w:rPr>
          <w:rFonts w:eastAsia="Times New Roman"/>
          <w:color w:val="000000"/>
          <w:lang w:val="en-AU" w:eastAsia="en-GB"/>
        </w:rPr>
        <w:t>Floegel</w:t>
      </w:r>
      <w:proofErr w:type="spellEnd"/>
      <w:r w:rsidRPr="00DC24D2">
        <w:rPr>
          <w:rFonts w:eastAsia="Times New Roman"/>
          <w:color w:val="000000"/>
          <w:lang w:val="en-AU" w:eastAsia="en-GB"/>
        </w:rPr>
        <w:t xml:space="preserve"> &amp; Kell, 2017).</w:t>
      </w:r>
      <w:r w:rsidRPr="009C520A">
        <w:rPr>
          <w:rFonts w:eastAsia="Times New Roman"/>
          <w:color w:val="000000"/>
          <w:lang w:val="en-AU" w:eastAsia="en-GB"/>
        </w:rPr>
        <w:t xml:space="preserve"> Considering the left lateralisation of visuomotor control, it is likely that a tract in the left hemisphere will be more predictive than a tract in the right hemisphere. However, </w:t>
      </w:r>
      <w:r w:rsidR="00C508B0" w:rsidRPr="009C520A">
        <w:rPr>
          <w:rFonts w:eastAsia="Times New Roman"/>
          <w:color w:val="000000"/>
          <w:lang w:val="en-AU" w:eastAsia="en-GB"/>
        </w:rPr>
        <w:t>w</w:t>
      </w:r>
      <w:r w:rsidRPr="009C520A">
        <w:rPr>
          <w:rFonts w:eastAsia="Times New Roman"/>
          <w:color w:val="000000"/>
          <w:lang w:val="en-AU" w:eastAsia="en-GB"/>
        </w:rPr>
        <w:t>hile much of the literature is convergent on left lateralisation in cognitive control, there remains a small number of contrary findings. As such, we are still mindful of any role the right hemisphere may have.</w:t>
      </w:r>
      <w:r w:rsidR="003432B9" w:rsidRPr="009C520A">
        <w:rPr>
          <w:rFonts w:eastAsia="Times New Roman"/>
          <w:color w:val="000000"/>
          <w:lang w:val="en-AU" w:eastAsia="en-GB"/>
        </w:rPr>
        <w:t xml:space="preserve"> </w:t>
      </w:r>
    </w:p>
    <w:p w14:paraId="3301F711" w14:textId="76A108DE" w:rsidR="003432B9" w:rsidRPr="009C520A" w:rsidRDefault="003432B9" w:rsidP="00FC5D6F">
      <w:pPr>
        <w:ind w:firstLine="720"/>
        <w:rPr>
          <w:rFonts w:eastAsia="Times New Roman"/>
          <w:color w:val="000000"/>
          <w:lang w:val="en-AU" w:eastAsia="en-GB"/>
        </w:rPr>
      </w:pPr>
      <w:r w:rsidRPr="00813511">
        <w:rPr>
          <w:rFonts w:eastAsia="Times New Roman"/>
          <w:color w:val="000000"/>
          <w:lang w:val="en-AU" w:eastAsia="en-GB"/>
        </w:rPr>
        <w:t>Further, there has been support shown for the convergence of tracts from the ACC to the caudate and putamen respectively (</w:t>
      </w:r>
      <w:proofErr w:type="spellStart"/>
      <w:r w:rsidRPr="00813511">
        <w:rPr>
          <w:rFonts w:eastAsia="Times New Roman"/>
          <w:color w:val="000000"/>
          <w:lang w:val="en-AU" w:eastAsia="en-GB"/>
        </w:rPr>
        <w:t>Jarbo</w:t>
      </w:r>
      <w:proofErr w:type="spellEnd"/>
      <w:r w:rsidRPr="00813511">
        <w:rPr>
          <w:rFonts w:eastAsia="Times New Roman"/>
          <w:color w:val="000000"/>
          <w:lang w:val="en-AU" w:eastAsia="en-GB"/>
        </w:rPr>
        <w:t xml:space="preserve"> &amp; </w:t>
      </w:r>
      <w:proofErr w:type="spellStart"/>
      <w:r w:rsidRPr="00813511">
        <w:rPr>
          <w:rFonts w:eastAsia="Times New Roman"/>
          <w:color w:val="000000"/>
          <w:lang w:val="en-AU" w:eastAsia="en-GB"/>
        </w:rPr>
        <w:t>Verstynen</w:t>
      </w:r>
      <w:proofErr w:type="spellEnd"/>
      <w:r w:rsidRPr="00813511">
        <w:rPr>
          <w:rFonts w:eastAsia="Times New Roman"/>
          <w:color w:val="000000"/>
          <w:lang w:val="en-AU" w:eastAsia="en-GB"/>
        </w:rPr>
        <w:t>, 2015</w:t>
      </w:r>
      <w:r w:rsidR="004273EA" w:rsidRPr="00813511">
        <w:rPr>
          <w:rFonts w:eastAsia="Times New Roman"/>
          <w:color w:val="000000"/>
          <w:lang w:val="en-AU" w:eastAsia="en-GB"/>
        </w:rPr>
        <w:t xml:space="preserve">; </w:t>
      </w:r>
      <w:proofErr w:type="spellStart"/>
      <w:r w:rsidR="004273EA" w:rsidRPr="00813511">
        <w:rPr>
          <w:rFonts w:eastAsia="Times New Roman"/>
          <w:color w:val="000000"/>
          <w:lang w:val="en-AU" w:eastAsia="en-GB"/>
        </w:rPr>
        <w:t>Seloman</w:t>
      </w:r>
      <w:proofErr w:type="spellEnd"/>
      <w:r w:rsidR="004273EA" w:rsidRPr="00813511">
        <w:rPr>
          <w:rFonts w:eastAsia="Times New Roman"/>
          <w:color w:val="000000"/>
          <w:lang w:val="en-AU" w:eastAsia="en-GB"/>
        </w:rPr>
        <w:t xml:space="preserve"> &amp; Goldman-</w:t>
      </w:r>
      <w:proofErr w:type="spellStart"/>
      <w:r w:rsidR="004273EA" w:rsidRPr="00813511">
        <w:rPr>
          <w:rFonts w:eastAsia="Times New Roman"/>
          <w:color w:val="000000"/>
          <w:lang w:val="en-AU" w:eastAsia="en-GB"/>
        </w:rPr>
        <w:t>Rakic</w:t>
      </w:r>
      <w:proofErr w:type="spellEnd"/>
      <w:r w:rsidR="004273EA" w:rsidRPr="00813511">
        <w:rPr>
          <w:rFonts w:eastAsia="Times New Roman"/>
          <w:color w:val="000000"/>
          <w:lang w:val="en-AU" w:eastAsia="en-GB"/>
        </w:rPr>
        <w:t xml:space="preserve">, 1985; </w:t>
      </w:r>
      <w:proofErr w:type="spellStart"/>
      <w:r w:rsidR="004273EA" w:rsidRPr="00813511">
        <w:rPr>
          <w:rFonts w:eastAsia="Times New Roman"/>
          <w:color w:val="000000"/>
          <w:lang w:val="en-AU" w:eastAsia="en-GB"/>
        </w:rPr>
        <w:t>Averbeck</w:t>
      </w:r>
      <w:proofErr w:type="spellEnd"/>
      <w:r w:rsidR="004273EA" w:rsidRPr="00813511">
        <w:rPr>
          <w:rFonts w:eastAsia="Times New Roman"/>
          <w:color w:val="000000"/>
          <w:lang w:val="en-AU" w:eastAsia="en-GB"/>
        </w:rPr>
        <w:t>, Lehman, Jacobson, &amp; Haber, 2014</w:t>
      </w:r>
      <w:r w:rsidRPr="00813511">
        <w:rPr>
          <w:rFonts w:eastAsia="Times New Roman"/>
          <w:color w:val="000000"/>
          <w:lang w:val="en-AU" w:eastAsia="en-GB"/>
        </w:rPr>
        <w:t>).</w:t>
      </w:r>
      <w:r w:rsidRPr="009C520A">
        <w:rPr>
          <w:rFonts w:eastAsia="Times New Roman"/>
          <w:color w:val="000000"/>
          <w:lang w:val="en-AU" w:eastAsia="en-GB"/>
        </w:rPr>
        <w:t xml:space="preserve"> </w:t>
      </w:r>
      <w:r w:rsidR="00FC5D6F" w:rsidRPr="009C520A">
        <w:rPr>
          <w:rFonts w:eastAsia="Times New Roman"/>
          <w:color w:val="000000"/>
          <w:lang w:val="en-AU" w:eastAsia="en-GB"/>
        </w:rPr>
        <w:t>As</w:t>
      </w:r>
      <w:r w:rsidR="00C5132B" w:rsidRPr="009C520A">
        <w:rPr>
          <w:rFonts w:eastAsia="Times New Roman"/>
          <w:color w:val="000000"/>
          <w:lang w:val="en-AU" w:eastAsia="en-GB"/>
        </w:rPr>
        <w:t xml:space="preserve"> </w:t>
      </w:r>
      <w:r w:rsidR="00FC5D6F" w:rsidRPr="009C520A">
        <w:rPr>
          <w:rFonts w:eastAsia="Times New Roman"/>
          <w:color w:val="000000"/>
          <w:lang w:val="en-AU" w:eastAsia="en-GB"/>
        </w:rPr>
        <w:t>mentioned,</w:t>
      </w:r>
      <w:r w:rsidR="00C5132B" w:rsidRPr="009C520A">
        <w:rPr>
          <w:rFonts w:eastAsia="Times New Roman"/>
          <w:color w:val="000000"/>
          <w:lang w:val="en-AU" w:eastAsia="en-GB"/>
        </w:rPr>
        <w:t xml:space="preserve"> prior, activation in the ACC and within the caudate and putamen had been shown to be important in executive control, performance monitoring and conditioning behaviours it would be prudent to include. </w:t>
      </w:r>
      <w:r w:rsidR="00FC5D6F" w:rsidRPr="009C520A">
        <w:rPr>
          <w:rFonts w:eastAsia="Times New Roman"/>
          <w:color w:val="000000"/>
          <w:lang w:val="en-AU" w:eastAsia="en-GB"/>
        </w:rPr>
        <w:t xml:space="preserve">Given that, inclusion of connections between the ACC and caudate and putamen respectively, may provide further explanation of the behaviour we are interested in. </w:t>
      </w:r>
    </w:p>
    <w:p w14:paraId="7C0443A9" w14:textId="77777777" w:rsidR="00D95105" w:rsidRPr="009C520A" w:rsidRDefault="00D95105" w:rsidP="00D95105">
      <w:pPr>
        <w:rPr>
          <w:rFonts w:eastAsia="Times New Roman"/>
          <w:color w:val="000000"/>
          <w:lang w:val="en-AU" w:eastAsia="en-GB"/>
        </w:rPr>
      </w:pPr>
      <w:r w:rsidRPr="009C520A">
        <w:rPr>
          <w:rFonts w:eastAsia="Times New Roman"/>
          <w:b/>
          <w:bCs/>
          <w:color w:val="000000"/>
          <w:lang w:val="en-AU" w:eastAsia="en-GB"/>
        </w:rPr>
        <w:lastRenderedPageBreak/>
        <w:t> </w:t>
      </w:r>
    </w:p>
    <w:p w14:paraId="4AA49877" w14:textId="77777777" w:rsidR="00D95105" w:rsidRPr="009C520A" w:rsidRDefault="00D95105" w:rsidP="00D95105">
      <w:pPr>
        <w:rPr>
          <w:rFonts w:eastAsia="Times New Roman"/>
          <w:color w:val="000000"/>
          <w:lang w:val="en-AU" w:eastAsia="en-GB"/>
        </w:rPr>
      </w:pPr>
      <w:r w:rsidRPr="009C520A">
        <w:rPr>
          <w:rFonts w:eastAsia="Times New Roman"/>
          <w:b/>
          <w:bCs/>
          <w:color w:val="000000"/>
          <w:lang w:val="en-AU" w:eastAsia="en-GB"/>
        </w:rPr>
        <w:t>Data</w:t>
      </w:r>
    </w:p>
    <w:p w14:paraId="2779E0A1" w14:textId="0EED1486" w:rsidR="00D95105" w:rsidRPr="009C520A" w:rsidRDefault="00D95105" w:rsidP="00D95105">
      <w:pPr>
        <w:rPr>
          <w:rFonts w:eastAsia="Times New Roman"/>
          <w:color w:val="000000"/>
          <w:lang w:val="en-AU" w:eastAsia="en-GB"/>
        </w:rPr>
      </w:pPr>
      <w:r w:rsidRPr="009C520A">
        <w:rPr>
          <w:rFonts w:eastAsia="Times New Roman"/>
          <w:color w:val="000000"/>
          <w:lang w:val="en-AU" w:eastAsia="en-GB"/>
        </w:rPr>
        <w:t>The data used here were collected in a previous study run by Garner &amp; Dux (2015)</w:t>
      </w:r>
      <w:r w:rsidR="006A7655">
        <w:rPr>
          <w:rFonts w:eastAsia="Times New Roman"/>
          <w:color w:val="000000"/>
          <w:lang w:val="en-AU" w:eastAsia="en-GB"/>
        </w:rPr>
        <w:t>; only methods relevant to the current work are discussed here</w:t>
      </w:r>
      <w:r w:rsidRPr="009C520A">
        <w:rPr>
          <w:rFonts w:eastAsia="Times New Roman"/>
          <w:color w:val="000000"/>
          <w:lang w:val="en-AU" w:eastAsia="en-GB"/>
        </w:rPr>
        <w:t xml:space="preserve">. Garner and Dux collected data from 111 participants, with 11 being removed on the basis of excessive head motion, failure of equipment, dropouts, or systematic error in the sound task, leaving 100 participants. Participants attended six sessions, they first underwent a familiarisation session, followed by the first data collection session that measured their pre-training ability, and collected DTI measures of FA. This was followed by three training sessions where participants trained for </w:t>
      </w:r>
      <w:r w:rsidR="006B1701" w:rsidRPr="009C520A">
        <w:rPr>
          <w:rFonts w:eastAsia="Times New Roman"/>
          <w:color w:val="000000"/>
          <w:lang w:val="en-AU" w:eastAsia="en-GB"/>
        </w:rPr>
        <w:t xml:space="preserve">the multitasking paradigm, the control group performed a visual search task instead of the multitask paradigm. </w:t>
      </w:r>
      <w:r w:rsidRPr="009C520A">
        <w:rPr>
          <w:rFonts w:eastAsia="Times New Roman"/>
          <w:color w:val="000000"/>
          <w:lang w:val="en-AU" w:eastAsia="en-GB"/>
        </w:rPr>
        <w:t>Proceeding this, a final data collection session was carried out where post training ability was measured with FA values again. Participants used the first two fingers of one hand to press a button that was paired with one of two shapes and/or the first two fingers of the other hand to press a button associated with one of two sounds.</w:t>
      </w:r>
    </w:p>
    <w:p w14:paraId="09AB3A56" w14:textId="77777777" w:rsidR="00D95105" w:rsidRPr="009C520A" w:rsidRDefault="00D95105" w:rsidP="00D95105">
      <w:pPr>
        <w:rPr>
          <w:rFonts w:eastAsia="Times New Roman"/>
          <w:color w:val="000000"/>
          <w:lang w:val="en-AU" w:eastAsia="en-GB"/>
        </w:rPr>
      </w:pPr>
      <w:r w:rsidRPr="009C520A">
        <w:rPr>
          <w:rFonts w:eastAsia="Times New Roman"/>
          <w:color w:val="000000"/>
          <w:lang w:val="en-AU" w:eastAsia="en-GB"/>
        </w:rPr>
        <w:t> </w:t>
      </w:r>
    </w:p>
    <w:p w14:paraId="08E9B16A" w14:textId="77777777" w:rsidR="00D95105" w:rsidRPr="009C520A" w:rsidRDefault="00D95105" w:rsidP="00D95105">
      <w:pPr>
        <w:rPr>
          <w:rFonts w:eastAsia="Times New Roman"/>
          <w:color w:val="000000"/>
          <w:lang w:val="en-AU" w:eastAsia="en-GB"/>
        </w:rPr>
      </w:pPr>
      <w:r w:rsidRPr="009C520A">
        <w:rPr>
          <w:rFonts w:eastAsia="Times New Roman"/>
          <w:b/>
          <w:bCs/>
          <w:color w:val="000000"/>
          <w:lang w:val="en-AU" w:eastAsia="en-GB"/>
        </w:rPr>
        <w:t>Hypotheses</w:t>
      </w:r>
    </w:p>
    <w:p w14:paraId="0847DD84" w14:textId="6C52E7D3" w:rsidR="00D95105" w:rsidRPr="009C520A" w:rsidRDefault="00D95105" w:rsidP="00D95105">
      <w:pPr>
        <w:rPr>
          <w:rFonts w:eastAsia="Times New Roman"/>
          <w:color w:val="000000"/>
          <w:lang w:val="en-AU" w:eastAsia="en-GB"/>
        </w:rPr>
      </w:pPr>
      <w:r w:rsidRPr="009C520A">
        <w:rPr>
          <w:rFonts w:eastAsia="Times New Roman"/>
          <w:color w:val="000000"/>
          <w:lang w:val="en-AU" w:eastAsia="en-GB"/>
        </w:rPr>
        <w:t>It is hypothesised that tracts between the left DLPFC and the ACC underlie variability processes in multitasking. We also suggest the presence of a</w:t>
      </w:r>
      <w:r w:rsidR="00C508B0" w:rsidRPr="009C520A">
        <w:rPr>
          <w:rFonts w:eastAsia="Times New Roman"/>
          <w:color w:val="000000"/>
          <w:lang w:val="en-AU" w:eastAsia="en-GB"/>
        </w:rPr>
        <w:t xml:space="preserve"> </w:t>
      </w:r>
      <w:r w:rsidRPr="009C520A">
        <w:rPr>
          <w:rFonts w:eastAsia="Times New Roman"/>
          <w:color w:val="000000"/>
          <w:lang w:val="en-AU" w:eastAsia="en-GB"/>
        </w:rPr>
        <w:t xml:space="preserve">relationship between the right DLPFC and the ACC in multitasking variability. This connection is suggested tentatively because previous evidence for the role of the right DLPFC have been present but sparse relative to left hemispheric involvement. </w:t>
      </w:r>
    </w:p>
    <w:p w14:paraId="4809D8A9" w14:textId="77777777" w:rsidR="00D95105" w:rsidRPr="009C520A" w:rsidRDefault="00D95105" w:rsidP="00D95105">
      <w:pPr>
        <w:rPr>
          <w:rFonts w:eastAsia="Times New Roman"/>
          <w:color w:val="000000"/>
          <w:lang w:val="en-AU" w:eastAsia="en-GB"/>
        </w:rPr>
      </w:pPr>
      <w:r w:rsidRPr="009C520A">
        <w:rPr>
          <w:rFonts w:eastAsia="Times New Roman"/>
          <w:color w:val="000000"/>
          <w:lang w:val="en-AU" w:eastAsia="en-GB"/>
        </w:rPr>
        <w:t> </w:t>
      </w:r>
    </w:p>
    <w:p w14:paraId="3CC99EB7" w14:textId="0AD553E0" w:rsidR="00D95105" w:rsidRPr="009C520A" w:rsidRDefault="00D95105" w:rsidP="00D95105">
      <w:pPr>
        <w:rPr>
          <w:rFonts w:eastAsia="Times New Roman"/>
          <w:color w:val="000000"/>
          <w:lang w:val="en-AU" w:eastAsia="en-GB"/>
        </w:rPr>
      </w:pPr>
      <w:r w:rsidRPr="009C520A">
        <w:rPr>
          <w:rFonts w:eastAsia="Times New Roman"/>
          <w:color w:val="000000"/>
          <w:lang w:val="en-AU" w:eastAsia="en-GB"/>
        </w:rPr>
        <w:t xml:space="preserve">Another tract that may underlie variability is one between the caudate and the DLPFC, this effect should be more predictive in the left hemisphere. Additionally, we speculate that tracts between the putamen and DLPFC will also show an effect, although we hypothesise the putamen potentially tracts in a distinct </w:t>
      </w:r>
      <w:r w:rsidR="00375167" w:rsidRPr="009C520A">
        <w:rPr>
          <w:rFonts w:eastAsia="Times New Roman"/>
          <w:color w:val="000000"/>
          <w:lang w:val="en-AU" w:eastAsia="en-GB"/>
        </w:rPr>
        <w:t>manner</w:t>
      </w:r>
      <w:r w:rsidRPr="009C520A">
        <w:rPr>
          <w:rFonts w:eastAsia="Times New Roman"/>
          <w:color w:val="000000"/>
          <w:lang w:val="en-AU" w:eastAsia="en-GB"/>
        </w:rPr>
        <w:t>. This is because although the caudate has shown effects in cognitive control and performance motioning, the putamen is more involved with conditioned responses which while important may not be as central to the study at hand.</w:t>
      </w:r>
      <w:r w:rsidR="00D513D0" w:rsidRPr="009C520A">
        <w:rPr>
          <w:rFonts w:eastAsia="Times New Roman"/>
          <w:color w:val="000000"/>
          <w:lang w:val="en-AU" w:eastAsia="en-GB"/>
        </w:rPr>
        <w:t xml:space="preserve"> Similarly, we expect connections between the ACC and the caudate and the ACC and the putamen to also have a role in variability processes in multitasking. </w:t>
      </w:r>
    </w:p>
    <w:p w14:paraId="1DDAABB9" w14:textId="77777777" w:rsidR="00D95105" w:rsidRPr="009C520A" w:rsidRDefault="00D95105" w:rsidP="00D95105">
      <w:pPr>
        <w:rPr>
          <w:rFonts w:eastAsia="Times New Roman"/>
          <w:color w:val="000000"/>
          <w:lang w:val="en-AU" w:eastAsia="en-GB"/>
        </w:rPr>
      </w:pPr>
      <w:r w:rsidRPr="009C520A">
        <w:rPr>
          <w:rFonts w:eastAsia="Times New Roman"/>
          <w:color w:val="000000"/>
          <w:lang w:val="en-AU" w:eastAsia="en-GB"/>
        </w:rPr>
        <w:t> </w:t>
      </w:r>
    </w:p>
    <w:p w14:paraId="68FA987E" w14:textId="77777777" w:rsidR="00D95105" w:rsidRPr="009C520A" w:rsidRDefault="00D95105" w:rsidP="00D95105">
      <w:pPr>
        <w:rPr>
          <w:rFonts w:eastAsia="Times New Roman"/>
          <w:color w:val="000000"/>
          <w:lang w:val="en-AU" w:eastAsia="en-GB"/>
        </w:rPr>
      </w:pPr>
      <w:r w:rsidRPr="009C520A">
        <w:rPr>
          <w:rFonts w:eastAsia="Times New Roman"/>
          <w:color w:val="000000"/>
          <w:lang w:val="en-AU" w:eastAsia="en-GB"/>
        </w:rPr>
        <w:t>To summarise, the tracts that we are interested in are between left DLPFC and ACC, right DLPFC and ACC, right DLPFC to caudate, left DLPFC to caudate, right DLPFC to putamen and left DLPFC to putamen.</w:t>
      </w:r>
    </w:p>
    <w:p w14:paraId="70B91421" w14:textId="77777777" w:rsidR="00D95105" w:rsidRPr="009C520A" w:rsidRDefault="00D95105" w:rsidP="00D95105">
      <w:pPr>
        <w:rPr>
          <w:rFonts w:eastAsia="Times New Roman"/>
          <w:color w:val="000000"/>
          <w:lang w:val="en-AU" w:eastAsia="en-GB"/>
        </w:rPr>
      </w:pPr>
      <w:r w:rsidRPr="009C520A">
        <w:rPr>
          <w:rFonts w:eastAsia="Times New Roman"/>
          <w:color w:val="000000"/>
          <w:lang w:val="en-AU" w:eastAsia="en-GB"/>
        </w:rPr>
        <w:t> </w:t>
      </w:r>
    </w:p>
    <w:p w14:paraId="07462795" w14:textId="77777777" w:rsidR="00D95105" w:rsidRPr="009C520A" w:rsidRDefault="00D95105" w:rsidP="00D95105">
      <w:pPr>
        <w:rPr>
          <w:rFonts w:eastAsia="Times New Roman"/>
          <w:color w:val="000000"/>
          <w:lang w:val="en-AU" w:eastAsia="en-GB"/>
        </w:rPr>
      </w:pPr>
      <w:r w:rsidRPr="009C520A">
        <w:rPr>
          <w:rFonts w:eastAsia="Times New Roman"/>
          <w:color w:val="000000"/>
          <w:lang w:val="en-AU" w:eastAsia="en-GB"/>
        </w:rPr>
        <w:t> </w:t>
      </w:r>
    </w:p>
    <w:p w14:paraId="296940B1" w14:textId="77777777" w:rsidR="00D95105" w:rsidRPr="009C520A" w:rsidRDefault="00D95105" w:rsidP="00D95105">
      <w:pPr>
        <w:rPr>
          <w:rFonts w:eastAsia="Times New Roman"/>
          <w:color w:val="000000"/>
          <w:lang w:val="en-AU" w:eastAsia="en-GB"/>
        </w:rPr>
      </w:pPr>
      <w:r w:rsidRPr="009C520A">
        <w:rPr>
          <w:rFonts w:eastAsia="Times New Roman"/>
          <w:b/>
          <w:bCs/>
          <w:color w:val="000000"/>
          <w:lang w:val="en-AU" w:eastAsia="en-GB"/>
        </w:rPr>
        <w:t>Analysis Plan</w:t>
      </w:r>
    </w:p>
    <w:p w14:paraId="45E39DAB" w14:textId="77777777" w:rsidR="00D95105" w:rsidRPr="009C520A" w:rsidRDefault="00D95105" w:rsidP="00D95105">
      <w:pPr>
        <w:rPr>
          <w:rFonts w:eastAsia="Times New Roman"/>
          <w:color w:val="000000"/>
          <w:lang w:val="en-AU" w:eastAsia="en-GB"/>
        </w:rPr>
      </w:pPr>
      <w:r w:rsidRPr="009C520A">
        <w:rPr>
          <w:rFonts w:eastAsia="Times New Roman"/>
          <w:color w:val="000000"/>
          <w:lang w:val="en-AU" w:eastAsia="en-GB"/>
        </w:rPr>
        <w:t> </w:t>
      </w:r>
    </w:p>
    <w:p w14:paraId="48247B04" w14:textId="77777777" w:rsidR="00D95105" w:rsidRPr="009C520A" w:rsidRDefault="00D95105" w:rsidP="00D95105">
      <w:pPr>
        <w:rPr>
          <w:rFonts w:eastAsia="Times New Roman"/>
          <w:color w:val="000000"/>
          <w:lang w:val="en-AU" w:eastAsia="en-GB"/>
        </w:rPr>
      </w:pPr>
      <w:r w:rsidRPr="009C520A">
        <w:rPr>
          <w:rFonts w:eastAsia="Times New Roman"/>
          <w:i/>
          <w:iCs/>
          <w:color w:val="000000"/>
          <w:lang w:val="en-AU" w:eastAsia="en-GB"/>
        </w:rPr>
        <w:t>Reliability Test</w:t>
      </w:r>
    </w:p>
    <w:p w14:paraId="3A9036C0" w14:textId="45C178CA" w:rsidR="00D95105" w:rsidRPr="009C520A" w:rsidRDefault="00D95105" w:rsidP="00D95105">
      <w:pPr>
        <w:rPr>
          <w:rFonts w:eastAsia="Times New Roman"/>
          <w:color w:val="000000"/>
          <w:lang w:val="en-AU" w:eastAsia="en-GB"/>
        </w:rPr>
      </w:pPr>
      <w:r w:rsidRPr="009C520A">
        <w:rPr>
          <w:rFonts w:eastAsia="Times New Roman"/>
          <w:color w:val="000000"/>
          <w:lang w:val="en-AU" w:eastAsia="en-GB"/>
        </w:rPr>
        <w:t xml:space="preserve">To assess reliability, we will correlate </w:t>
      </w:r>
      <w:r w:rsidR="006B622E">
        <w:rPr>
          <w:rFonts w:eastAsia="Times New Roman"/>
          <w:color w:val="000000"/>
          <w:lang w:val="en-AU" w:eastAsia="en-GB"/>
        </w:rPr>
        <w:t>fractional anisotropy (</w:t>
      </w:r>
      <w:r w:rsidRPr="009C520A">
        <w:rPr>
          <w:rFonts w:eastAsia="Times New Roman"/>
          <w:color w:val="000000"/>
          <w:lang w:val="en-AU" w:eastAsia="en-GB"/>
        </w:rPr>
        <w:t>FA</w:t>
      </w:r>
      <w:r w:rsidR="006B622E">
        <w:rPr>
          <w:rFonts w:eastAsia="Times New Roman"/>
          <w:color w:val="000000"/>
          <w:lang w:val="en-AU" w:eastAsia="en-GB"/>
        </w:rPr>
        <w:t>)</w:t>
      </w:r>
      <w:r w:rsidRPr="009C520A">
        <w:rPr>
          <w:rFonts w:eastAsia="Times New Roman"/>
          <w:color w:val="000000"/>
          <w:lang w:val="en-AU" w:eastAsia="en-GB"/>
        </w:rPr>
        <w:t xml:space="preserve"> across pretraining and post training sessions from the control group to ensure the data are relatively free from measurement error.</w:t>
      </w:r>
    </w:p>
    <w:p w14:paraId="4991259D" w14:textId="77777777" w:rsidR="00D95105" w:rsidRPr="009C520A" w:rsidRDefault="00D95105" w:rsidP="00D95105">
      <w:pPr>
        <w:rPr>
          <w:rFonts w:eastAsia="Times New Roman"/>
          <w:color w:val="000000"/>
          <w:lang w:val="en-AU" w:eastAsia="en-GB"/>
        </w:rPr>
      </w:pPr>
      <w:r w:rsidRPr="009C520A">
        <w:rPr>
          <w:rFonts w:eastAsia="Times New Roman"/>
          <w:i/>
          <w:iCs/>
          <w:color w:val="000000"/>
          <w:lang w:val="en-AU" w:eastAsia="en-GB"/>
        </w:rPr>
        <w:t> </w:t>
      </w:r>
    </w:p>
    <w:p w14:paraId="605CC4E9" w14:textId="77777777" w:rsidR="00D95105" w:rsidRPr="009C520A" w:rsidRDefault="00D95105" w:rsidP="00D95105">
      <w:pPr>
        <w:rPr>
          <w:rFonts w:eastAsia="Times New Roman"/>
          <w:color w:val="000000"/>
          <w:lang w:val="en-AU" w:eastAsia="en-GB"/>
        </w:rPr>
      </w:pPr>
      <w:r w:rsidRPr="009C520A">
        <w:rPr>
          <w:rFonts w:eastAsia="Times New Roman"/>
          <w:i/>
          <w:iCs/>
          <w:color w:val="000000"/>
          <w:lang w:val="en-AU" w:eastAsia="en-GB"/>
        </w:rPr>
        <w:t>Data Cleaning</w:t>
      </w:r>
    </w:p>
    <w:p w14:paraId="61FB066B" w14:textId="6AFF8A6E" w:rsidR="00D95105" w:rsidRPr="009C520A" w:rsidRDefault="00D95105" w:rsidP="00D95105">
      <w:pPr>
        <w:rPr>
          <w:rFonts w:eastAsia="Times New Roman"/>
          <w:color w:val="000000"/>
          <w:lang w:val="en-AU" w:eastAsia="en-GB"/>
        </w:rPr>
      </w:pPr>
      <w:r w:rsidRPr="009C520A">
        <w:rPr>
          <w:rFonts w:eastAsia="Times New Roman"/>
          <w:color w:val="000000"/>
          <w:lang w:val="en-AU" w:eastAsia="en-GB"/>
        </w:rPr>
        <w:t xml:space="preserve">Reaction time </w:t>
      </w:r>
      <w:r w:rsidR="006B622E">
        <w:rPr>
          <w:rFonts w:eastAsia="Times New Roman"/>
          <w:color w:val="000000"/>
          <w:lang w:val="en-AU" w:eastAsia="en-GB"/>
        </w:rPr>
        <w:t xml:space="preserve">and FA </w:t>
      </w:r>
      <w:r w:rsidRPr="009C520A">
        <w:rPr>
          <w:rFonts w:eastAsia="Times New Roman"/>
          <w:color w:val="000000"/>
          <w:lang w:val="en-AU" w:eastAsia="en-GB"/>
        </w:rPr>
        <w:t>data points that are 3 standard deviations above or below the mean will be removed as outliers</w:t>
      </w:r>
      <w:r w:rsidR="006B622E">
        <w:rPr>
          <w:rFonts w:eastAsia="Times New Roman"/>
          <w:color w:val="000000"/>
          <w:lang w:val="en-AU" w:eastAsia="en-GB"/>
        </w:rPr>
        <w:t xml:space="preserve"> (Garner, </w:t>
      </w:r>
      <w:proofErr w:type="spellStart"/>
      <w:r w:rsidR="006B622E">
        <w:rPr>
          <w:rFonts w:eastAsia="Times New Roman"/>
          <w:color w:val="000000"/>
          <w:lang w:val="en-AU" w:eastAsia="en-GB"/>
        </w:rPr>
        <w:t>Tombu</w:t>
      </w:r>
      <w:proofErr w:type="spellEnd"/>
      <w:r w:rsidR="006B622E">
        <w:rPr>
          <w:rFonts w:eastAsia="Times New Roman"/>
          <w:color w:val="000000"/>
          <w:lang w:val="en-AU" w:eastAsia="en-GB"/>
        </w:rPr>
        <w:t>, &amp; Dux, 2014)</w:t>
      </w:r>
      <w:r w:rsidRPr="009C520A">
        <w:rPr>
          <w:rFonts w:eastAsia="Times New Roman"/>
          <w:color w:val="000000"/>
          <w:lang w:val="en-AU" w:eastAsia="en-GB"/>
        </w:rPr>
        <w:t xml:space="preserve">. We will calculate the standard deviations (SD) at the participant level and remove data accordingly. Similarly, participants that did not perform the task correctly will be removed from the data set, these are participants who answered incorrectly at a cut-off of 70% and above. </w:t>
      </w:r>
      <w:r w:rsidRPr="006B622E">
        <w:rPr>
          <w:rFonts w:eastAsia="Times New Roman"/>
          <w:color w:val="000000"/>
          <w:lang w:val="en-AU" w:eastAsia="en-GB"/>
        </w:rPr>
        <w:t xml:space="preserve">We have chosen a 70% </w:t>
      </w:r>
      <w:r w:rsidRPr="006B622E">
        <w:rPr>
          <w:rFonts w:eastAsia="Times New Roman"/>
          <w:color w:val="000000"/>
          <w:lang w:val="en-AU" w:eastAsia="en-GB"/>
        </w:rPr>
        <w:lastRenderedPageBreak/>
        <w:t>threshold so as not to accidentally omit any participants that may have understood correctly the task but still had difficulty responding</w:t>
      </w:r>
      <w:r w:rsidR="006B622E">
        <w:rPr>
          <w:rFonts w:eastAsia="Times New Roman"/>
          <w:color w:val="000000"/>
          <w:lang w:val="en-AU" w:eastAsia="en-GB"/>
        </w:rPr>
        <w:t xml:space="preserve"> (Garner, Lynch, &amp; Dux, 2016).</w:t>
      </w:r>
    </w:p>
    <w:p w14:paraId="763226A9" w14:textId="77777777" w:rsidR="00D95105" w:rsidRPr="009C520A" w:rsidRDefault="00D95105" w:rsidP="00D95105">
      <w:pPr>
        <w:rPr>
          <w:rFonts w:eastAsia="Times New Roman"/>
          <w:color w:val="000000"/>
          <w:lang w:val="en-AU" w:eastAsia="en-GB"/>
        </w:rPr>
      </w:pPr>
      <w:r w:rsidRPr="009C520A">
        <w:rPr>
          <w:rFonts w:eastAsia="Times New Roman"/>
          <w:color w:val="000000"/>
          <w:lang w:val="en-AU" w:eastAsia="en-GB"/>
        </w:rPr>
        <w:t> </w:t>
      </w:r>
    </w:p>
    <w:p w14:paraId="7D0221E5" w14:textId="77777777" w:rsidR="00D95105" w:rsidRPr="009C520A" w:rsidRDefault="00D95105" w:rsidP="00D95105">
      <w:pPr>
        <w:rPr>
          <w:rFonts w:eastAsia="Times New Roman"/>
          <w:color w:val="000000"/>
          <w:lang w:val="en-AU" w:eastAsia="en-GB"/>
        </w:rPr>
      </w:pPr>
      <w:r w:rsidRPr="009C520A">
        <w:rPr>
          <w:rFonts w:eastAsia="Times New Roman"/>
          <w:color w:val="000000"/>
          <w:lang w:val="en-AU" w:eastAsia="en-GB"/>
        </w:rPr>
        <w:t>To assess the normality of the data q-q plots and skewness and kurtosis will be calculated. Boxplots will also be assessed to evaluate deviation and outliers in the data to thus determine if any transformations need to be applied.</w:t>
      </w:r>
    </w:p>
    <w:p w14:paraId="55DB3BCF" w14:textId="77777777" w:rsidR="00D95105" w:rsidRPr="009C520A" w:rsidRDefault="00D95105" w:rsidP="00D95105">
      <w:pPr>
        <w:rPr>
          <w:rFonts w:eastAsia="Times New Roman"/>
          <w:color w:val="000000"/>
          <w:lang w:val="en-AU" w:eastAsia="en-GB"/>
        </w:rPr>
      </w:pPr>
      <w:r w:rsidRPr="009C520A">
        <w:rPr>
          <w:rFonts w:eastAsia="Times New Roman"/>
          <w:color w:val="000000"/>
          <w:lang w:val="en-AU" w:eastAsia="en-GB"/>
        </w:rPr>
        <w:t> </w:t>
      </w:r>
    </w:p>
    <w:p w14:paraId="56926A83" w14:textId="77777777" w:rsidR="00D95105" w:rsidRPr="009C520A" w:rsidRDefault="00D95105" w:rsidP="00D95105">
      <w:pPr>
        <w:rPr>
          <w:rFonts w:eastAsia="Times New Roman"/>
          <w:color w:val="000000"/>
          <w:lang w:val="en-AU" w:eastAsia="en-GB"/>
        </w:rPr>
      </w:pPr>
      <w:r w:rsidRPr="009C520A">
        <w:rPr>
          <w:rFonts w:eastAsia="Times New Roman"/>
          <w:i/>
          <w:iCs/>
          <w:color w:val="000000"/>
          <w:lang w:val="en-AU" w:eastAsia="en-GB"/>
        </w:rPr>
        <w:t>Analysis</w:t>
      </w:r>
    </w:p>
    <w:p w14:paraId="4A0CF629" w14:textId="78964E50" w:rsidR="00D95105" w:rsidRPr="009C520A" w:rsidRDefault="00D95105" w:rsidP="00D95105">
      <w:pPr>
        <w:rPr>
          <w:rFonts w:eastAsia="Times New Roman"/>
          <w:color w:val="000000"/>
          <w:lang w:val="en-AU" w:eastAsia="en-GB"/>
        </w:rPr>
      </w:pPr>
      <w:r w:rsidRPr="009C520A">
        <w:rPr>
          <w:rFonts w:eastAsia="Times New Roman"/>
          <w:color w:val="000000"/>
          <w:lang w:val="en-AU" w:eastAsia="en-GB"/>
        </w:rPr>
        <w:t xml:space="preserve">Firstly, correlations between FA tracts will be calculated </w:t>
      </w:r>
      <w:r w:rsidR="00912D32" w:rsidRPr="009C520A">
        <w:rPr>
          <w:rFonts w:eastAsia="Times New Roman"/>
          <w:color w:val="000000"/>
          <w:lang w:val="en-AU" w:eastAsia="en-GB"/>
        </w:rPr>
        <w:t>and</w:t>
      </w:r>
      <w:r w:rsidRPr="009C520A">
        <w:rPr>
          <w:rFonts w:eastAsia="Times New Roman"/>
          <w:color w:val="000000"/>
          <w:lang w:val="en-AU" w:eastAsia="en-GB"/>
        </w:rPr>
        <w:t xml:space="preserve"> followed by an exploratory factor analysis, to reduce the number of tracts to a manageable number of factors, while also helping us to understand the underlying structure of how the tracts relate to one another. An EFA would consequently increase statistical power, increase model accuracy and eliminate redundant information and associated noise.</w:t>
      </w:r>
    </w:p>
    <w:p w14:paraId="6E4C632D" w14:textId="77777777" w:rsidR="00D95105" w:rsidRPr="009C520A" w:rsidRDefault="00D95105" w:rsidP="00D95105">
      <w:pPr>
        <w:rPr>
          <w:rFonts w:eastAsia="Times New Roman"/>
          <w:color w:val="000000"/>
          <w:lang w:val="en-AU" w:eastAsia="en-GB"/>
        </w:rPr>
      </w:pPr>
      <w:r w:rsidRPr="009C520A">
        <w:rPr>
          <w:rFonts w:eastAsia="Times New Roman"/>
          <w:color w:val="000000"/>
          <w:lang w:val="en-AU" w:eastAsia="en-GB"/>
        </w:rPr>
        <w:t> </w:t>
      </w:r>
    </w:p>
    <w:p w14:paraId="03859EDA" w14:textId="77777777" w:rsidR="00D95105" w:rsidRPr="009C520A" w:rsidRDefault="00D95105" w:rsidP="00D95105">
      <w:pPr>
        <w:rPr>
          <w:rFonts w:eastAsia="Times New Roman"/>
          <w:color w:val="000000"/>
          <w:lang w:val="en-AU" w:eastAsia="en-GB"/>
        </w:rPr>
      </w:pPr>
      <w:r w:rsidRPr="009C520A">
        <w:rPr>
          <w:rFonts w:eastAsia="Times New Roman"/>
          <w:color w:val="000000"/>
          <w:lang w:val="en-AU" w:eastAsia="en-GB"/>
        </w:rPr>
        <w:t>Finally, two multiple regression analyses will be performed. The first will evaluate each participant’s score in the resulting factors derived from the EFA, with a calculated coefficient of variance as the dependent variable. The difference value will be calculated as ‘x = coefficient of variability multitask/coefficient of variability single task’. We sought to determine how variability in performance increased as a function of multitasking opposed to single task performance. To that end, we calculated the variability of each condition and then a ratio between those two variability values. The second regression analysis will test the relationship between participants scores on each of the identified factors and the dependent variable of mean reaction time on multitask divided by single task reaction time. This will ensure that FA measures are predicting variability and it is not that just the mean value and central tendency alone is not influencing the model. </w:t>
      </w:r>
    </w:p>
    <w:p w14:paraId="382BBB15" w14:textId="77777777" w:rsidR="00D95105" w:rsidRPr="009C520A" w:rsidRDefault="00D95105" w:rsidP="00D95105">
      <w:pPr>
        <w:rPr>
          <w:rFonts w:eastAsia="Times New Roman"/>
          <w:color w:val="000000"/>
          <w:lang w:val="en-AU" w:eastAsia="en-GB"/>
        </w:rPr>
      </w:pPr>
      <w:r w:rsidRPr="009C520A">
        <w:rPr>
          <w:rFonts w:eastAsia="Times New Roman"/>
          <w:color w:val="000000"/>
          <w:lang w:val="en-AU" w:eastAsia="en-GB"/>
        </w:rPr>
        <w:t> </w:t>
      </w:r>
    </w:p>
    <w:p w14:paraId="00B4DCB7" w14:textId="77777777" w:rsidR="00D95105" w:rsidRPr="009C520A" w:rsidRDefault="00D95105" w:rsidP="00D95105">
      <w:pPr>
        <w:rPr>
          <w:rFonts w:eastAsia="Times New Roman"/>
          <w:color w:val="000000"/>
          <w:lang w:val="en-AU" w:eastAsia="en-GB"/>
        </w:rPr>
      </w:pPr>
      <w:r w:rsidRPr="009C520A">
        <w:rPr>
          <w:rFonts w:eastAsia="Times New Roman"/>
          <w:color w:val="000000"/>
          <w:lang w:val="en-AU" w:eastAsia="en-GB"/>
        </w:rPr>
        <w:t> </w:t>
      </w:r>
    </w:p>
    <w:p w14:paraId="358401EB" w14:textId="77777777" w:rsidR="00D95105" w:rsidRPr="009C520A" w:rsidRDefault="00D95105" w:rsidP="00D95105">
      <w:pPr>
        <w:rPr>
          <w:rFonts w:eastAsia="Times New Roman"/>
          <w:color w:val="000000"/>
          <w:lang w:val="en-AU" w:eastAsia="en-GB"/>
        </w:rPr>
      </w:pPr>
      <w:r w:rsidRPr="009C520A">
        <w:rPr>
          <w:rFonts w:eastAsia="Times New Roman"/>
          <w:b/>
          <w:bCs/>
          <w:color w:val="000000"/>
          <w:lang w:val="en-AU" w:eastAsia="en-GB"/>
        </w:rPr>
        <w:t>References</w:t>
      </w:r>
    </w:p>
    <w:p w14:paraId="244A5902" w14:textId="77777777" w:rsidR="00D95105" w:rsidRPr="009C520A" w:rsidRDefault="00D95105" w:rsidP="00D95105">
      <w:pPr>
        <w:rPr>
          <w:rFonts w:eastAsia="Times New Roman"/>
          <w:color w:val="000000"/>
          <w:lang w:val="en-AU" w:eastAsia="en-GB"/>
        </w:rPr>
      </w:pPr>
      <w:r w:rsidRPr="009C520A">
        <w:rPr>
          <w:rFonts w:eastAsia="Times New Roman"/>
          <w:color w:val="000000"/>
          <w:lang w:val="en-AU" w:eastAsia="en-GB"/>
        </w:rPr>
        <w:t> </w:t>
      </w:r>
    </w:p>
    <w:p w14:paraId="32D7FC5E" w14:textId="6A31A5FF" w:rsidR="005F4C01" w:rsidRDefault="005F4C01" w:rsidP="005F4C01">
      <w:pPr>
        <w:ind w:left="720" w:hanging="720"/>
      </w:pPr>
      <w:r>
        <w:t xml:space="preserve">Ashby, F. G., Turner, B. O., &amp; Horvitz, J. C. (2010). Cortical and basal ganglia contributions to habit learning and automaticity. </w:t>
      </w:r>
      <w:r>
        <w:rPr>
          <w:i/>
          <w:iCs/>
        </w:rPr>
        <w:t>Trends in Cognitive Sciences</w:t>
      </w:r>
      <w:r>
        <w:t xml:space="preserve">, </w:t>
      </w:r>
      <w:r>
        <w:rPr>
          <w:i/>
          <w:iCs/>
        </w:rPr>
        <w:t>14</w:t>
      </w:r>
      <w:r>
        <w:t xml:space="preserve">(5), 208–215. </w:t>
      </w:r>
      <w:hyperlink r:id="rId4" w:history="1">
        <w:r w:rsidR="007623A7" w:rsidRPr="00455C20">
          <w:rPr>
            <w:rStyle w:val="Hyperlink"/>
          </w:rPr>
          <w:t>https://doi.org/10.1016/j.tics.2010.02.001</w:t>
        </w:r>
      </w:hyperlink>
    </w:p>
    <w:p w14:paraId="7CFE728B" w14:textId="36CE54DA" w:rsidR="007623A7" w:rsidRPr="005F4C01" w:rsidRDefault="007623A7" w:rsidP="007623A7">
      <w:pPr>
        <w:ind w:left="720" w:hanging="720"/>
        <w:rPr>
          <w:rFonts w:eastAsia="Times New Roman"/>
          <w:color w:val="954F72"/>
          <w:u w:val="single"/>
          <w:lang w:val="en-AU" w:eastAsia="en-GB"/>
        </w:rPr>
      </w:pPr>
      <w:proofErr w:type="spellStart"/>
      <w:r>
        <w:t>Averbeck</w:t>
      </w:r>
      <w:proofErr w:type="spellEnd"/>
      <w:r>
        <w:t xml:space="preserve">, B. B., Lehman, J., Jacobson, M., &amp; Haber, S. N. (2014). Estimates of projection overlap and zones of convergence within frontal-striatal circuits. </w:t>
      </w:r>
      <w:r>
        <w:rPr>
          <w:i/>
          <w:iCs/>
        </w:rPr>
        <w:t>Journal of Neuroscience</w:t>
      </w:r>
      <w:r>
        <w:t xml:space="preserve">, </w:t>
      </w:r>
      <w:r>
        <w:rPr>
          <w:i/>
          <w:iCs/>
        </w:rPr>
        <w:t>34</w:t>
      </w:r>
      <w:r>
        <w:t>(29), 9497–9505. https://doi.org/10.1523/JNEUROSCI.5806-12.2014</w:t>
      </w:r>
    </w:p>
    <w:p w14:paraId="277B86A1" w14:textId="33648891" w:rsidR="009C520A" w:rsidRPr="009C520A" w:rsidRDefault="009C520A" w:rsidP="009C520A">
      <w:pPr>
        <w:ind w:left="720" w:hanging="720"/>
        <w:rPr>
          <w:rFonts w:eastAsia="Times New Roman"/>
          <w:lang w:val="en-AU" w:eastAsia="en-GB"/>
        </w:rPr>
      </w:pPr>
      <w:proofErr w:type="spellStart"/>
      <w:r w:rsidRPr="009C520A">
        <w:t>Balleine</w:t>
      </w:r>
      <w:proofErr w:type="spellEnd"/>
      <w:r w:rsidRPr="009C520A">
        <w:t xml:space="preserve">, B. W., &amp; </w:t>
      </w:r>
      <w:proofErr w:type="spellStart"/>
      <w:r w:rsidRPr="009C520A">
        <w:t>O’Doherty</w:t>
      </w:r>
      <w:proofErr w:type="spellEnd"/>
      <w:r w:rsidRPr="009C520A">
        <w:t xml:space="preserve">, J. P. (2010). Human and rodent homologies in action control: </w:t>
      </w:r>
      <w:proofErr w:type="spellStart"/>
      <w:r w:rsidRPr="009C520A">
        <w:t>Corticostriatal</w:t>
      </w:r>
      <w:proofErr w:type="spellEnd"/>
      <w:r w:rsidRPr="009C520A">
        <w:t xml:space="preserve"> determinants of goal-directed and habitual action. </w:t>
      </w:r>
      <w:r w:rsidRPr="009C520A">
        <w:rPr>
          <w:i/>
          <w:iCs/>
        </w:rPr>
        <w:t>Neuropsychopharmacology</w:t>
      </w:r>
      <w:r w:rsidRPr="009C520A">
        <w:t xml:space="preserve">, </w:t>
      </w:r>
      <w:r w:rsidRPr="009C520A">
        <w:rPr>
          <w:i/>
          <w:iCs/>
        </w:rPr>
        <w:t>35</w:t>
      </w:r>
      <w:r w:rsidRPr="009C520A">
        <w:t>(1), 48–69. https://doi.org/10.1038/npp.2009.131</w:t>
      </w:r>
    </w:p>
    <w:p w14:paraId="29CDB06E" w14:textId="130AFC3E" w:rsidR="00D95105" w:rsidRPr="009C520A" w:rsidRDefault="00D95105" w:rsidP="009C520A">
      <w:pPr>
        <w:ind w:left="720" w:hanging="720"/>
        <w:rPr>
          <w:rFonts w:eastAsia="Times New Roman"/>
          <w:color w:val="000000"/>
          <w:lang w:val="en-AU" w:eastAsia="en-GB"/>
        </w:rPr>
      </w:pPr>
      <w:r w:rsidRPr="009C520A">
        <w:rPr>
          <w:rFonts w:eastAsia="Times New Roman"/>
          <w:color w:val="000000"/>
          <w:lang w:val="en-AU" w:eastAsia="en-GB"/>
        </w:rPr>
        <w:t xml:space="preserve">Barber, A.D., Srinivasan, P., Joel, S.E., </w:t>
      </w:r>
      <w:proofErr w:type="spellStart"/>
      <w:r w:rsidRPr="009C520A">
        <w:rPr>
          <w:rFonts w:eastAsia="Times New Roman"/>
          <w:color w:val="000000"/>
          <w:lang w:val="en-AU" w:eastAsia="en-GB"/>
        </w:rPr>
        <w:t>Caffo</w:t>
      </w:r>
      <w:proofErr w:type="spellEnd"/>
      <w:r w:rsidRPr="009C520A">
        <w:rPr>
          <w:rFonts w:eastAsia="Times New Roman"/>
          <w:color w:val="000000"/>
          <w:lang w:val="en-AU" w:eastAsia="en-GB"/>
        </w:rPr>
        <w:t xml:space="preserve">, B.S., </w:t>
      </w:r>
      <w:proofErr w:type="spellStart"/>
      <w:r w:rsidRPr="009C520A">
        <w:rPr>
          <w:rFonts w:eastAsia="Times New Roman"/>
          <w:color w:val="000000"/>
          <w:lang w:val="en-AU" w:eastAsia="en-GB"/>
        </w:rPr>
        <w:t>Pekar</w:t>
      </w:r>
      <w:proofErr w:type="spellEnd"/>
      <w:r w:rsidRPr="009C520A">
        <w:rPr>
          <w:rFonts w:eastAsia="Times New Roman"/>
          <w:color w:val="000000"/>
          <w:lang w:val="en-AU" w:eastAsia="en-GB"/>
        </w:rPr>
        <w:t xml:space="preserve">, J.J., </w:t>
      </w:r>
      <w:proofErr w:type="spellStart"/>
      <w:r w:rsidRPr="009C520A">
        <w:rPr>
          <w:rFonts w:eastAsia="Times New Roman"/>
          <w:color w:val="000000"/>
          <w:lang w:val="en-AU" w:eastAsia="en-GB"/>
        </w:rPr>
        <w:t>Mostofsky</w:t>
      </w:r>
      <w:proofErr w:type="spellEnd"/>
      <w:r w:rsidRPr="009C520A">
        <w:rPr>
          <w:rFonts w:eastAsia="Times New Roman"/>
          <w:color w:val="000000"/>
          <w:lang w:val="en-AU" w:eastAsia="en-GB"/>
        </w:rPr>
        <w:t>, S.H.</w:t>
      </w:r>
      <w:r w:rsidR="00D513D0" w:rsidRPr="009C520A">
        <w:rPr>
          <w:rFonts w:eastAsia="Times New Roman"/>
          <w:color w:val="000000"/>
          <w:lang w:val="en-AU" w:eastAsia="en-GB"/>
        </w:rPr>
        <w:t xml:space="preserve"> (</w:t>
      </w:r>
      <w:r w:rsidRPr="009C520A">
        <w:rPr>
          <w:rFonts w:eastAsia="Times New Roman"/>
          <w:color w:val="000000"/>
          <w:lang w:val="en-AU" w:eastAsia="en-GB"/>
        </w:rPr>
        <w:t>2012</w:t>
      </w:r>
      <w:r w:rsidR="00D513D0" w:rsidRPr="009C520A">
        <w:rPr>
          <w:rFonts w:eastAsia="Times New Roman"/>
          <w:color w:val="000000"/>
          <w:lang w:val="en-AU" w:eastAsia="en-GB"/>
        </w:rPr>
        <w:t>)</w:t>
      </w:r>
      <w:r w:rsidRPr="009C520A">
        <w:rPr>
          <w:rFonts w:eastAsia="Times New Roman"/>
          <w:color w:val="000000"/>
          <w:lang w:val="en-AU" w:eastAsia="en-GB"/>
        </w:rPr>
        <w:t>. Motor “dexterity”?: Evidence that left hemisphere lateralization of motor circuit connectivity is associated with better motor performance in children. Cerebral Cortex 22, 51–59.</w:t>
      </w:r>
    </w:p>
    <w:p w14:paraId="49FDDC62" w14:textId="77777777" w:rsidR="00D95105" w:rsidRPr="009C520A" w:rsidRDefault="00D95105" w:rsidP="00D95105">
      <w:pPr>
        <w:ind w:left="720" w:hanging="720"/>
        <w:rPr>
          <w:rFonts w:eastAsia="Times New Roman"/>
          <w:color w:val="000000"/>
          <w:lang w:val="en-AU" w:eastAsia="en-GB"/>
        </w:rPr>
      </w:pPr>
      <w:proofErr w:type="spellStart"/>
      <w:r w:rsidRPr="009C520A">
        <w:rPr>
          <w:rFonts w:eastAsia="Times New Roman"/>
          <w:color w:val="000000"/>
          <w:lang w:val="en-AU" w:eastAsia="en-GB"/>
        </w:rPr>
        <w:t>Brovelli</w:t>
      </w:r>
      <w:proofErr w:type="spellEnd"/>
      <w:r w:rsidRPr="009C520A">
        <w:rPr>
          <w:rFonts w:eastAsia="Times New Roman"/>
          <w:color w:val="000000"/>
          <w:lang w:val="en-AU" w:eastAsia="en-GB"/>
        </w:rPr>
        <w:t xml:space="preserve">, A., Nazarian, B., Meunier, M., &amp; </w:t>
      </w:r>
      <w:proofErr w:type="spellStart"/>
      <w:r w:rsidRPr="009C520A">
        <w:rPr>
          <w:rFonts w:eastAsia="Times New Roman"/>
          <w:color w:val="000000"/>
          <w:lang w:val="en-AU" w:eastAsia="en-GB"/>
        </w:rPr>
        <w:t>Boussaoud</w:t>
      </w:r>
      <w:proofErr w:type="spellEnd"/>
      <w:r w:rsidRPr="009C520A">
        <w:rPr>
          <w:rFonts w:eastAsia="Times New Roman"/>
          <w:color w:val="000000"/>
          <w:lang w:val="en-AU" w:eastAsia="en-GB"/>
        </w:rPr>
        <w:t xml:space="preserve">, D. (2011). Differential roles of caudate nucleus and putamen during instrumental learning. </w:t>
      </w:r>
      <w:proofErr w:type="spellStart"/>
      <w:r w:rsidRPr="009C520A">
        <w:rPr>
          <w:rFonts w:eastAsia="Times New Roman"/>
          <w:i/>
          <w:iCs/>
          <w:color w:val="000000"/>
          <w:lang w:val="en-AU" w:eastAsia="en-GB"/>
        </w:rPr>
        <w:t>NeuroImage</w:t>
      </w:r>
      <w:proofErr w:type="spellEnd"/>
      <w:r w:rsidRPr="009C520A">
        <w:rPr>
          <w:rFonts w:eastAsia="Times New Roman"/>
          <w:color w:val="000000"/>
          <w:lang w:val="en-AU" w:eastAsia="en-GB"/>
        </w:rPr>
        <w:t xml:space="preserve">, </w:t>
      </w:r>
      <w:r w:rsidRPr="009C520A">
        <w:rPr>
          <w:rFonts w:eastAsia="Times New Roman"/>
          <w:i/>
          <w:iCs/>
          <w:color w:val="000000"/>
          <w:lang w:val="en-AU" w:eastAsia="en-GB"/>
        </w:rPr>
        <w:t>57</w:t>
      </w:r>
      <w:r w:rsidRPr="009C520A">
        <w:rPr>
          <w:rFonts w:eastAsia="Times New Roman"/>
          <w:color w:val="000000"/>
          <w:lang w:val="en-AU" w:eastAsia="en-GB"/>
        </w:rPr>
        <w:t xml:space="preserve">(4), 1580–1590. </w:t>
      </w:r>
      <w:hyperlink r:id="rId5" w:history="1">
        <w:r w:rsidRPr="009C520A">
          <w:rPr>
            <w:rFonts w:eastAsia="Times New Roman"/>
            <w:color w:val="954F72"/>
            <w:u w:val="single"/>
            <w:lang w:val="en-AU" w:eastAsia="en-GB"/>
          </w:rPr>
          <w:t>https://doi.org/10.1016/j.neuroimage.2011.05.059</w:t>
        </w:r>
      </w:hyperlink>
    </w:p>
    <w:p w14:paraId="2220903B" w14:textId="77777777" w:rsidR="00D95105" w:rsidRPr="009C520A" w:rsidRDefault="00D95105" w:rsidP="00D95105">
      <w:pPr>
        <w:ind w:left="720" w:hanging="720"/>
        <w:rPr>
          <w:rFonts w:eastAsia="Times New Roman"/>
          <w:color w:val="000000"/>
          <w:lang w:val="en-AU" w:eastAsia="en-GB"/>
        </w:rPr>
      </w:pPr>
      <w:proofErr w:type="spellStart"/>
      <w:r w:rsidRPr="009C520A">
        <w:rPr>
          <w:rFonts w:eastAsia="Times New Roman"/>
          <w:color w:val="000000"/>
          <w:lang w:val="en-AU" w:eastAsia="en-GB"/>
        </w:rPr>
        <w:t>Floegel</w:t>
      </w:r>
      <w:proofErr w:type="spellEnd"/>
      <w:r w:rsidRPr="009C520A">
        <w:rPr>
          <w:rFonts w:eastAsia="Times New Roman"/>
          <w:color w:val="000000"/>
          <w:lang w:val="en-AU" w:eastAsia="en-GB"/>
        </w:rPr>
        <w:t xml:space="preserve">, M., Kell, C.A., 2017. Functional hemispheric asymmetries during the planning and manual control of virtual avatar movements. </w:t>
      </w:r>
      <w:proofErr w:type="spellStart"/>
      <w:r w:rsidRPr="009C520A">
        <w:rPr>
          <w:rFonts w:eastAsia="Times New Roman"/>
          <w:color w:val="000000"/>
          <w:lang w:val="en-AU" w:eastAsia="en-GB"/>
        </w:rPr>
        <w:t>PLoS</w:t>
      </w:r>
      <w:proofErr w:type="spellEnd"/>
      <w:r w:rsidRPr="009C520A">
        <w:rPr>
          <w:rFonts w:eastAsia="Times New Roman"/>
          <w:color w:val="000000"/>
          <w:lang w:val="en-AU" w:eastAsia="en-GB"/>
        </w:rPr>
        <w:t xml:space="preserve"> One 12 (9), e0185152. </w:t>
      </w:r>
    </w:p>
    <w:p w14:paraId="5DB6A648" w14:textId="1114FA07" w:rsidR="009C520A" w:rsidRDefault="00D95105" w:rsidP="006E071D">
      <w:pPr>
        <w:ind w:left="720" w:hanging="720"/>
        <w:rPr>
          <w:rFonts w:eastAsia="Times New Roman"/>
          <w:color w:val="954F72"/>
          <w:u w:val="single"/>
          <w:lang w:val="en-AU" w:eastAsia="en-GB"/>
        </w:rPr>
      </w:pPr>
      <w:r w:rsidRPr="009C520A">
        <w:rPr>
          <w:rFonts w:eastAsia="Times New Roman"/>
          <w:color w:val="000000"/>
          <w:lang w:val="en-AU" w:eastAsia="en-GB"/>
        </w:rPr>
        <w:t xml:space="preserve">Garner, K. G., &amp; Dux, P. E. (2015). Training conquers multitasking costs by dividing task representations in the </w:t>
      </w:r>
      <w:proofErr w:type="spellStart"/>
      <w:r w:rsidRPr="009C520A">
        <w:rPr>
          <w:rFonts w:eastAsia="Times New Roman"/>
          <w:color w:val="000000"/>
          <w:lang w:val="en-AU" w:eastAsia="en-GB"/>
        </w:rPr>
        <w:t>frontoparietalsubcortical</w:t>
      </w:r>
      <w:proofErr w:type="spellEnd"/>
      <w:r w:rsidRPr="009C520A">
        <w:rPr>
          <w:rFonts w:eastAsia="Times New Roman"/>
          <w:color w:val="000000"/>
          <w:lang w:val="en-AU" w:eastAsia="en-GB"/>
        </w:rPr>
        <w:t xml:space="preserve"> system. </w:t>
      </w:r>
      <w:r w:rsidRPr="009C520A">
        <w:rPr>
          <w:rFonts w:eastAsia="Times New Roman"/>
          <w:i/>
          <w:iCs/>
          <w:color w:val="000000"/>
          <w:lang w:val="en-AU" w:eastAsia="en-GB"/>
        </w:rPr>
        <w:t>Proceedings of the National</w:t>
      </w:r>
      <w:r w:rsidR="006E071D">
        <w:rPr>
          <w:rFonts w:eastAsia="Times New Roman"/>
          <w:i/>
          <w:iCs/>
          <w:color w:val="000000"/>
          <w:lang w:val="en-AU" w:eastAsia="en-GB"/>
        </w:rPr>
        <w:t xml:space="preserve"> </w:t>
      </w:r>
      <w:r w:rsidRPr="009C520A">
        <w:rPr>
          <w:rFonts w:eastAsia="Times New Roman"/>
          <w:i/>
          <w:iCs/>
          <w:color w:val="000000"/>
          <w:lang w:val="en-AU" w:eastAsia="en-GB"/>
        </w:rPr>
        <w:lastRenderedPageBreak/>
        <w:t>Academy of Sciences of the United States of America</w:t>
      </w:r>
      <w:r w:rsidRPr="009C520A">
        <w:rPr>
          <w:rFonts w:eastAsia="Times New Roman"/>
          <w:color w:val="000000"/>
          <w:lang w:val="en-AU" w:eastAsia="en-GB"/>
        </w:rPr>
        <w:t xml:space="preserve">, </w:t>
      </w:r>
      <w:r w:rsidRPr="009C520A">
        <w:rPr>
          <w:rFonts w:eastAsia="Times New Roman"/>
          <w:i/>
          <w:iCs/>
          <w:color w:val="000000"/>
          <w:lang w:val="en-AU" w:eastAsia="en-GB"/>
        </w:rPr>
        <w:t>112</w:t>
      </w:r>
      <w:r w:rsidRPr="009C520A">
        <w:rPr>
          <w:rFonts w:eastAsia="Times New Roman"/>
          <w:color w:val="000000"/>
          <w:lang w:val="en-AU" w:eastAsia="en-GB"/>
        </w:rPr>
        <w:t xml:space="preserve">(46), 14372–14377. </w:t>
      </w:r>
      <w:hyperlink r:id="rId6" w:history="1">
        <w:r w:rsidR="006E071D" w:rsidRPr="00336FCC">
          <w:rPr>
            <w:rStyle w:val="Hyperlink"/>
            <w:rFonts w:eastAsia="Times New Roman"/>
            <w:lang w:val="en-AU" w:eastAsia="en-GB"/>
          </w:rPr>
          <w:t>https://doi.org/10.1073/pnas.1511423112</w:t>
        </w:r>
      </w:hyperlink>
    </w:p>
    <w:p w14:paraId="6773C605" w14:textId="77777777" w:rsidR="006E071D" w:rsidRPr="006E071D" w:rsidRDefault="006E071D" w:rsidP="006E071D">
      <w:pPr>
        <w:ind w:left="720" w:hanging="720"/>
        <w:rPr>
          <w:rFonts w:eastAsia="Times New Roman"/>
          <w:color w:val="954F72"/>
          <w:u w:val="single"/>
          <w:lang w:val="en-AU" w:eastAsia="en-GB"/>
        </w:rPr>
      </w:pPr>
      <w:r>
        <w:t xml:space="preserve">Garner, K. G., Lynch, C. R., &amp; Dux, P. E. (2016). Transfer of training benefits requires rules we cannot see (or hear). </w:t>
      </w:r>
      <w:r>
        <w:rPr>
          <w:i/>
          <w:iCs/>
        </w:rPr>
        <w:t>Journal of Experimental Psychology: Human Perception and Performance</w:t>
      </w:r>
      <w:r>
        <w:t>. https://doi.org/10.1037/xhp0000215</w:t>
      </w:r>
    </w:p>
    <w:p w14:paraId="6CC89E74" w14:textId="2A3F2F09" w:rsidR="006E071D" w:rsidRPr="006E071D" w:rsidRDefault="006E071D" w:rsidP="006E071D">
      <w:pPr>
        <w:ind w:left="720" w:hanging="720"/>
      </w:pPr>
      <w:r>
        <w:t xml:space="preserve">Garner, K. G., </w:t>
      </w:r>
      <w:proofErr w:type="spellStart"/>
      <w:r>
        <w:t>Tombu</w:t>
      </w:r>
      <w:proofErr w:type="spellEnd"/>
      <w:r>
        <w:t xml:space="preserve">, M. N., &amp; Dux, P. E. (2014). The influence of training on the attentional blink and psychological refractory period. </w:t>
      </w:r>
      <w:r>
        <w:rPr>
          <w:i/>
          <w:iCs/>
        </w:rPr>
        <w:t>Attention, Perception, and Psychophysics</w:t>
      </w:r>
      <w:r>
        <w:t xml:space="preserve">. </w:t>
      </w:r>
      <w:hyperlink r:id="rId7" w:history="1">
        <w:r w:rsidRPr="00336FCC">
          <w:rPr>
            <w:rStyle w:val="Hyperlink"/>
          </w:rPr>
          <w:t>https://doi.org/10.3758/s13414-014-0638-y</w:t>
        </w:r>
      </w:hyperlink>
    </w:p>
    <w:p w14:paraId="4576443D" w14:textId="77777777" w:rsidR="009C520A" w:rsidRDefault="00D95105" w:rsidP="009C520A">
      <w:pPr>
        <w:ind w:left="720" w:hanging="720"/>
        <w:rPr>
          <w:rFonts w:eastAsia="Times New Roman"/>
          <w:color w:val="000000"/>
          <w:lang w:val="en-AU" w:eastAsia="en-GB"/>
        </w:rPr>
      </w:pPr>
      <w:r w:rsidRPr="009C520A">
        <w:rPr>
          <w:lang w:val="en-AU" w:eastAsia="en-GB"/>
        </w:rPr>
        <w:t xml:space="preserve">Gonzalez, C. L. R., van </w:t>
      </w:r>
      <w:proofErr w:type="spellStart"/>
      <w:r w:rsidRPr="009C520A">
        <w:rPr>
          <w:lang w:val="en-AU" w:eastAsia="en-GB"/>
        </w:rPr>
        <w:t>Rootselaar</w:t>
      </w:r>
      <w:proofErr w:type="spellEnd"/>
      <w:r w:rsidRPr="009C520A">
        <w:rPr>
          <w:lang w:val="en-AU" w:eastAsia="en-GB"/>
        </w:rPr>
        <w:t xml:space="preserve">, N. A., &amp; Gibb, R. L. (2018). Sensorimotor lateralization scaffolds cognitive specialization. In </w:t>
      </w:r>
      <w:r w:rsidRPr="009C520A">
        <w:rPr>
          <w:i/>
          <w:iCs/>
          <w:lang w:val="en-AU" w:eastAsia="en-GB"/>
        </w:rPr>
        <w:t>Progress in Brain Research</w:t>
      </w:r>
      <w:r w:rsidRPr="009C520A">
        <w:rPr>
          <w:lang w:val="en-AU" w:eastAsia="en-GB"/>
        </w:rPr>
        <w:t xml:space="preserve"> (1st ed., Vol. 238). Elsevier B.V. </w:t>
      </w:r>
      <w:hyperlink r:id="rId8" w:history="1">
        <w:r w:rsidRPr="009C520A">
          <w:rPr>
            <w:color w:val="954F72"/>
            <w:u w:val="single"/>
            <w:lang w:val="en-AU" w:eastAsia="en-GB"/>
          </w:rPr>
          <w:t>https://doi.org/10.1016/bs.pbr.2018.06.011</w:t>
        </w:r>
      </w:hyperlink>
    </w:p>
    <w:p w14:paraId="6C32E186" w14:textId="1DD8A133" w:rsidR="009C520A" w:rsidRDefault="009C520A" w:rsidP="009C520A">
      <w:pPr>
        <w:ind w:left="720" w:hanging="720"/>
        <w:rPr>
          <w:rFonts w:eastAsia="Times New Roman"/>
          <w:color w:val="000000"/>
          <w:lang w:val="en-AU" w:eastAsia="en-GB"/>
        </w:rPr>
      </w:pPr>
      <w:proofErr w:type="spellStart"/>
      <w:r w:rsidRPr="009C520A">
        <w:t>Haruno</w:t>
      </w:r>
      <w:proofErr w:type="spellEnd"/>
      <w:r w:rsidRPr="009C520A">
        <w:t xml:space="preserve">, M., &amp; </w:t>
      </w:r>
      <w:proofErr w:type="spellStart"/>
      <w:r w:rsidRPr="009C520A">
        <w:t>Kawato</w:t>
      </w:r>
      <w:proofErr w:type="spellEnd"/>
      <w:r w:rsidRPr="009C520A">
        <w:t xml:space="preserve">, M. (2006). Different neural correlates of reward expectation and reward expectation error in the putamen and caudate nucleus during stimulus-action-reward association learning. </w:t>
      </w:r>
      <w:r w:rsidRPr="009C520A">
        <w:rPr>
          <w:i/>
          <w:iCs/>
        </w:rPr>
        <w:t>Journal of Neurophysiology</w:t>
      </w:r>
      <w:r w:rsidRPr="009C520A">
        <w:t xml:space="preserve">, </w:t>
      </w:r>
      <w:r w:rsidRPr="009C520A">
        <w:rPr>
          <w:i/>
          <w:iCs/>
        </w:rPr>
        <w:t>95</w:t>
      </w:r>
      <w:r w:rsidRPr="009C520A">
        <w:t xml:space="preserve">(2), 948–959. </w:t>
      </w:r>
      <w:hyperlink r:id="rId9" w:history="1">
        <w:r w:rsidRPr="00455C20">
          <w:rPr>
            <w:rStyle w:val="Hyperlink"/>
          </w:rPr>
          <w:t>https://doi.org/10.1152/jn.00382.2005</w:t>
        </w:r>
      </w:hyperlink>
    </w:p>
    <w:p w14:paraId="6E8C590B" w14:textId="1A00D22B" w:rsidR="009C520A" w:rsidRDefault="009C520A" w:rsidP="009C520A">
      <w:pPr>
        <w:ind w:left="720" w:hanging="720"/>
        <w:rPr>
          <w:rFonts w:eastAsia="Times New Roman"/>
          <w:color w:val="000000"/>
          <w:lang w:val="en-AU" w:eastAsia="en-GB"/>
        </w:rPr>
      </w:pPr>
      <w:proofErr w:type="spellStart"/>
      <w:r w:rsidRPr="009C520A">
        <w:t>Hikosaka</w:t>
      </w:r>
      <w:proofErr w:type="spellEnd"/>
      <w:r w:rsidRPr="009C520A">
        <w:t xml:space="preserve">, O., Sakai, K., Lu, X., Nakahara, H., Rand, M. K., Nakamura, K., Miyachi, S., &amp; </w:t>
      </w:r>
      <w:proofErr w:type="spellStart"/>
      <w:r w:rsidRPr="009C520A">
        <w:t>Doya</w:t>
      </w:r>
      <w:proofErr w:type="spellEnd"/>
      <w:r w:rsidRPr="009C520A">
        <w:t xml:space="preserve">, K. (1999). Parallel neural networks for learning sequential procedures. </w:t>
      </w:r>
      <w:r w:rsidRPr="009C520A">
        <w:rPr>
          <w:i/>
          <w:iCs/>
        </w:rPr>
        <w:t>Trends in Neurosciences</w:t>
      </w:r>
      <w:r w:rsidRPr="009C520A">
        <w:t xml:space="preserve">, </w:t>
      </w:r>
      <w:r w:rsidRPr="009C520A">
        <w:rPr>
          <w:i/>
          <w:iCs/>
        </w:rPr>
        <w:t>22</w:t>
      </w:r>
      <w:r w:rsidRPr="009C520A">
        <w:t xml:space="preserve">(10), 464–471. </w:t>
      </w:r>
      <w:hyperlink r:id="rId10" w:history="1">
        <w:r w:rsidRPr="00455C20">
          <w:rPr>
            <w:rStyle w:val="Hyperlink"/>
          </w:rPr>
          <w:t>https://doi.org/10.1016/S0166-2236(99)01439-3</w:t>
        </w:r>
      </w:hyperlink>
    </w:p>
    <w:p w14:paraId="23ACD885" w14:textId="769934D2" w:rsidR="00134EAB" w:rsidRPr="009C520A" w:rsidRDefault="00134EAB" w:rsidP="009C520A">
      <w:pPr>
        <w:ind w:left="720" w:hanging="720"/>
        <w:rPr>
          <w:rFonts w:eastAsia="Times New Roman"/>
          <w:color w:val="000000"/>
          <w:lang w:val="en-AU" w:eastAsia="en-GB"/>
        </w:rPr>
      </w:pPr>
      <w:proofErr w:type="spellStart"/>
      <w:r w:rsidRPr="009C520A">
        <w:t>Jarbo</w:t>
      </w:r>
      <w:proofErr w:type="spellEnd"/>
      <w:r w:rsidRPr="009C520A">
        <w:t xml:space="preserve">, K., &amp; </w:t>
      </w:r>
      <w:proofErr w:type="spellStart"/>
      <w:r w:rsidRPr="009C520A">
        <w:t>Verstynen</w:t>
      </w:r>
      <w:proofErr w:type="spellEnd"/>
      <w:r w:rsidRPr="009C520A">
        <w:t xml:space="preserve">, T. D. (2015). Converging structural and functional connectivity of orbitofrontal, dorsolateral prefrontal, and posterior parietal cortex in the human striatum. </w:t>
      </w:r>
      <w:r w:rsidRPr="009C520A">
        <w:rPr>
          <w:i/>
          <w:iCs/>
        </w:rPr>
        <w:t>Journal of Neuroscience</w:t>
      </w:r>
      <w:r w:rsidRPr="009C520A">
        <w:t xml:space="preserve">, </w:t>
      </w:r>
      <w:r w:rsidRPr="009C520A">
        <w:rPr>
          <w:i/>
          <w:iCs/>
        </w:rPr>
        <w:t>35</w:t>
      </w:r>
      <w:r w:rsidRPr="009C520A">
        <w:t xml:space="preserve">(9), 3865–3878. </w:t>
      </w:r>
      <w:hyperlink r:id="rId11" w:history="1">
        <w:r w:rsidRPr="009C520A">
          <w:rPr>
            <w:rStyle w:val="Hyperlink"/>
          </w:rPr>
          <w:t>https://doi.org/10.1523/JNEUROSCI.2636-14.2015</w:t>
        </w:r>
      </w:hyperlink>
    </w:p>
    <w:p w14:paraId="42A95F07" w14:textId="6A7B9CC6" w:rsidR="00D24FF6" w:rsidRDefault="00D95105" w:rsidP="00D24FF6">
      <w:pPr>
        <w:ind w:left="720" w:hanging="720"/>
        <w:rPr>
          <w:rFonts w:eastAsia="Times New Roman"/>
          <w:color w:val="954F72"/>
          <w:u w:val="single"/>
          <w:lang w:val="en-AU" w:eastAsia="en-GB"/>
        </w:rPr>
      </w:pPr>
      <w:r w:rsidRPr="009C520A">
        <w:rPr>
          <w:rFonts w:eastAsia="Times New Roman"/>
          <w:color w:val="000000"/>
          <w:lang w:val="en-AU" w:eastAsia="en-GB"/>
        </w:rPr>
        <w:t xml:space="preserve">Prado, J., Carp, J., &amp; Weissman, D. H. (2011). Variations of response time in a selective attention task are linked to variations of functional connectivity in the attentional network. </w:t>
      </w:r>
      <w:proofErr w:type="spellStart"/>
      <w:r w:rsidRPr="009C520A">
        <w:rPr>
          <w:rFonts w:eastAsia="Times New Roman"/>
          <w:i/>
          <w:iCs/>
          <w:color w:val="000000"/>
          <w:lang w:val="en-AU" w:eastAsia="en-GB"/>
        </w:rPr>
        <w:t>NeuroImage</w:t>
      </w:r>
      <w:proofErr w:type="spellEnd"/>
      <w:r w:rsidRPr="009C520A">
        <w:rPr>
          <w:rFonts w:eastAsia="Times New Roman"/>
          <w:color w:val="000000"/>
          <w:lang w:val="en-AU" w:eastAsia="en-GB"/>
        </w:rPr>
        <w:t xml:space="preserve">, </w:t>
      </w:r>
      <w:r w:rsidRPr="009C520A">
        <w:rPr>
          <w:rFonts w:eastAsia="Times New Roman"/>
          <w:i/>
          <w:iCs/>
          <w:color w:val="000000"/>
          <w:lang w:val="en-AU" w:eastAsia="en-GB"/>
        </w:rPr>
        <w:t>54</w:t>
      </w:r>
      <w:r w:rsidRPr="009C520A">
        <w:rPr>
          <w:rFonts w:eastAsia="Times New Roman"/>
          <w:color w:val="000000"/>
          <w:lang w:val="en-AU" w:eastAsia="en-GB"/>
        </w:rPr>
        <w:t xml:space="preserve">(1), 541–549. </w:t>
      </w:r>
      <w:hyperlink r:id="rId12" w:history="1">
        <w:r w:rsidRPr="009C520A">
          <w:rPr>
            <w:rFonts w:eastAsia="Times New Roman"/>
            <w:color w:val="954F72"/>
            <w:u w:val="single"/>
            <w:lang w:val="en-AU" w:eastAsia="en-GB"/>
          </w:rPr>
          <w:t>https://doi.org/10.1016/j.neuroimage.2010.08.022</w:t>
        </w:r>
      </w:hyperlink>
    </w:p>
    <w:p w14:paraId="233A5AC2" w14:textId="4AA07B5C" w:rsidR="007623A7" w:rsidRDefault="007623A7" w:rsidP="007623A7">
      <w:pPr>
        <w:ind w:left="720" w:hanging="720"/>
        <w:rPr>
          <w:rFonts w:eastAsia="Times New Roman"/>
          <w:color w:val="954F72"/>
          <w:u w:val="single"/>
          <w:lang w:val="en-AU" w:eastAsia="en-GB"/>
        </w:rPr>
      </w:pPr>
      <w:proofErr w:type="spellStart"/>
      <w:r>
        <w:t>Selemon</w:t>
      </w:r>
      <w:proofErr w:type="spellEnd"/>
      <w:r>
        <w:t>, L., &amp; Goldman-</w:t>
      </w:r>
      <w:proofErr w:type="spellStart"/>
      <w:r>
        <w:t>Rakic</w:t>
      </w:r>
      <w:proofErr w:type="spellEnd"/>
      <w:r>
        <w:t xml:space="preserve">, P. (1985). Longitudinal Topography and interdigitation Projections in the Rhesus Monkey. </w:t>
      </w:r>
      <w:r>
        <w:rPr>
          <w:i/>
          <w:iCs/>
        </w:rPr>
        <w:t>The Journal of Neuroscience</w:t>
      </w:r>
      <w:r>
        <w:t xml:space="preserve">, </w:t>
      </w:r>
      <w:r>
        <w:rPr>
          <w:i/>
          <w:iCs/>
        </w:rPr>
        <w:t>5</w:t>
      </w:r>
      <w:r>
        <w:t>(3), 776–794. http://www.jneurosci.org/content/jneuro/5/3/776.full.pdf</w:t>
      </w:r>
    </w:p>
    <w:p w14:paraId="607C3D3D" w14:textId="39671550" w:rsidR="00D24FF6" w:rsidRPr="00D24FF6" w:rsidRDefault="00D24FF6" w:rsidP="00D24FF6">
      <w:pPr>
        <w:ind w:left="720" w:hanging="720"/>
        <w:rPr>
          <w:rFonts w:eastAsia="Times New Roman"/>
          <w:color w:val="954F72"/>
          <w:u w:val="single"/>
          <w:lang w:val="en-AU" w:eastAsia="en-GB"/>
        </w:rPr>
      </w:pPr>
      <w:r>
        <w:t xml:space="preserve">Wang, L., Liu, X., Guise, K. G., Knight, R. T., </w:t>
      </w:r>
      <w:proofErr w:type="spellStart"/>
      <w:r>
        <w:t>Ghajar</w:t>
      </w:r>
      <w:proofErr w:type="spellEnd"/>
      <w:r>
        <w:t xml:space="preserve">, J., &amp; Fan, J. (2010). Effective connectivity of the </w:t>
      </w:r>
      <w:proofErr w:type="spellStart"/>
      <w:r>
        <w:t>fronto</w:t>
      </w:r>
      <w:proofErr w:type="spellEnd"/>
      <w:r>
        <w:t xml:space="preserve">-parietal network during attentional control. </w:t>
      </w:r>
      <w:r>
        <w:rPr>
          <w:i/>
          <w:iCs/>
        </w:rPr>
        <w:t>Journal of Cognitive Neuroscience</w:t>
      </w:r>
      <w:r>
        <w:t xml:space="preserve">, </w:t>
      </w:r>
      <w:r>
        <w:rPr>
          <w:i/>
          <w:iCs/>
        </w:rPr>
        <w:t>22</w:t>
      </w:r>
      <w:r>
        <w:t>(3), 543–553. https://doi.org/10.1162/jocn.2009.21210</w:t>
      </w:r>
    </w:p>
    <w:p w14:paraId="2B8CF832" w14:textId="77777777" w:rsidR="00D95105" w:rsidRPr="009C520A" w:rsidRDefault="00D95105" w:rsidP="00D95105">
      <w:pPr>
        <w:ind w:left="720" w:hanging="720"/>
        <w:rPr>
          <w:rFonts w:eastAsia="Times New Roman"/>
          <w:color w:val="000000"/>
          <w:lang w:val="en-AU" w:eastAsia="en-GB"/>
        </w:rPr>
      </w:pPr>
      <w:r w:rsidRPr="009C520A">
        <w:rPr>
          <w:rFonts w:eastAsia="Times New Roman"/>
          <w:color w:val="000000"/>
          <w:lang w:val="en-AU" w:eastAsia="en-GB"/>
        </w:rPr>
        <w:t xml:space="preserve">Weissman, D. H., Roberts, K. C., Visscher, K. M., &amp; </w:t>
      </w:r>
      <w:proofErr w:type="spellStart"/>
      <w:r w:rsidRPr="009C520A">
        <w:rPr>
          <w:rFonts w:eastAsia="Times New Roman"/>
          <w:color w:val="000000"/>
          <w:lang w:val="en-AU" w:eastAsia="en-GB"/>
        </w:rPr>
        <w:t>Woldorff</w:t>
      </w:r>
      <w:proofErr w:type="spellEnd"/>
      <w:r w:rsidRPr="009C520A">
        <w:rPr>
          <w:rFonts w:eastAsia="Times New Roman"/>
          <w:color w:val="000000"/>
          <w:lang w:val="en-AU" w:eastAsia="en-GB"/>
        </w:rPr>
        <w:t xml:space="preserve">, M. G. (2006). The neural bases of momentary lapses in attention. </w:t>
      </w:r>
      <w:r w:rsidRPr="009C520A">
        <w:rPr>
          <w:rFonts w:eastAsia="Times New Roman"/>
          <w:i/>
          <w:iCs/>
          <w:color w:val="000000"/>
          <w:lang w:val="en-AU" w:eastAsia="en-GB"/>
        </w:rPr>
        <w:t>Nature Neuroscience</w:t>
      </w:r>
      <w:r w:rsidRPr="009C520A">
        <w:rPr>
          <w:rFonts w:eastAsia="Times New Roman"/>
          <w:color w:val="000000"/>
          <w:lang w:val="en-AU" w:eastAsia="en-GB"/>
        </w:rPr>
        <w:t xml:space="preserve">, </w:t>
      </w:r>
      <w:r w:rsidRPr="009C520A">
        <w:rPr>
          <w:rFonts w:eastAsia="Times New Roman"/>
          <w:i/>
          <w:iCs/>
          <w:color w:val="000000"/>
          <w:lang w:val="en-AU" w:eastAsia="en-GB"/>
        </w:rPr>
        <w:t>9</w:t>
      </w:r>
      <w:r w:rsidRPr="009C520A">
        <w:rPr>
          <w:rFonts w:eastAsia="Times New Roman"/>
          <w:color w:val="000000"/>
          <w:lang w:val="en-AU" w:eastAsia="en-GB"/>
        </w:rPr>
        <w:t xml:space="preserve">(7), 971–978. </w:t>
      </w:r>
      <w:hyperlink r:id="rId13" w:history="1">
        <w:r w:rsidRPr="009C520A">
          <w:rPr>
            <w:rFonts w:eastAsia="Times New Roman"/>
            <w:color w:val="954F72"/>
            <w:u w:val="single"/>
            <w:lang w:val="en-AU" w:eastAsia="en-GB"/>
          </w:rPr>
          <w:t>https://doi.org/10.1038/nn1727</w:t>
        </w:r>
      </w:hyperlink>
    </w:p>
    <w:p w14:paraId="6926E6BE" w14:textId="77777777" w:rsidR="006E071D" w:rsidRDefault="00D95105" w:rsidP="006E071D">
      <w:pPr>
        <w:ind w:left="720" w:hanging="720"/>
        <w:rPr>
          <w:rFonts w:eastAsia="Times New Roman"/>
          <w:color w:val="954F72"/>
          <w:u w:val="single"/>
          <w:lang w:val="en-AU" w:eastAsia="en-GB"/>
        </w:rPr>
      </w:pPr>
      <w:r w:rsidRPr="009C520A">
        <w:rPr>
          <w:rFonts w:eastAsia="Times New Roman"/>
          <w:color w:val="000000"/>
          <w:lang w:val="en-AU" w:eastAsia="en-GB"/>
        </w:rPr>
        <w:t xml:space="preserve">Yin, H. H., &amp; Knowlton, B. J. (2006). The role of the basal ganglia in habit formation. In </w:t>
      </w:r>
      <w:r w:rsidRPr="009C520A">
        <w:rPr>
          <w:rFonts w:eastAsia="Times New Roman"/>
          <w:i/>
          <w:iCs/>
          <w:color w:val="000000"/>
          <w:lang w:val="en-AU" w:eastAsia="en-GB"/>
        </w:rPr>
        <w:t>Nature Reviews Neuroscience</w:t>
      </w:r>
      <w:r w:rsidRPr="009C520A">
        <w:rPr>
          <w:rFonts w:eastAsia="Times New Roman"/>
          <w:color w:val="000000"/>
          <w:lang w:val="en-AU" w:eastAsia="en-GB"/>
        </w:rPr>
        <w:t xml:space="preserve">(Vol. 7, Issue 6, pp. 464–476). </w:t>
      </w:r>
      <w:hyperlink r:id="rId14" w:history="1">
        <w:r w:rsidRPr="009C520A">
          <w:rPr>
            <w:rFonts w:eastAsia="Times New Roman"/>
            <w:color w:val="954F72"/>
            <w:u w:val="single"/>
            <w:lang w:val="en-AU" w:eastAsia="en-GB"/>
          </w:rPr>
          <w:t>https://doi.org/10.1038/nrn1919</w:t>
        </w:r>
      </w:hyperlink>
    </w:p>
    <w:p w14:paraId="7FA2F5A8" w14:textId="77777777" w:rsidR="006B622E" w:rsidRPr="007623A7" w:rsidRDefault="006B622E" w:rsidP="007623A7">
      <w:pPr>
        <w:ind w:left="720" w:hanging="720"/>
        <w:rPr>
          <w:rFonts w:eastAsia="Times New Roman"/>
          <w:color w:val="954F72"/>
          <w:u w:val="single"/>
          <w:lang w:val="en-AU" w:eastAsia="en-GB"/>
        </w:rPr>
      </w:pPr>
    </w:p>
    <w:sectPr w:rsidR="006B622E" w:rsidRPr="007623A7" w:rsidSect="003F31F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105"/>
    <w:rsid w:val="00016D6F"/>
    <w:rsid w:val="00052C23"/>
    <w:rsid w:val="000A355B"/>
    <w:rsid w:val="000C29CE"/>
    <w:rsid w:val="000F714D"/>
    <w:rsid w:val="00104832"/>
    <w:rsid w:val="001118FE"/>
    <w:rsid w:val="00134EAB"/>
    <w:rsid w:val="00140B7D"/>
    <w:rsid w:val="00147797"/>
    <w:rsid w:val="00163764"/>
    <w:rsid w:val="00172DCC"/>
    <w:rsid w:val="001B4877"/>
    <w:rsid w:val="001C4D1E"/>
    <w:rsid w:val="00203706"/>
    <w:rsid w:val="0027384A"/>
    <w:rsid w:val="00281683"/>
    <w:rsid w:val="002846EF"/>
    <w:rsid w:val="00285525"/>
    <w:rsid w:val="00297C6C"/>
    <w:rsid w:val="002B7E0F"/>
    <w:rsid w:val="002E6F10"/>
    <w:rsid w:val="002F4745"/>
    <w:rsid w:val="002F7697"/>
    <w:rsid w:val="00341A78"/>
    <w:rsid w:val="003432B9"/>
    <w:rsid w:val="00353734"/>
    <w:rsid w:val="00371999"/>
    <w:rsid w:val="00375167"/>
    <w:rsid w:val="00375437"/>
    <w:rsid w:val="0039272F"/>
    <w:rsid w:val="0039352D"/>
    <w:rsid w:val="003A287B"/>
    <w:rsid w:val="003A52CD"/>
    <w:rsid w:val="003B6028"/>
    <w:rsid w:val="003C67D9"/>
    <w:rsid w:val="003F31F5"/>
    <w:rsid w:val="004273EA"/>
    <w:rsid w:val="00437F08"/>
    <w:rsid w:val="00451486"/>
    <w:rsid w:val="00456E18"/>
    <w:rsid w:val="00487057"/>
    <w:rsid w:val="004D4C1B"/>
    <w:rsid w:val="004F31B5"/>
    <w:rsid w:val="004F5EB0"/>
    <w:rsid w:val="0051062F"/>
    <w:rsid w:val="0053574E"/>
    <w:rsid w:val="00546CBB"/>
    <w:rsid w:val="00583F04"/>
    <w:rsid w:val="00592AD0"/>
    <w:rsid w:val="005F4C01"/>
    <w:rsid w:val="0061033E"/>
    <w:rsid w:val="00612B40"/>
    <w:rsid w:val="00631A4B"/>
    <w:rsid w:val="0066618C"/>
    <w:rsid w:val="00667EBB"/>
    <w:rsid w:val="00673582"/>
    <w:rsid w:val="006876A9"/>
    <w:rsid w:val="006A48F6"/>
    <w:rsid w:val="006A7655"/>
    <w:rsid w:val="006B1701"/>
    <w:rsid w:val="006B622E"/>
    <w:rsid w:val="006E071D"/>
    <w:rsid w:val="006F16B0"/>
    <w:rsid w:val="007421D8"/>
    <w:rsid w:val="007623A7"/>
    <w:rsid w:val="0079654E"/>
    <w:rsid w:val="007E4F4F"/>
    <w:rsid w:val="00813511"/>
    <w:rsid w:val="008378E4"/>
    <w:rsid w:val="008479E1"/>
    <w:rsid w:val="008545AC"/>
    <w:rsid w:val="008A4D89"/>
    <w:rsid w:val="008C74C1"/>
    <w:rsid w:val="008D2FB4"/>
    <w:rsid w:val="008E0149"/>
    <w:rsid w:val="00907A19"/>
    <w:rsid w:val="00912D32"/>
    <w:rsid w:val="00927485"/>
    <w:rsid w:val="00932C1C"/>
    <w:rsid w:val="00953BB8"/>
    <w:rsid w:val="009C520A"/>
    <w:rsid w:val="009D2833"/>
    <w:rsid w:val="00A020AE"/>
    <w:rsid w:val="00A05CA2"/>
    <w:rsid w:val="00A224D9"/>
    <w:rsid w:val="00A33004"/>
    <w:rsid w:val="00A40AB9"/>
    <w:rsid w:val="00A4323A"/>
    <w:rsid w:val="00A56C6B"/>
    <w:rsid w:val="00A573FB"/>
    <w:rsid w:val="00A62BBE"/>
    <w:rsid w:val="00B50818"/>
    <w:rsid w:val="00B52EA6"/>
    <w:rsid w:val="00B67EDA"/>
    <w:rsid w:val="00BE1060"/>
    <w:rsid w:val="00C508B0"/>
    <w:rsid w:val="00C5132B"/>
    <w:rsid w:val="00C538FA"/>
    <w:rsid w:val="00C5678E"/>
    <w:rsid w:val="00C63D02"/>
    <w:rsid w:val="00C837DC"/>
    <w:rsid w:val="00C973DC"/>
    <w:rsid w:val="00CA37C9"/>
    <w:rsid w:val="00CB106B"/>
    <w:rsid w:val="00CF2A71"/>
    <w:rsid w:val="00D07549"/>
    <w:rsid w:val="00D24FF6"/>
    <w:rsid w:val="00D4010A"/>
    <w:rsid w:val="00D503EE"/>
    <w:rsid w:val="00D513D0"/>
    <w:rsid w:val="00D612FB"/>
    <w:rsid w:val="00D77A04"/>
    <w:rsid w:val="00D95105"/>
    <w:rsid w:val="00DA1DB7"/>
    <w:rsid w:val="00DC24D2"/>
    <w:rsid w:val="00DC42F2"/>
    <w:rsid w:val="00DC5E78"/>
    <w:rsid w:val="00DE5A2C"/>
    <w:rsid w:val="00E05203"/>
    <w:rsid w:val="00E07606"/>
    <w:rsid w:val="00E14D64"/>
    <w:rsid w:val="00E360A7"/>
    <w:rsid w:val="00E41E70"/>
    <w:rsid w:val="00E640FA"/>
    <w:rsid w:val="00E959FF"/>
    <w:rsid w:val="00F16318"/>
    <w:rsid w:val="00F54EEB"/>
    <w:rsid w:val="00F65D6C"/>
    <w:rsid w:val="00F803BC"/>
    <w:rsid w:val="00FA0BA9"/>
    <w:rsid w:val="00FB74F5"/>
    <w:rsid w:val="00FC5D6F"/>
    <w:rsid w:val="00FF1E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74D443"/>
  <w14:defaultImageDpi w14:val="32767"/>
  <w15:chartTrackingRefBased/>
  <w15:docId w15:val="{97F34309-A23A-C040-8FF9-923B5D844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5105"/>
    <w:pPr>
      <w:spacing w:before="100" w:beforeAutospacing="1" w:after="100" w:afterAutospacing="1"/>
    </w:pPr>
    <w:rPr>
      <w:rFonts w:eastAsia="Times New Roman"/>
      <w:lang w:val="en-AU" w:eastAsia="en-GB"/>
    </w:rPr>
  </w:style>
  <w:style w:type="character" w:styleId="Hyperlink">
    <w:name w:val="Hyperlink"/>
    <w:basedOn w:val="DefaultParagraphFont"/>
    <w:uiPriority w:val="99"/>
    <w:unhideWhenUsed/>
    <w:rsid w:val="00D95105"/>
    <w:rPr>
      <w:color w:val="0000FF"/>
      <w:u w:val="single"/>
    </w:rPr>
  </w:style>
  <w:style w:type="paragraph" w:styleId="BalloonText">
    <w:name w:val="Balloon Text"/>
    <w:basedOn w:val="Normal"/>
    <w:link w:val="BalloonTextChar"/>
    <w:uiPriority w:val="99"/>
    <w:semiHidden/>
    <w:unhideWhenUsed/>
    <w:rsid w:val="00C5132B"/>
    <w:rPr>
      <w:sz w:val="18"/>
      <w:szCs w:val="18"/>
    </w:rPr>
  </w:style>
  <w:style w:type="character" w:customStyle="1" w:styleId="BalloonTextChar">
    <w:name w:val="Balloon Text Char"/>
    <w:basedOn w:val="DefaultParagraphFont"/>
    <w:link w:val="BalloonText"/>
    <w:uiPriority w:val="99"/>
    <w:semiHidden/>
    <w:rsid w:val="00C5132B"/>
    <w:rPr>
      <w:sz w:val="18"/>
      <w:szCs w:val="18"/>
    </w:rPr>
  </w:style>
  <w:style w:type="character" w:styleId="UnresolvedMention">
    <w:name w:val="Unresolved Mention"/>
    <w:basedOn w:val="DefaultParagraphFont"/>
    <w:uiPriority w:val="99"/>
    <w:rsid w:val="00134E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559827">
      <w:bodyDiv w:val="1"/>
      <w:marLeft w:val="0"/>
      <w:marRight w:val="0"/>
      <w:marTop w:val="0"/>
      <w:marBottom w:val="0"/>
      <w:divBdr>
        <w:top w:val="none" w:sz="0" w:space="0" w:color="auto"/>
        <w:left w:val="none" w:sz="0" w:space="0" w:color="auto"/>
        <w:bottom w:val="none" w:sz="0" w:space="0" w:color="auto"/>
        <w:right w:val="none" w:sz="0" w:space="0" w:color="auto"/>
      </w:divBdr>
    </w:div>
    <w:div w:id="100614113">
      <w:bodyDiv w:val="1"/>
      <w:marLeft w:val="0"/>
      <w:marRight w:val="0"/>
      <w:marTop w:val="0"/>
      <w:marBottom w:val="0"/>
      <w:divBdr>
        <w:top w:val="none" w:sz="0" w:space="0" w:color="auto"/>
        <w:left w:val="none" w:sz="0" w:space="0" w:color="auto"/>
        <w:bottom w:val="none" w:sz="0" w:space="0" w:color="auto"/>
        <w:right w:val="none" w:sz="0" w:space="0" w:color="auto"/>
      </w:divBdr>
    </w:div>
    <w:div w:id="112753293">
      <w:bodyDiv w:val="1"/>
      <w:marLeft w:val="0"/>
      <w:marRight w:val="0"/>
      <w:marTop w:val="0"/>
      <w:marBottom w:val="0"/>
      <w:divBdr>
        <w:top w:val="none" w:sz="0" w:space="0" w:color="auto"/>
        <w:left w:val="none" w:sz="0" w:space="0" w:color="auto"/>
        <w:bottom w:val="none" w:sz="0" w:space="0" w:color="auto"/>
        <w:right w:val="none" w:sz="0" w:space="0" w:color="auto"/>
      </w:divBdr>
    </w:div>
    <w:div w:id="293407596">
      <w:bodyDiv w:val="1"/>
      <w:marLeft w:val="0"/>
      <w:marRight w:val="0"/>
      <w:marTop w:val="0"/>
      <w:marBottom w:val="0"/>
      <w:divBdr>
        <w:top w:val="none" w:sz="0" w:space="0" w:color="auto"/>
        <w:left w:val="none" w:sz="0" w:space="0" w:color="auto"/>
        <w:bottom w:val="none" w:sz="0" w:space="0" w:color="auto"/>
        <w:right w:val="none" w:sz="0" w:space="0" w:color="auto"/>
      </w:divBdr>
    </w:div>
    <w:div w:id="391273000">
      <w:bodyDiv w:val="1"/>
      <w:marLeft w:val="0"/>
      <w:marRight w:val="0"/>
      <w:marTop w:val="0"/>
      <w:marBottom w:val="0"/>
      <w:divBdr>
        <w:top w:val="none" w:sz="0" w:space="0" w:color="auto"/>
        <w:left w:val="none" w:sz="0" w:space="0" w:color="auto"/>
        <w:bottom w:val="none" w:sz="0" w:space="0" w:color="auto"/>
        <w:right w:val="none" w:sz="0" w:space="0" w:color="auto"/>
      </w:divBdr>
    </w:div>
    <w:div w:id="910385334">
      <w:bodyDiv w:val="1"/>
      <w:marLeft w:val="0"/>
      <w:marRight w:val="0"/>
      <w:marTop w:val="0"/>
      <w:marBottom w:val="0"/>
      <w:divBdr>
        <w:top w:val="none" w:sz="0" w:space="0" w:color="auto"/>
        <w:left w:val="none" w:sz="0" w:space="0" w:color="auto"/>
        <w:bottom w:val="none" w:sz="0" w:space="0" w:color="auto"/>
        <w:right w:val="none" w:sz="0" w:space="0" w:color="auto"/>
      </w:divBdr>
    </w:div>
    <w:div w:id="973754237">
      <w:bodyDiv w:val="1"/>
      <w:marLeft w:val="0"/>
      <w:marRight w:val="0"/>
      <w:marTop w:val="0"/>
      <w:marBottom w:val="0"/>
      <w:divBdr>
        <w:top w:val="none" w:sz="0" w:space="0" w:color="auto"/>
        <w:left w:val="none" w:sz="0" w:space="0" w:color="auto"/>
        <w:bottom w:val="none" w:sz="0" w:space="0" w:color="auto"/>
        <w:right w:val="none" w:sz="0" w:space="0" w:color="auto"/>
      </w:divBdr>
    </w:div>
    <w:div w:id="1224484464">
      <w:bodyDiv w:val="1"/>
      <w:marLeft w:val="0"/>
      <w:marRight w:val="0"/>
      <w:marTop w:val="0"/>
      <w:marBottom w:val="0"/>
      <w:divBdr>
        <w:top w:val="none" w:sz="0" w:space="0" w:color="auto"/>
        <w:left w:val="none" w:sz="0" w:space="0" w:color="auto"/>
        <w:bottom w:val="none" w:sz="0" w:space="0" w:color="auto"/>
        <w:right w:val="none" w:sz="0" w:space="0" w:color="auto"/>
      </w:divBdr>
    </w:div>
    <w:div w:id="1488745811">
      <w:bodyDiv w:val="1"/>
      <w:marLeft w:val="0"/>
      <w:marRight w:val="0"/>
      <w:marTop w:val="0"/>
      <w:marBottom w:val="0"/>
      <w:divBdr>
        <w:top w:val="none" w:sz="0" w:space="0" w:color="auto"/>
        <w:left w:val="none" w:sz="0" w:space="0" w:color="auto"/>
        <w:bottom w:val="none" w:sz="0" w:space="0" w:color="auto"/>
        <w:right w:val="none" w:sz="0" w:space="0" w:color="auto"/>
      </w:divBdr>
    </w:div>
    <w:div w:id="1644847744">
      <w:bodyDiv w:val="1"/>
      <w:marLeft w:val="0"/>
      <w:marRight w:val="0"/>
      <w:marTop w:val="0"/>
      <w:marBottom w:val="0"/>
      <w:divBdr>
        <w:top w:val="none" w:sz="0" w:space="0" w:color="auto"/>
        <w:left w:val="none" w:sz="0" w:space="0" w:color="auto"/>
        <w:bottom w:val="none" w:sz="0" w:space="0" w:color="auto"/>
        <w:right w:val="none" w:sz="0" w:space="0" w:color="auto"/>
      </w:divBdr>
    </w:div>
    <w:div w:id="1864630560">
      <w:bodyDiv w:val="1"/>
      <w:marLeft w:val="0"/>
      <w:marRight w:val="0"/>
      <w:marTop w:val="0"/>
      <w:marBottom w:val="0"/>
      <w:divBdr>
        <w:top w:val="none" w:sz="0" w:space="0" w:color="auto"/>
        <w:left w:val="none" w:sz="0" w:space="0" w:color="auto"/>
        <w:bottom w:val="none" w:sz="0" w:space="0" w:color="auto"/>
        <w:right w:val="none" w:sz="0" w:space="0" w:color="auto"/>
      </w:divBdr>
    </w:div>
    <w:div w:id="1883639134">
      <w:bodyDiv w:val="1"/>
      <w:marLeft w:val="0"/>
      <w:marRight w:val="0"/>
      <w:marTop w:val="0"/>
      <w:marBottom w:val="0"/>
      <w:divBdr>
        <w:top w:val="none" w:sz="0" w:space="0" w:color="auto"/>
        <w:left w:val="none" w:sz="0" w:space="0" w:color="auto"/>
        <w:bottom w:val="none" w:sz="0" w:space="0" w:color="auto"/>
        <w:right w:val="none" w:sz="0" w:space="0" w:color="auto"/>
      </w:divBdr>
    </w:div>
    <w:div w:id="208687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bs.pbr.2018.06.011" TargetMode="External"/><Relationship Id="rId13" Type="http://schemas.openxmlformats.org/officeDocument/2006/relationships/hyperlink" Target="https://doi.org/10.1038/nn1727" TargetMode="External"/><Relationship Id="rId3" Type="http://schemas.openxmlformats.org/officeDocument/2006/relationships/webSettings" Target="webSettings.xml"/><Relationship Id="rId7" Type="http://schemas.openxmlformats.org/officeDocument/2006/relationships/hyperlink" Target="https://doi.org/10.3758/s13414-014-0638-y" TargetMode="External"/><Relationship Id="rId12" Type="http://schemas.openxmlformats.org/officeDocument/2006/relationships/hyperlink" Target="https://doi.org/10.1016/j.neuroimage.2010.08.022"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1073/pnas.1511423112" TargetMode="External"/><Relationship Id="rId11" Type="http://schemas.openxmlformats.org/officeDocument/2006/relationships/hyperlink" Target="https://doi.org/10.1523/JNEUROSCI.2636-14.2015" TargetMode="External"/><Relationship Id="rId5" Type="http://schemas.openxmlformats.org/officeDocument/2006/relationships/hyperlink" Target="https://doi.org/10.1016/j.neuroimage.2011.05.059" TargetMode="External"/><Relationship Id="rId15" Type="http://schemas.openxmlformats.org/officeDocument/2006/relationships/fontTable" Target="fontTable.xml"/><Relationship Id="rId10" Type="http://schemas.openxmlformats.org/officeDocument/2006/relationships/hyperlink" Target="https://doi.org/10.1016/S0166-2236(99)01439-3" TargetMode="External"/><Relationship Id="rId4" Type="http://schemas.openxmlformats.org/officeDocument/2006/relationships/hyperlink" Target="https://doi.org/10.1016/j.tics.2010.02.001" TargetMode="External"/><Relationship Id="rId9" Type="http://schemas.openxmlformats.org/officeDocument/2006/relationships/hyperlink" Target="https://doi.org/10.1152/jn.00382.2005" TargetMode="External"/><Relationship Id="rId14" Type="http://schemas.openxmlformats.org/officeDocument/2006/relationships/hyperlink" Target="https://doi.org/10.1038/nrn19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2033</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Geary</dc:creator>
  <cp:keywords/>
  <dc:description/>
  <cp:lastModifiedBy>Elizabeth Geary</cp:lastModifiedBy>
  <cp:revision>47</cp:revision>
  <dcterms:created xsi:type="dcterms:W3CDTF">2020-07-08T01:50:00Z</dcterms:created>
  <dcterms:modified xsi:type="dcterms:W3CDTF">2020-08-10T02:19:00Z</dcterms:modified>
</cp:coreProperties>
</file>