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Group Members: __________________________________________________________________________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Ectotherm ER: Frogs Under the Weather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Experimental Design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Using the Scientific Method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 ________________________________________________________________________________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_________________________________________________________________________________________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Independent Variable: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hanging="72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Dependent Variable: 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could microhabitat affect an ectotherm? __________________________________________</w:t>
      </w:r>
    </w:p>
    <w:p w:rsidR="00000000" w:rsidDel="00000000" w:rsidP="00000000" w:rsidRDefault="00000000" w:rsidRPr="00000000" w14:paraId="00000012">
      <w:pPr>
        <w:spacing w:after="0" w:line="480" w:lineRule="auto"/>
        <w:rPr/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Hypothesis: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Microhabitat Hypothesis: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alatino Linotype" w:cs="Palatino Linotype" w:eastAsia="Palatino Linotype" w:hAnsi="Palatino Linotyp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Microhabitat choices are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versus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shade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Fill in the blanks to complete the following hypothesis: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Frogs in the ____________________ warm up faster than frogs in the ____________________.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219075</wp:posOffset>
            </wp:positionV>
            <wp:extent cx="1655445" cy="1371600"/>
            <wp:effectExtent b="0" l="0" r="0" t="0"/>
            <wp:wrapSquare wrapText="bothSides" distB="0" distT="0" distL="0" distR="0"/>
            <wp:docPr descr="http://tse1.mm.bing.net/th?&amp;id=OIP.M4f2f35d2c24c6edd128739eeecc8a1b1o0&amp;w=300&amp;h=247&amp;c=0&amp;pid=1.9&amp;rs=0&amp;p=0&amp;r=0" id="2" name="image1.jpg"/>
            <a:graphic>
              <a:graphicData uri="http://schemas.openxmlformats.org/drawingml/2006/picture">
                <pic:pic>
                  <pic:nvPicPr>
                    <pic:cNvPr descr="http://tse1.mm.bing.net/th?&amp;id=OIP.M4f2f35d2c24c6edd128739eeecc8a1b1o0&amp;w=300&amp;h=247&amp;c=0&amp;pid=1.9&amp;rs=0&amp;p=0&amp;r=0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59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26PSyILkImHrevJdNL74vcv2rg==">AMUW2mVWQ8PW+pw6alY4SqkWPUrg2Szh39m7mDm/eXIrx9ZzxRTPl0/UdzhGBOwhi8dB+3BbreT23Nh7tImBJ7YO/R8znSfTlgKDp9fqXRuoxttSH6KclpI=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2016-08-18T19:39:00Z</dcterms:created>
  <dc:creator>Nicholas F Kubik</dc:creator>
</cp:coreProperties>
</file>