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TOC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8" w:lineRule="exact" w:before="530" w:after="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| </w:t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9" w:history="1">
          <w:r>
            <w:rPr>
              <w:rStyle w:val="Hyperlink"/>
            </w:rPr>
            <w:t>NODIS Library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0" w:history="1">
          <w:r>
            <w:rPr>
              <w:rStyle w:val="Hyperlink"/>
            </w:rPr>
            <w:t>Program Management(8000s)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1" w:history="1">
          <w:r>
            <w:rPr>
              <w:rStyle w:val="Hyperlink"/>
            </w:rPr>
            <w:t>Search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|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28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0700" cy="482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2" w:after="0"/>
              <w:ind w:left="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NASA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 xml:space="preserve">NPR 8715.26 </w:t>
            </w:r>
          </w:p>
        </w:tc>
      </w:tr>
      <w:tr>
        <w:trPr>
          <w:trHeight w:hRule="exact" w:val="120"/>
        </w:trPr>
        <w:tc>
          <w:tcPr>
            <w:tcW w:type="dxa" w:w="3533"/>
            <w:vMerge/>
            <w:tcBorders/>
          </w:tcPr>
          <w:p/>
        </w:tc>
        <w:tc>
          <w:tcPr>
            <w:tcW w:type="dxa" w:w="353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Effective Date: February 03,</w:t>
            </w:r>
          </w:p>
        </w:tc>
      </w:tr>
      <w:tr>
        <w:trPr>
          <w:trHeight w:hRule="exact" w:val="120"/>
        </w:trPr>
        <w:tc>
          <w:tcPr>
            <w:tcW w:type="dxa" w:w="3533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2" w:after="0"/>
              <w:ind w:left="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Procedural</w:t>
            </w:r>
          </w:p>
        </w:tc>
        <w:tc>
          <w:tcPr>
            <w:tcW w:type="dxa" w:w="353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533"/>
            <w:vMerge/>
            <w:tcBorders/>
          </w:tcPr>
          <w:p/>
        </w:tc>
        <w:tc>
          <w:tcPr>
            <w:tcW w:type="dxa" w:w="3533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00"/>
        </w:trPr>
        <w:tc>
          <w:tcPr>
            <w:tcW w:type="dxa" w:w="3533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40" w:after="0"/>
              <w:ind w:left="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Requirements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Expiration Date: February 03,</w:t>
            </w:r>
          </w:p>
        </w:tc>
      </w:tr>
      <w:tr>
        <w:trPr>
          <w:trHeight w:hRule="exact" w:val="246"/>
        </w:trPr>
        <w:tc>
          <w:tcPr>
            <w:tcW w:type="dxa" w:w="3533"/>
            <w:vMerge/>
            <w:tcBorders/>
          </w:tcPr>
          <w:p/>
        </w:tc>
        <w:tc>
          <w:tcPr>
            <w:tcW w:type="dxa" w:w="3533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</w:p>
        </w:tc>
      </w:tr>
    </w:tbl>
    <w:p>
      <w:pPr>
        <w:autoSpaceDN w:val="0"/>
        <w:autoSpaceDE w:val="0"/>
        <w:widowControl/>
        <w:spacing w:line="288" w:lineRule="exact" w:before="2" w:after="0"/>
        <w:ind w:left="1750" w:right="0" w:firstLine="0"/>
        <w:jc w:val="left"/>
      </w:pPr>
      <w:r>
        <w:rPr>
          <w:rFonts w:ascii="TimesNewRomanPS" w:hAnsi="TimesNewRomanPS" w:eastAsia="TimesNewRomanPS"/>
          <w:b/>
          <w:i w:val="0"/>
          <w:color w:val="BA0000"/>
          <w:sz w:val="26"/>
        </w:rPr>
        <w:t>COMPLIANCE IS MANDATORY FOR NASA EMPLOYEES</w:t>
      </w:r>
    </w:p>
    <w:p>
      <w:pPr>
        <w:autoSpaceDN w:val="0"/>
        <w:autoSpaceDE w:val="0"/>
        <w:widowControl/>
        <w:spacing w:line="420" w:lineRule="exact" w:before="486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Nuclear Flight Safety</w:t>
      </w:r>
    </w:p>
    <w:p>
      <w:pPr>
        <w:autoSpaceDN w:val="0"/>
        <w:autoSpaceDE w:val="0"/>
        <w:widowControl/>
        <w:spacing w:line="420" w:lineRule="exact" w:before="28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Responsible Office: Office of Safety and Mission Assurance</w:t>
      </w:r>
    </w:p>
    <w:p>
      <w:pPr>
        <w:autoSpaceDN w:val="0"/>
        <w:autoSpaceDE w:val="0"/>
        <w:widowControl/>
        <w:spacing w:line="576" w:lineRule="exact" w:before="914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Table of Contents</w:t>
      </w:r>
    </w:p>
    <w:p>
      <w:pPr>
        <w:autoSpaceDN w:val="0"/>
        <w:autoSpaceDE w:val="0"/>
        <w:widowControl/>
        <w:spacing w:line="420" w:lineRule="exact" w:before="31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Preface</w:t>
      </w:r>
    </w:p>
    <w:p>
      <w:pPr>
        <w:autoSpaceDN w:val="0"/>
        <w:autoSpaceDE w:val="0"/>
        <w:widowControl/>
        <w:spacing w:line="280" w:lineRule="exact" w:before="314" w:after="0"/>
        <w:ind w:left="1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P.1 Purpose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P.2 Applicability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P.3 Authority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P.4 Applicable Documents and Forms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P.5 Measurement/Verification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P.6 Cancellation </w:t>
      </w:r>
    </w:p>
    <w:p>
      <w:pPr>
        <w:autoSpaceDN w:val="0"/>
        <w:autoSpaceDE w:val="0"/>
        <w:widowControl/>
        <w:spacing w:line="420" w:lineRule="exact" w:before="266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Chapter 1. Overview</w:t>
      </w:r>
    </w:p>
    <w:p>
      <w:pPr>
        <w:autoSpaceDN w:val="0"/>
        <w:autoSpaceDE w:val="0"/>
        <w:widowControl/>
        <w:spacing w:line="280" w:lineRule="exact" w:before="314" w:after="0"/>
        <w:ind w:left="10" w:right="69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1.1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1.2 Delegation of Responsibilities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1.3 General Terms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1.4 Request for Relief </w:t>
      </w:r>
    </w:p>
    <w:p>
      <w:pPr>
        <w:autoSpaceDN w:val="0"/>
        <w:autoSpaceDE w:val="0"/>
        <w:widowControl/>
        <w:spacing w:line="420" w:lineRule="exact" w:before="266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Chapter 2. Roles and Responsibilities</w:t>
      </w:r>
    </w:p>
    <w:p>
      <w:pPr>
        <w:autoSpaceDN w:val="0"/>
        <w:autoSpaceDE w:val="0"/>
        <w:widowControl/>
        <w:spacing w:line="280" w:lineRule="exact" w:before="314" w:after="0"/>
        <w:ind w:left="1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 Administrator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2.2 Mission Directorate Associate Administrators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2.3 NASA Program and Project Managers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2.4 Office of International and Interagency Relations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2.5 Office of Protective Services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2.6 Center Directors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2.7 Center Radiation Safety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2.8 Chief, Safety and Mission Assurance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2.9 Nuclear Flight Safety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2.10 NASA INSRB Representative</w:t>
      </w:r>
    </w:p>
    <w:p>
      <w:pPr>
        <w:autoSpaceDN w:val="0"/>
        <w:autoSpaceDE w:val="0"/>
        <w:widowControl/>
        <w:spacing w:line="198" w:lineRule="exact" w:before="224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TOC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5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TOC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64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2.10 NASA INSRB Representative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2.11 Chief Health and Medical Officer </w:t>
      </w:r>
    </w:p>
    <w:p>
      <w:pPr>
        <w:autoSpaceDN w:val="0"/>
        <w:autoSpaceDE w:val="0"/>
        <w:widowControl/>
        <w:spacing w:line="400" w:lineRule="exact" w:before="286" w:after="0"/>
        <w:ind w:left="12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Chapter 3. Mission Categorization for the Purposes of Nuclear </w:t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>Flight Safety</w:t>
      </w:r>
    </w:p>
    <w:p>
      <w:pPr>
        <w:autoSpaceDN w:val="0"/>
        <w:autoSpaceDE w:val="0"/>
        <w:widowControl/>
        <w:spacing w:line="280" w:lineRule="exact" w:before="314" w:after="0"/>
        <w:ind w:left="120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3.1 Space Nuclear System Tiering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3.2 Categorization for Other Missions with Radioactive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3.3 Other Foreseen Circumstances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Chapter 4. Nuclear Flight Safety Requirements</w:t>
      </w:r>
    </w:p>
    <w:p>
      <w:pPr>
        <w:autoSpaceDN w:val="0"/>
        <w:autoSpaceDE w:val="0"/>
        <w:widowControl/>
        <w:spacing w:line="280" w:lineRule="exact" w:before="314" w:after="0"/>
        <w:ind w:left="120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4.1 Overview of Requirement Characterization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4.2 Nuclear Safety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4.3 Nuclear Safety Review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4.4 Launch and Reentry Authorization or Concurrence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4.5 Contingency Planning and Coordination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4.6 Life-Cycle Activities Relevant After Launch Authorization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4.7 Internal and External Reporting </w:t>
      </w:r>
    </w:p>
    <w:p>
      <w:pPr>
        <w:autoSpaceDN w:val="0"/>
        <w:autoSpaceDE w:val="0"/>
        <w:widowControl/>
        <w:spacing w:line="400" w:lineRule="exact" w:before="286" w:after="0"/>
        <w:ind w:left="12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A. Definitions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B. Acronyms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C. Additional Information Regarding NSPM-20 and </w:t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Nuclear Flight Safety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D. Calculation of the A2 Mission Multiple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E. Notional Process Flow of Nuclear Flight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Safety-related Activities for SNS Missions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 xml:space="preserve">Appendix F. Radioactive Materials On-Board Report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8"/>
        </w:rPr>
        <w:t>Appendix G. References</w:t>
      </w:r>
    </w:p>
    <w:p>
      <w:pPr>
        <w:autoSpaceDN w:val="0"/>
        <w:autoSpaceDE w:val="0"/>
        <w:widowControl/>
        <w:spacing w:line="198" w:lineRule="exact" w:before="431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TOC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Preface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Preface</w:t>
      </w:r>
    </w:p>
    <w:p>
      <w:pPr>
        <w:autoSpaceDN w:val="0"/>
        <w:autoSpaceDE w:val="0"/>
        <w:widowControl/>
        <w:spacing w:line="420" w:lineRule="exact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P.1 Purpose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This directive defines the roles and responsibilities for managing and overseeing NASA’s nuclear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flight safety activities. It provides the requirements to implement NASA’s policy to protect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public, NASA workforce, high-value equipment and property, and the environment from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harm as a result of NASA activities and operations, by factoring safety as an integral feature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programs, projects, technologies, operations, and facilities. </w:t>
      </w:r>
    </w:p>
    <w:p>
      <w:pPr>
        <w:autoSpaceDN w:val="0"/>
        <w:autoSpaceDE w:val="0"/>
        <w:widowControl/>
        <w:spacing w:line="280" w:lineRule="exact" w:before="1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This directive also describes NASA’s implementation of Federal requirements under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Security Presidential Memorandum (NSPM)-20, “Presidential Memorandum on Launch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Spacecraft Containing Space Nuclear Systems,” dated August 20, 2019, radiological contingency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planning (RCP) as a part of broader NASA emergency management activities (see NPD 8710.1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NPR 8715.2) and other factors, as well as agency-specific activities relating to ensuring safety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mission success for NASA-sponsored payloads containin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4" w:history="1">
          <w:r>
            <w:rPr>
              <w:rStyle w:val="Hyperlink"/>
            </w:rPr>
            <w:t>g space nucl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ear systems (SNS)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 (note that these terms are defined in </w:t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4" w:history="1">
          <w:r>
            <w:rPr>
              <w:rStyle w:val="Hyperlink"/>
            </w:rPr>
            <w:t>Appendix 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). </w:t>
      </w:r>
    </w:p>
    <w:p>
      <w:pPr>
        <w:autoSpaceDN w:val="0"/>
        <w:autoSpaceDE w:val="0"/>
        <w:widowControl/>
        <w:spacing w:line="280" w:lineRule="exact" w:before="1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This directive establishes a framework where other requirements, guidance, and processes (e.g.,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Department of Energy (DOE) nuclear safety and security requirements, U.S. Air and Space Force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range safety requirements, NASA payload safety processes) relevant to nuclear flight safety can be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implemented in to the overall Safety and Mission Assurance (SMA) process. </w:t>
      </w:r>
    </w:p>
    <w:p>
      <w:pPr>
        <w:autoSpaceDN w:val="0"/>
        <w:autoSpaceDE w:val="0"/>
        <w:widowControl/>
        <w:spacing w:line="420" w:lineRule="exact" w:before="2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P.2 Applicability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This directive is applicable to NASA Headquarters and NASA Centers, including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Facilities and Technical and Service Support Centers. This directive applies to the Jet Propulsion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Laboratory (a Federally-Funded Research and Development Center), other contractors, recipients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grants, cooperative agreements, or other agreements only to the extent specified or referenced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applicable contracts, grants, or agreements. </w:t>
      </w:r>
    </w:p>
    <w:p>
      <w:pPr>
        <w:autoSpaceDN w:val="0"/>
        <w:autoSpaceDE w:val="0"/>
        <w:widowControl/>
        <w:spacing w:line="280" w:lineRule="exact" w:before="1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This directive is applicable to activities involving flight of SNS or other radioactive material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which NASA is the sponsoring agency or that involve the use of NASA personnel and assets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phases of a flight where the SNS or other radioactive material has the potential to affect Earth’s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biosphere. In some cases, aspects of the NASA nuclear flight safety program may fall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auspices of another Federal agency, such as in the case of a Federal Aviation Administration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(FAA)-issued license for the launch of NASA-provided radioactive material. If applicability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directive is not clear, NASA personnel will consult with the Nuclear Flight Safety Officer (NFSO)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the Office of the General Counsel to confirm responsibilities for nuclear flight safety. </w:t>
      </w:r>
    </w:p>
    <w:p>
      <w:pPr>
        <w:autoSpaceDN w:val="0"/>
        <w:autoSpaceDE w:val="0"/>
        <w:widowControl/>
        <w:spacing w:line="280" w:lineRule="exact" w:before="1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This directive considers nuclear safety and radiological risk from both normal and off-normal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conditions during all phases of flight for which the SNS or other radioactive material has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potential to affect Earth’s biosphere, typically starting with installation of the SNS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 into an integrated launch vehicle on Earth. Matters outside of this scope are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generally addressed by other NASA disciplines (e.g., planetary protection, crew safety).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d. This directive does not address procedures, requirements, or licensing details for using, storing,</w:t>
      </w:r>
    </w:p>
    <w:p>
      <w:pPr>
        <w:autoSpaceDN w:val="0"/>
        <w:autoSpaceDE w:val="0"/>
        <w:widowControl/>
        <w:spacing w:line="198" w:lineRule="exact" w:before="484" w:after="2"/>
        <w:ind w:left="2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0"/>
        <w:gridCol w:w="3530"/>
        <w:gridCol w:w="3530"/>
      </w:tblGrid>
      <w:tr>
        <w:trPr>
          <w:trHeight w:hRule="exact" w:val="1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Preface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0"/>
            <w:vMerge/>
            <w:tcBorders/>
          </w:tcPr>
          <w:p/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5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Preface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4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shipping, or handling radioactive materials in ground processing facilities or activities, nor does it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cover these activities as they relate to preparation of the actual radioactive material for space use.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additional information on these matters, see NPR 1800.1, NASA Occupational Health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Procedures, Center-specific Radiation Protection Program requirements and procedures,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relevant documents from the licensing or authorizing agency.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e. This directive does not serve to meet National Environmental Policy Act (NEPA) compliance,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does not serve to govern the level of NEPA analysis required for a mission, and does not serve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govern if there is sufficient safety data to make NEPA determinations. For additional information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NEPA matters, see NPR 8580.1, Implementing the National Environmental Policy Act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Executive Order 12114. </w:t>
      </w:r>
    </w:p>
    <w:p>
      <w:pPr>
        <w:autoSpaceDN w:val="0"/>
        <w:autoSpaceDE w:val="0"/>
        <w:widowControl/>
        <w:spacing w:line="28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f. In this directive, all mandatory actions (i.e., requirements) are denoted by statements containing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term “shall.” The term “may” denotes a discretionary privilege or permission, “can” denotes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statements of possibility or capability, “should” denotes a good practice and is recommended, but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 required, “will” denotes expected outcome, and “are/is” denotes descriptive material.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 Where conflicts exist between provisions of this directive and Federal statutes or regulations (e.g.,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provisions of the Atomic Energy Act), or higher-level NASA directives, those statutes, regulations,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higher-level NASA directives take precedence. </w:t>
      </w:r>
    </w:p>
    <w:p>
      <w:pPr>
        <w:autoSpaceDN w:val="0"/>
        <w:autoSpaceDE w:val="0"/>
        <w:widowControl/>
        <w:spacing w:line="28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h. In this directive, all document citations are assumed to be the latest version unless otherwise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noted. Use of more recent versions of cited documents may be authorized by the responsible SMA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Technical Authority (TA). </w:t>
      </w:r>
    </w:p>
    <w:p>
      <w:pPr>
        <w:autoSpaceDN w:val="0"/>
        <w:autoSpaceDE w:val="0"/>
        <w:widowControl/>
        <w:spacing w:line="28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i. Some documents listed as an authority document or reference are called out as either a reference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 authority in the citations found within the text.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P.3 Authority</w:t>
      </w:r>
    </w:p>
    <w:p>
      <w:pPr>
        <w:autoSpaceDN w:val="0"/>
        <w:autoSpaceDE w:val="0"/>
        <w:widowControl/>
        <w:spacing w:line="280" w:lineRule="exact" w:before="314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a. NPD 1000.3, The NASA Organization. b. NPD 8700.1, NASA Policy for Safety and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Success.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P.4 Applicable Documents and Forms</w:t>
      </w:r>
    </w:p>
    <w:p>
      <w:pPr>
        <w:autoSpaceDN w:val="0"/>
        <w:autoSpaceDE w:val="0"/>
        <w:widowControl/>
        <w:spacing w:line="280" w:lineRule="exact" w:before="31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a. National Security Presidential Memorandum on the Launch of Spacecraft Containing Space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Nuclear Systems (NSPM-20). b. NPR 7120.5, NASA Space Flight Program and Project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Management Requirements. c. NPR 8715.5, NASA Range Flight Safety Program. d. NPR 8715.7,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 Payload Safety Program. e. NASA-STD-8719.24, NASA Payload Safety Requirements. f.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NASA-STD-8719.25, Range Flight Safety Requirements. g. Nuclear/Radiological Incident Annex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Response and Recovery Federal Interagency Operational Plans.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P.5 Measurement/Verification</w:t>
      </w:r>
    </w:p>
    <w:p>
      <w:pPr>
        <w:autoSpaceDN w:val="0"/>
        <w:autoSpaceDE w:val="0"/>
        <w:widowControl/>
        <w:spacing w:line="280" w:lineRule="exact" w:before="31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Compliance with the requirements contained in this directive is continuously monitored by the SMA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TA. Compliance may also be verified as part of selected life cycle reviews and by assessments,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reviews, and audits of the requirements and processes defined within this directive. </w:t>
      </w:r>
    </w:p>
    <w:p>
      <w:pPr>
        <w:autoSpaceDN w:val="0"/>
        <w:autoSpaceDE w:val="0"/>
        <w:widowControl/>
        <w:spacing w:line="198" w:lineRule="exact" w:before="82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Preface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5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Preface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5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420" w:lineRule="exact" w:before="324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P.6 Cancellation</w:t>
      </w:r>
    </w:p>
    <w:p>
      <w:pPr>
        <w:autoSpaceDN w:val="0"/>
        <w:autoSpaceDE w:val="0"/>
        <w:widowControl/>
        <w:spacing w:line="280" w:lineRule="exact" w:before="31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a. Chapter 6, “Nuclear Safety for Launching of Radioactive Materials” and Appendix D, “Activity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Radioactive Material Limits - Basic Al /A2 Values” of NPR 8715.3D, NASA General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Program Requirements, dated August 01, 2017. b. NPI 8715.93, “Impacts of NSPM-20 on NASA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Nuclear Flight Safety Requirements and Practices”, dated June 5, 2020 </w:t>
      </w:r>
    </w:p>
    <w:p>
      <w:pPr>
        <w:autoSpaceDN w:val="0"/>
        <w:autoSpaceDE w:val="0"/>
        <w:widowControl/>
        <w:spacing w:line="198" w:lineRule="exact" w:before="1214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Preface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6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Chapter 1. Overview</w:t>
      </w:r>
    </w:p>
    <w:p>
      <w:pPr>
        <w:autoSpaceDN w:val="0"/>
        <w:autoSpaceDE w:val="0"/>
        <w:widowControl/>
        <w:spacing w:line="420" w:lineRule="exact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1.1 Introduction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1.1.1 This directive implements Federal requirements under NSPM-20, “Presidential Memorandum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 Launch of Spacecraft Containing Space Nuclear Systems,” dated August 20, 2019. NSPM-20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updates the Federal process for the launch of SNS to “ensure a rigorous, risk informed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analysis and launch authorization process.” This directive also incorporates NASA’s responsibilities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 the authorities of other agencies involved in the launch of SNS or radioactive material,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National Response Framework, and the U.S.’s international commitments.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1.1.2 Procedures and levels of review and analysis required for nuclear launch and reentry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authorization or concurrence vary with the quantity and form of material planned for use, as well as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with the potential radiological risk (e.g., human health exposures, impacts on land use, or impacts 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property use). In the context of this document, reentry or planned return to Earth refers to intended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portions of the spaceflight and is addressed in the authorization or concurrence process. By contrast,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unplanned reentry (referring to an unintended event) is addressed in the safety analysis and RCP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processes. </w:t>
      </w:r>
    </w:p>
    <w:p>
      <w:pPr>
        <w:autoSpaceDN w:val="0"/>
        <w:autoSpaceDE w:val="0"/>
        <w:widowControl/>
        <w:spacing w:line="420" w:lineRule="exact" w:before="2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1.2 Delegation of Responsibilities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1.2.1 Unless specifically prohibited, responsibilities and requirements may be delegated. The stated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role or actor remains accountable for its implementation and outcome. </w:t>
      </w:r>
    </w:p>
    <w:p>
      <w:pPr>
        <w:autoSpaceDN w:val="0"/>
        <w:autoSpaceDE w:val="0"/>
        <w:widowControl/>
        <w:spacing w:line="280" w:lineRule="exact" w:before="1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1.2.2 Where an office or organization is stated as the actor of a requirement, the Official in Charge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that office or organization is responsible and accountable for the action and its outcome. </w:t>
      </w:r>
    </w:p>
    <w:p>
      <w:pPr>
        <w:autoSpaceDN w:val="0"/>
        <w:autoSpaceDE w:val="0"/>
        <w:widowControl/>
        <w:spacing w:line="420" w:lineRule="exact" w:before="2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1.3 General Terms</w:t>
      </w:r>
    </w:p>
    <w:p>
      <w:pPr>
        <w:autoSpaceDN w:val="0"/>
        <w:autoSpaceDE w:val="0"/>
        <w:widowControl/>
        <w:spacing w:line="280" w:lineRule="exact" w:before="314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Definitions for general terms, such as “A2 mission multiple” and “space nuclear system” are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provided in Appendix A. </w:t>
      </w:r>
    </w:p>
    <w:p>
      <w:pPr>
        <w:autoSpaceDN w:val="0"/>
        <w:autoSpaceDE w:val="0"/>
        <w:widowControl/>
        <w:spacing w:line="420" w:lineRule="exact" w:before="2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1.4 Request for Relief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1.4.1 For additional information on the defined process for requesting and granting relief from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requirements within this directive and standards incorporated by reference herein, see NPR 8715.3.</w:t>
      </w:r>
    </w:p>
    <w:p>
      <w:pPr>
        <w:autoSpaceDN w:val="0"/>
        <w:autoSpaceDE w:val="0"/>
        <w:widowControl/>
        <w:spacing w:line="280" w:lineRule="exact" w:before="8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Chief, SMA is the Approving Authority for requests for relief to the requirements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directive. </w:t>
      </w:r>
    </w:p>
    <w:p>
      <w:pPr>
        <w:autoSpaceDN w:val="0"/>
        <w:autoSpaceDE w:val="0"/>
        <w:widowControl/>
        <w:spacing w:line="280" w:lineRule="exact" w:before="1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1.4.2 For NASA missions, non-conformances with Federal nuclear launch authorization direction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NSPM-20 or other applicable regulatory-agency requirements will be elevated to the Administrator.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Administrator, Chief, SMA, and Chief Health and Medical Officer (CHMO) would make such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determinations in consideration of applicable National Space Policy and the responsibilities defined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NPD 8700.1 with regards to consent to human safety and property risk on behalf of the general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public. </w:t>
      </w:r>
    </w:p>
    <w:p>
      <w:pPr>
        <w:autoSpaceDN w:val="0"/>
        <w:autoSpaceDE w:val="0"/>
        <w:widowControl/>
        <w:spacing w:line="198" w:lineRule="exact" w:before="524" w:after="2"/>
        <w:ind w:left="2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0"/>
        <w:gridCol w:w="3530"/>
        <w:gridCol w:w="3530"/>
      </w:tblGrid>
      <w:tr>
        <w:trPr>
          <w:trHeight w:hRule="exact" w:val="1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Chapter1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0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410"/>
        <w:gridCol w:w="5410"/>
      </w:tblGrid>
      <w:tr>
        <w:trPr>
          <w:trHeight w:hRule="exact" w:val="25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Chapter1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</w:tbl>
    <w:p>
      <w:pPr>
        <w:autoSpaceDN w:val="0"/>
        <w:autoSpaceDE w:val="0"/>
        <w:widowControl/>
        <w:spacing w:line="280" w:lineRule="exact" w:before="298" w:after="0"/>
        <w:ind w:left="12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1.4.3 For NASA missions, non-conformances with NSPM-20 requirements will be formally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communicated to the Director, Office of Science and Technology Policy (OSTP). </w:t>
      </w:r>
    </w:p>
    <w:p>
      <w:pPr>
        <w:autoSpaceDN w:val="0"/>
        <w:autoSpaceDE w:val="0"/>
        <w:widowControl/>
        <w:spacing w:line="198" w:lineRule="exact" w:before="1340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Chapter1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8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Chapter 2. Roles and Responsibilities</w:t>
      </w:r>
    </w:p>
    <w:p>
      <w:pPr>
        <w:autoSpaceDN w:val="0"/>
        <w:autoSpaceDE w:val="0"/>
        <w:widowControl/>
        <w:spacing w:line="420" w:lineRule="exact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2.1 Administrator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2.1.1 The Administrator is responsible for the radiological risk to the public, NASA workforce,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high-value equipment and property, and the environment from launching or reentering NASA space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nuclear systems (SNS) and other radioactive material. To this end the Administrator: </w:t>
      </w:r>
    </w:p>
    <w:p>
      <w:pPr>
        <w:autoSpaceDN w:val="0"/>
        <w:autoSpaceDE w:val="0"/>
        <w:widowControl/>
        <w:spacing w:line="280" w:lineRule="exact" w:before="18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Determines the acceptability of the radiological risk associated with launching or conducting 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planned return to Earth (reentry or fly-by) of an SNS and other radioactive material. </w:t>
      </w:r>
    </w:p>
    <w:p>
      <w:pPr>
        <w:autoSpaceDN w:val="0"/>
        <w:autoSpaceDE w:val="0"/>
        <w:widowControl/>
        <w:spacing w:line="280" w:lineRule="exact" w:before="18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Ensures NASA fulfills its responsibilities related to the standing Interagency Nuclear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Review Board (INSRB) to review NASA and other Federal Government launches, and when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requested by the Secretary of Transportation, commercial launches,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membership and responsibilities outlined in NSPM-20. </w:t>
      </w:r>
    </w:p>
    <w:p>
      <w:pPr>
        <w:autoSpaceDN w:val="0"/>
        <w:autoSpaceDE w:val="0"/>
        <w:widowControl/>
        <w:spacing w:line="280" w:lineRule="exact" w:before="180" w:after="0"/>
        <w:ind w:left="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Authorizes launch or requests the President’s authorization for launch,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NSPM-20 and Chapter 4 of this directive, when NASA is the sponsoring agency. </w:t>
      </w:r>
    </w:p>
    <w:p>
      <w:pPr>
        <w:autoSpaceDN w:val="0"/>
        <w:autoSpaceDE w:val="0"/>
        <w:widowControl/>
        <w:spacing w:line="420" w:lineRule="exact" w:before="2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2.2 Mission Directorate Associate Administrators</w:t>
      </w:r>
    </w:p>
    <w:p>
      <w:pPr>
        <w:autoSpaceDN w:val="0"/>
        <w:autoSpaceDE w:val="0"/>
        <w:widowControl/>
        <w:spacing w:line="288" w:lineRule="exact" w:before="30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2.2.1 Mission Directorate Associate Administrators (MDAAs) are responsible for: </w:t>
      </w:r>
    </w:p>
    <w:p>
      <w:pPr>
        <w:autoSpaceDN w:val="0"/>
        <w:autoSpaceDE w:val="0"/>
        <w:widowControl/>
        <w:spacing w:line="280" w:lineRule="exact" w:before="18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Providing resources to achieve and assure compliance with applicable Agency nuclear flight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safety requirements, including any evaluation by the INSRB.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Designating the personnel responsible for ensuring the implementation of applicable nuclear flight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safety requirements (i.e., any delegated responsibilities under this section, as well as those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responsibilities of the NASA Program and Project Manager role), and if desired, assigning 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individual to provide NASA mission-specific administrative support to the INSRB. In the latter case,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individual must be selected from outside the applicable program or project management chain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be free of any organizational or personal conflict-of-interest.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Designating an individual that is responsible for coordinating with other entities that may be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contributing SNS or other radioactive material to the flight (e.g., the Payload Project Manager role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NPR 8715.7), and ensuring that nuclear flight safety requirements are being addressed in a manner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addresses the entire manifest, when their Mission Directorate has responsibility for flight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activities (consistent with NPR 8715.5).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Identifying and categorizing all space flight equipment that contains or uses nuclear or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materials (per Chapter 3 of this directive). </w:t>
      </w:r>
    </w:p>
    <w:p>
      <w:pPr>
        <w:autoSpaceDN w:val="0"/>
        <w:autoSpaceDE w:val="0"/>
        <w:widowControl/>
        <w:spacing w:line="280" w:lineRule="exact" w:before="1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e. Notifying the NFSO and making required reports in accordance with Chapter 4 of this directive,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an SNS or other radioactive material is identified for potential use on NASA spacecraft or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NASA-provided payloads, in order to schedule nuclear launch authorization or concurrence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activities. </w:t>
      </w:r>
    </w:p>
    <w:p>
      <w:pPr>
        <w:autoSpaceDN w:val="0"/>
        <w:autoSpaceDE w:val="0"/>
        <w:widowControl/>
        <w:spacing w:line="280" w:lineRule="exact" w:before="180" w:after="0"/>
        <w:ind w:left="0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f. Arranging for the preparation of the nuclear safety analysis, facilitating the nuclear safety review,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and obtaining authorization or concurrence for launch or reentry, in accordance with NSPM-20 and</w:t>
      </w:r>
    </w:p>
    <w:p>
      <w:pPr>
        <w:autoSpaceDN w:val="0"/>
        <w:autoSpaceDE w:val="0"/>
        <w:widowControl/>
        <w:spacing w:line="198" w:lineRule="exact" w:before="324" w:after="2"/>
        <w:ind w:left="2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0"/>
        <w:gridCol w:w="3530"/>
        <w:gridCol w:w="3530"/>
      </w:tblGrid>
      <w:tr>
        <w:trPr>
          <w:trHeight w:hRule="exact" w:val="1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Chapter2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0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5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9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8" w:lineRule="exact" w:before="35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Chapter 4 of this directive.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 Conducting contingency, planning as required by the National Response Framework and other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requirements, including provisions for emergency response and support for source recovery efforts. </w:t>
      </w:r>
    </w:p>
    <w:p>
      <w:pPr>
        <w:autoSpaceDN w:val="0"/>
        <w:autoSpaceDE w:val="0"/>
        <w:widowControl/>
        <w:spacing w:line="280" w:lineRule="exact" w:before="180" w:after="0"/>
        <w:ind w:left="580" w:right="28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Note: NPD 8710.1 and NPR 8715.2 address the broader NASA emergency management policy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and program requirements.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h. Consulting with the NFSO to: (i) support research and technology development to close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knowledge gaps within the areas of NASA responsibility, and in partnership with other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Federal authorities, and (ii) develop nuclear flight safety requirements for future missions that fulfill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NASA’s responsibilities while remaining compatible with other Federal authorities.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2.3 NASA Program and Project Managers</w:t>
      </w:r>
    </w:p>
    <w:p>
      <w:pPr>
        <w:autoSpaceDN w:val="0"/>
        <w:autoSpaceDE w:val="0"/>
        <w:widowControl/>
        <w:spacing w:line="280" w:lineRule="exact" w:before="314" w:after="0"/>
        <w:ind w:left="12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2.3.1 The NASA Program and Project Manager (generally intended here to refer to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Implementing Program and Flight Project Managers) are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Incorporating nuclear flight safety considerations starting with program or project formulation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through the point at which the SNS no longer has the potential to affect Earth’s biosphere.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Providing sufficient resources, access, and engagement for conducting the nuclear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review, obtaining authorization or concurrence for launch or reentry, and supporting RCP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development, in accordance with NSPM-20 and Chapter 4 of this directive, as applicable. </w:t>
      </w:r>
    </w:p>
    <w:p>
      <w:pPr>
        <w:autoSpaceDN w:val="0"/>
        <w:autoSpaceDE w:val="0"/>
        <w:widowControl/>
        <w:spacing w:line="28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Ensuring, to the extent of responsibility applicable under defined licensing/permitting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documentation or agreements, compliance with all pertinent directives, licenses, agreements,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requirements promulgated by authorizing or regulating agencies relative to the use of nuclear 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materials planned for a launch or planned return to Earth (fly-by or reentry).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Assisting the MDAA (or designee) in requesting launch authorization or concurrence.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2.4 Office of International and Interagency Relations</w:t>
      </w:r>
    </w:p>
    <w:p>
      <w:pPr>
        <w:autoSpaceDN w:val="0"/>
        <w:autoSpaceDE w:val="0"/>
        <w:widowControl/>
        <w:spacing w:line="280" w:lineRule="exact" w:before="314" w:after="0"/>
        <w:ind w:left="12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2.4.1 The Office of International and Interagency Relations is responsible for supporting RCP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activities and coordinating with the Department of State to ensure fulfillment of the US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Government’s international (e.g., United Nations Conventions) and NASA’s interagency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responsibilities.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2.5 Office of Protective Services</w:t>
      </w:r>
    </w:p>
    <w:p>
      <w:pPr>
        <w:autoSpaceDN w:val="0"/>
        <w:autoSpaceDE w:val="0"/>
        <w:widowControl/>
        <w:spacing w:line="288" w:lineRule="exact" w:before="306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2.5.1 The Office of Protective Services (OPS) is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Supporting RCP activities and coordinating with the Department of Homeland Security’s Federal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Management Agency (FEMA) to provide adequate emergency response and recovery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planning for applicable missions, as specified in Chapter 4 of this directive, and in consideration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NPD 8710.1 and NPR 8715.2. </w:t>
      </w:r>
    </w:p>
    <w:p>
      <w:pPr>
        <w:autoSpaceDN w:val="0"/>
        <w:autoSpaceDE w:val="0"/>
        <w:widowControl/>
        <w:spacing w:line="280" w:lineRule="exact" w:before="180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Establishing and assuring appropriate staffing of the Emergency Operations Center (EOC) 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NASA Headquarters when specified in radiological contingency, radiological emergency, and</w:t>
      </w:r>
    </w:p>
    <w:p>
      <w:pPr>
        <w:autoSpaceDN w:val="0"/>
        <w:autoSpaceDE w:val="0"/>
        <w:widowControl/>
        <w:spacing w:line="198" w:lineRule="exact" w:before="38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Chapter2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10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8" w:lineRule="exact" w:before="35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recovery plans developed in accordance with Section 4.5.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2.6 Center Directors</w:t>
      </w:r>
    </w:p>
    <w:p>
      <w:pPr>
        <w:autoSpaceDN w:val="0"/>
        <w:autoSpaceDE w:val="0"/>
        <w:widowControl/>
        <w:spacing w:line="288" w:lineRule="exact" w:before="306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2.6.1 Center Directors are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Providing assistance to the cognizant NASA Mission Directorate(s) and project office(s)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implementing and complying with the nuclear flight safety requirements and processes provided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this directive. </w:t>
      </w:r>
    </w:p>
    <w:p>
      <w:pPr>
        <w:autoSpaceDN w:val="0"/>
        <w:autoSpaceDE w:val="0"/>
        <w:widowControl/>
        <w:spacing w:line="280" w:lineRule="exact" w:before="180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Providing information about facilities and operations necessary to support the nuclear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analysis, nuclear safety review, and the launch authorization process.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2.6.2 The Center Director affiliated with the range where the launch or reentry is expected to occur,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additionally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Applying payload and range safety requirements for the launch or reentry of SNS or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 as required by NPR 8715.7, NASA Payload Safety Program, NASA STD 8719.24, NASA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Payload Safety Requirements, NPR 8715.5, NASA Range Flight Safety Program,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NASA-STD-8719.25 Range Flight Safety Requirements.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Developing and implementing site-specific ground operations and radiological contingency plans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address potential ground handling accidents and potential launch or landing accident scenarios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to support source recovery operations, commensurate with the radioactive materials present. </w:t>
      </w:r>
    </w:p>
    <w:p>
      <w:pPr>
        <w:autoSpaceDN w:val="0"/>
        <w:autoSpaceDE w:val="0"/>
        <w:widowControl/>
        <w:spacing w:line="28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Providing resources, as appropriate, to maintain NASA’s institutional capabilities needed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support ground operations and RCP for the launch of SNS (e.g., the Radiological Control Center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(RADCC) at Kennedy Space Center).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Coordinating radiological contingency plans and exercises with the CHMO.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e. Exercising contingency response capabilities as deemed necessary to ensure adequate readiness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participants and adequacy of planning to protect the public, site personnel, and facilities. </w:t>
      </w:r>
    </w:p>
    <w:p>
      <w:pPr>
        <w:autoSpaceDN w:val="0"/>
        <w:autoSpaceDE w:val="0"/>
        <w:widowControl/>
        <w:spacing w:line="28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f. Ensuring appropriate and timely coordination with regional Federal, State, territorial, and local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management authorities to provide for support to, and coordination with, offsite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response elements. </w:t>
      </w:r>
    </w:p>
    <w:p>
      <w:pPr>
        <w:autoSpaceDN w:val="0"/>
        <w:autoSpaceDE w:val="0"/>
        <w:widowControl/>
        <w:spacing w:line="280" w:lineRule="exact" w:before="180" w:after="0"/>
        <w:ind w:left="0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 Making provisions for special offsite monitoring and assistance in recovery of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materials that could spread into areas outside the geographical boundaries of the launch site.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2.7 Center Radiation Safety Officer</w:t>
      </w:r>
    </w:p>
    <w:p>
      <w:pPr>
        <w:autoSpaceDN w:val="0"/>
        <w:autoSpaceDE w:val="0"/>
        <w:widowControl/>
        <w:spacing w:line="280" w:lineRule="exact" w:before="31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2.7.1 The Center Radiation Safety Officer is responsible for providing the NASA Program or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Manager with radiation protection expertise and information needed for calculating the A2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multiple for missions involving radioactive material that do not include SNS.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2.8 Chief, Safety and Mission Assurance</w:t>
      </w:r>
    </w:p>
    <w:p>
      <w:pPr>
        <w:autoSpaceDN w:val="0"/>
        <w:autoSpaceDE w:val="0"/>
        <w:widowControl/>
        <w:spacing w:line="288" w:lineRule="exact" w:before="306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2.8.1 The Chief, SMA, is responsible for advising the Administrator and other senior officials on</w:t>
      </w:r>
    </w:p>
    <w:p>
      <w:pPr>
        <w:autoSpaceDN w:val="0"/>
        <w:autoSpaceDE w:val="0"/>
        <w:widowControl/>
        <w:spacing w:line="198" w:lineRule="exact" w:before="48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Chapter2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matters related to risk, safety, and mission success and serves as the lead SMA TA.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independent oversight of programs and projects in support of safety and mission success, the Chief,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SMA, is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Appointing a technically-qualified NASA representative to the INSRB. Whenever possible,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NFSO should not serve as the INSRB member performing the review or administrative support for 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NASA-sponsored mission because the INSRB and the NFSO have different roles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responsibilities, as well as different degrees of access to mission-specific information. If having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separate individuals fill these roles isn’t possible, the Chief, SMA would ensure appropriate controls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mitigating measures are in place (e.g., through a memorandum of agreement with the mission). </w:t>
      </w:r>
    </w:p>
    <w:p>
      <w:pPr>
        <w:autoSpaceDN w:val="0"/>
        <w:autoSpaceDE w:val="0"/>
        <w:widowControl/>
        <w:spacing w:line="280" w:lineRule="exact" w:before="180" w:after="0"/>
        <w:ind w:left="12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Assisting other authorities in the review and evaluation of radiological risk,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coordinating with the CHMO regarding decisions involving risk acceptance.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Concurring on launch or reentry for missions, as described in Chapter 4 of this directive. </w:t>
      </w:r>
    </w:p>
    <w:p>
      <w:pPr>
        <w:autoSpaceDN w:val="0"/>
        <w:autoSpaceDE w:val="0"/>
        <w:widowControl/>
        <w:spacing w:line="28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2.8.2 The Chief, SMA designates the NFSO to support these responsibilities and oversee nuclear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flight safety and related nuclear and radiological matters in consultation with the MDAAs.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2.9 Nuclear Flight Safety Officer</w:t>
      </w:r>
    </w:p>
    <w:p>
      <w:pPr>
        <w:autoSpaceDN w:val="0"/>
        <w:autoSpaceDE w:val="0"/>
        <w:widowControl/>
        <w:spacing w:line="280" w:lineRule="exact" w:before="31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2.9.1 The NFSO (formerly known as the Nuclear Flight Safety Assurance Manager) advises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Chief, SMA on all matters related to nuclear flight safety and related nuclear and radiological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matters, and assists the Chief, SMA in providing independent oversight of programs and projects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support of safety and mission success. The NFSO is responsible for: </w:t>
      </w:r>
    </w:p>
    <w:p>
      <w:pPr>
        <w:autoSpaceDN w:val="0"/>
        <w:autoSpaceDE w:val="0"/>
        <w:widowControl/>
        <w:spacing w:line="28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Engaging TAs, Mission Directorates, and Programs and Projects involving the launch or reentry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SNS or other radioactive materials on compliance with this directive.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Providing administrative support to the INSRB in its standing capacity.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Ensuring NASA meets its reporting responsibilities in NSPM-20.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Concurring on radiological contingency plans for flights requiring RCP.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e. Concurring on Earth launches or reentries for missions as described by Chapter 4 of this directive,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performing assessments, when applicable, consistent with Chapter 4 of this directive. </w:t>
      </w:r>
    </w:p>
    <w:p>
      <w:pPr>
        <w:autoSpaceDN w:val="0"/>
        <w:autoSpaceDE w:val="0"/>
        <w:widowControl/>
        <w:spacing w:line="28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f. Coordinating with organizations that have important interfaces with the nuclear flight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program, such as Office of the Chief Health and Medical Officer’s (OCHMO’s) ionizing radiation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protection program and the Office of the Chief Engineer’s program and project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requirements.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2.10 NASA INSRB Representative</w:t>
      </w:r>
    </w:p>
    <w:p>
      <w:pPr>
        <w:autoSpaceDN w:val="0"/>
        <w:autoSpaceDE w:val="0"/>
        <w:widowControl/>
        <w:spacing w:line="288" w:lineRule="exact" w:before="306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2.10.1 The NASA INSRB representative is responsible for: </w:t>
      </w:r>
    </w:p>
    <w:p>
      <w:pPr>
        <w:autoSpaceDN w:val="0"/>
        <w:autoSpaceDE w:val="0"/>
        <w:widowControl/>
        <w:spacing w:line="288" w:lineRule="exact" w:before="17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Participating in all relevant INSRB activities. </w:t>
      </w:r>
    </w:p>
    <w:p>
      <w:pPr>
        <w:autoSpaceDN w:val="0"/>
        <w:autoSpaceDE w:val="0"/>
        <w:widowControl/>
        <w:spacing w:line="280" w:lineRule="exact" w:before="180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Chairing INSRB mission-specific activities, advising the NASA Administrator of gaps 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omissions in INSRB-reviewed safety analyses, and ensuring a safety evaluation report (SER) 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developed, for NASA-sponsored Tier II and Tier III missions. </w:t>
      </w:r>
    </w:p>
    <w:p>
      <w:pPr>
        <w:autoSpaceDN w:val="0"/>
        <w:autoSpaceDE w:val="0"/>
        <w:widowControl/>
        <w:spacing w:line="198" w:lineRule="exact" w:before="28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Chapter2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12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538" w:after="0"/>
        <w:ind w:left="1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Facilitating agreement on behalf of the Administrator on the terms of any INSRB review,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including costs, between NASA and the agency requesting INSRB review, per NSPM-20.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Facilitating early INSRB engagement in the safety analysis process (after the conceptual design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mission is generated) for NASA-sponsored Tier II and Tier III missions, as directed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NSPM-20, in order to identify gaps in time for mission planners to address them without creating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unnecessary delays in the launch timeline.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2.11 Chief Health and Medical Officer</w:t>
      </w:r>
    </w:p>
    <w:p>
      <w:pPr>
        <w:autoSpaceDN w:val="0"/>
        <w:autoSpaceDE w:val="0"/>
        <w:widowControl/>
        <w:spacing w:line="280" w:lineRule="exact" w:before="31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2.11.1 The CHMO advises the Administrator, the Chief, SMA, and the applicable 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Directorate(s) of potential health effects related to activities involving flight of nuclear or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 and participates in NASA and Federal RCP and operational activities, including providing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subject matter expertise in the case of any clean-up efforts. NASA roles, responsibilities,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procedural requirements for protecting the public and workforce from risks associated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handling, use, and storage of radioactive material and radiation generating equipment while not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flight are documented in NPR 1800.1. </w:t>
      </w:r>
    </w:p>
    <w:p>
      <w:pPr>
        <w:autoSpaceDN w:val="0"/>
        <w:autoSpaceDE w:val="0"/>
        <w:widowControl/>
        <w:spacing w:line="198" w:lineRule="exact" w:before="896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Chapter2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6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13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60" w:lineRule="exact" w:before="534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 xml:space="preserve">Chapter 3. Mission Categorization for the </w:t>
      </w:r>
      <w:r>
        <w:rPr>
          <w:rFonts w:ascii="TimesNewRomanPS" w:hAnsi="TimesNewRomanPS" w:eastAsia="TimesNewRomanPS"/>
          <w:b/>
          <w:i w:val="0"/>
          <w:color w:val="000000"/>
          <w:sz w:val="52"/>
        </w:rPr>
        <w:t>Purposes of Nuclear Flight Safety</w:t>
      </w:r>
    </w:p>
    <w:p>
      <w:pPr>
        <w:autoSpaceDN w:val="0"/>
        <w:autoSpaceDE w:val="0"/>
        <w:widowControl/>
        <w:spacing w:line="420" w:lineRule="exact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3.1 Space Nuclear System Tiering</w:t>
      </w:r>
    </w:p>
    <w:p>
      <w:pPr>
        <w:autoSpaceDN w:val="0"/>
        <w:autoSpaceDE w:val="0"/>
        <w:widowControl/>
        <w:spacing w:line="280" w:lineRule="exact" w:before="31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3.1.1 For all missions that include an SNS, the MDAA shall notify the NFSO before System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Definition Review (SDR)/Mission Definition Review (MDR) of the forthcoming launch or reentry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request to support planning of nuclear safety analysis and review activities, as outlined in Chapter 4.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 </w:t>
      </w:r>
    </w:p>
    <w:p>
      <w:pPr>
        <w:autoSpaceDN w:val="0"/>
        <w:autoSpaceDE w:val="0"/>
        <w:widowControl/>
        <w:spacing w:line="280" w:lineRule="exact" w:before="1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3.1.2 For missions involving SNS, the MDAA shall determine the mission’s tier (with an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technical basis) and obtain Chief, SMA concurrence to inform the graded approach outlined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Chapter 4 of this directive and to ensure conformance with NSPM-20. Appendix C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information on NSPM-20 tiers. The NFSO will evaluate each tier determination to inform the Chief,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SMA’s concurrence.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3.1.3 For the aspects of mission tiering based on the quantity of material-at-risk, the MDAA (to be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MDAA with flight responsibilities if multiple MDAAs are contributing SNS or other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material) should use the highest A2 mission multiple based on the quantity of radioactive materials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expected: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During pre-launch activities.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At launch.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Anytime the spacecraft will be in Earth orbit.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 During any planned return to Earth (reentry or fly-by). </w:t>
      </w:r>
    </w:p>
    <w:p>
      <w:pPr>
        <w:autoSpaceDN w:val="0"/>
        <w:autoSpaceDE w:val="0"/>
        <w:widowControl/>
        <w:spacing w:line="280" w:lineRule="exact" w:before="1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3.1.4 The MDAA shall make a tier determination at up to 3 stages, as follows (the reasoning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multiple tiering determinations is discussed in Appendix C): </w:t>
      </w:r>
    </w:p>
    <w:p>
      <w:pPr>
        <w:autoSpaceDN w:val="0"/>
        <w:autoSpaceDE w:val="0"/>
        <w:widowControl/>
        <w:spacing w:line="280" w:lineRule="exact" w:before="1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a. Preliminary Tier Determination (PTD) – This determination is made immediately preceding Key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Decision Point C, as that life-cycle gate is defined in NPR 7120.5. This tiering determination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made predominantly on the material-at-risk (A2 mission multiple – see Appendix D) and nuclear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fuel-type provisions (for fission reactor systems) contained in NSPM 20. Information related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potential radiation exposure levels and associated likelihoods from the safety analyses of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past missions will also be considered. This determination serves to provide initial alignment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clarity on whether a mission Safety Analysis Report (SAR) is required, whether the INSRB needs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 engaged, and who the likely authorizing official will be. This determination also serves to lock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International Atomic Energy Agency (IAEA)-issued A2 values applicable to the mission, given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that these values are periodically updated. If the PTD concludes that a mission is not likely to meet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Tier I, II, or III criteria, this marks the end of the tiering determination process (and all subsequent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nuclear flight safety processes described in this directive will be governed solely by the A2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multiple). </w:t>
      </w:r>
    </w:p>
    <w:p>
      <w:pPr>
        <w:autoSpaceDN w:val="0"/>
        <w:autoSpaceDE w:val="0"/>
        <w:widowControl/>
        <w:spacing w:line="280" w:lineRule="exact" w:before="1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b. Provisional Final Tier Determination (PFTD) [Only applicable if PTD = Tier I, II, or III] – This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determination is made at the approximate mid-point between initial mission SAR release and final</w:t>
      </w:r>
    </w:p>
    <w:p>
      <w:pPr>
        <w:autoSpaceDN w:val="0"/>
        <w:autoSpaceDE w:val="0"/>
        <w:widowControl/>
        <w:spacing w:line="198" w:lineRule="exact" w:before="484" w:after="2"/>
        <w:ind w:left="2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0"/>
        <w:gridCol w:w="3530"/>
        <w:gridCol w:w="3530"/>
      </w:tblGrid>
      <w:tr>
        <w:trPr>
          <w:trHeight w:hRule="exact" w:val="1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Chapter3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0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14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mission SAR delivery, using the postulated accident exposure levels and associated likelihoods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available at that time. This determination serves to ensure earlier recognition of situations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authorizing official may change with the final mission SAR (either a higher or lower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authorization required), or where the degree of INSRB involvement (or lack thereof) requires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adjustment (i.e., Tier I vs. Tier II).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c. Final Tier Determination (FTD) [Only applicable if PTD = Tier I, II, or III] – This determination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made upon issuance of the mission SAR (Tier I), or the SER (Tier II or III). This final tier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determination will codify the level of authorization required for the mission and set the stage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seeking that authorization. This determination serves to establish a final and transparent basis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establishment of the authorizing official.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3.2 Categorization for Other Missions with Radioactive Material</w:t>
      </w:r>
    </w:p>
    <w:p>
      <w:pPr>
        <w:autoSpaceDN w:val="0"/>
        <w:autoSpaceDE w:val="0"/>
        <w:widowControl/>
        <w:spacing w:line="280" w:lineRule="exact" w:before="31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3.2.1 For all missions that involve radioactive material, but do not include an SNS, the MDAA,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consultation with the cognizant Center Radiation Safety Officer(s), shall use total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 inventory contained on the launch vehicle to calculate the A2 mission multiple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value per Appendix D.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3.2.2 For all missions that involve radioactive material but do not include an SNS, and for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A2 mission multiple is determined to be greater than 1, the MDAA shall notify the NFSO before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SDR/MDR of the forthcoming launch or reentry request to support planning of nuclear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analysis and review activities, which are outlined in Chapter 4. </w:t>
      </w:r>
    </w:p>
    <w:p>
      <w:pPr>
        <w:autoSpaceDN w:val="0"/>
        <w:autoSpaceDE w:val="0"/>
        <w:widowControl/>
        <w:spacing w:line="420" w:lineRule="exact" w:before="266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8"/>
        </w:rPr>
        <w:t>3.3 Other Foreseen Circumstances</w:t>
      </w:r>
    </w:p>
    <w:p>
      <w:pPr>
        <w:autoSpaceDN w:val="0"/>
        <w:autoSpaceDE w:val="0"/>
        <w:widowControl/>
        <w:spacing w:line="280" w:lineRule="exact" w:before="31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NASA personnel shall consult with the NFSO and the NASA Office of the General Counsel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determine what provisions, if any, of this directive apply when NASA participates in the launch 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reentry of a vehicle or spacecraft from other countries or territories, or in connection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commercial entities, if the applicability of the provisions in this directive are not sufficiently clear. </w:t>
      </w:r>
    </w:p>
    <w:p>
      <w:pPr>
        <w:autoSpaceDN w:val="0"/>
        <w:autoSpaceDE w:val="0"/>
        <w:widowControl/>
        <w:spacing w:line="198" w:lineRule="exact" w:before="544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Chapter3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15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32" w:lineRule="exact" w:before="514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8"/>
        </w:rPr>
        <w:t>Chapter 4. Nuclear Flight Safety Requirements</w:t>
      </w:r>
    </w:p>
    <w:p>
      <w:pPr>
        <w:autoSpaceDN w:val="0"/>
        <w:autoSpaceDE w:val="0"/>
        <w:widowControl/>
        <w:spacing w:line="398" w:lineRule="exact" w:before="316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4.1 Overview of Requirement Characterization</w:t>
      </w:r>
    </w:p>
    <w:p>
      <w:pPr>
        <w:autoSpaceDN w:val="0"/>
        <w:autoSpaceDE w:val="0"/>
        <w:widowControl/>
        <w:spacing w:line="260" w:lineRule="exact" w:before="274" w:after="0"/>
        <w:ind w:left="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level of rigor required for nuclear safety analysis and review, the level of authority required to authorize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launch or reentry, the degree of interagency coordination warranted, the degree of RCP needed, and several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other relevant characteristics are all a function of the mission categorization described in the previous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chapter. This formulation provides a graded and risk-informed approach to supporting the decision-making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process. Table 1 provides a mapping of the various required characteristics for each of the differing possible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tiers and categories. This chapter provides the actual requirements associated with each unique element.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Appendix E provides a notional process flow for nuclear flight safety-related activities. </w:t>
      </w:r>
    </w:p>
    <w:p>
      <w:pPr>
        <w:autoSpaceDN w:val="0"/>
        <w:autoSpaceDE w:val="0"/>
        <w:widowControl/>
        <w:spacing w:line="398" w:lineRule="exact" w:before="268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4.2 Nuclear Safety Analysis</w:t>
      </w:r>
    </w:p>
    <w:p>
      <w:pPr>
        <w:autoSpaceDN w:val="0"/>
        <w:autoSpaceDE w:val="0"/>
        <w:widowControl/>
        <w:spacing w:line="260" w:lineRule="exact" w:before="274" w:after="0"/>
        <w:ind w:left="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 The following requirements apply to the development of a nuclear safety analysis via either a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 or a Safety Analysis Summary (SAS), in accordance with Table 1. As discussed in the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definitions in Appendix A, the distinction between these two documents is the degree of rigor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quantification. Additional contextual information is also provided in Appendix C. </w:t>
      </w:r>
    </w:p>
    <w:p>
      <w:pPr>
        <w:autoSpaceDN w:val="0"/>
        <w:autoSpaceDE w:val="0"/>
        <w:widowControl/>
        <w:spacing w:line="260" w:lineRule="exact" w:before="1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4.2.1.1 The NASA Program or Project Manager shall compile the inputs required by the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preparer (e.g., information about the launch vehicle and launch operations) in a timely manner to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analysis preparation, as well as ensuring any needed revisions are addressed as the mission progresses. </w:t>
      </w:r>
    </w:p>
    <w:p>
      <w:pPr>
        <w:autoSpaceDN w:val="0"/>
        <w:autoSpaceDE w:val="0"/>
        <w:widowControl/>
        <w:spacing w:line="260" w:lineRule="exact" w:before="180" w:after="0"/>
        <w:ind w:left="1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4.2.1.2 The NASA Program or Project Manager shall arrange for the preparation of the nuclear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(SAS or mission SAR) by the safety analysis preparer. </w:t>
      </w:r>
    </w:p>
    <w:p>
      <w:pPr>
        <w:autoSpaceDN w:val="0"/>
        <w:autoSpaceDE w:val="0"/>
        <w:widowControl/>
        <w:spacing w:line="260" w:lineRule="exact" w:before="1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4.2.1.3 The NASA Program or Project Manager should ensure sufficient coordination between the NFSO,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INSRB (when applicable), the program, the launch vehicle inputs provider, and the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preparer, including agreement to a schedule (typically to be developed prior to Key Decision Point C or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equivalent) for the delivery of a mission SAR using a phased approach, with the complete final mission SAR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being delivered in accordance with the timeline listed in Table 1. Information potentially useful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generation of this schedule is provided in Appendix C and Appendix E. </w:t>
      </w:r>
    </w:p>
    <w:p>
      <w:pPr>
        <w:autoSpaceDN w:val="0"/>
        <w:autoSpaceDE w:val="0"/>
        <w:widowControl/>
        <w:spacing w:line="266" w:lineRule="exact" w:before="174" w:after="206"/>
        <w:ind w:left="14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Table 1. Summary of NASA Nuclear Flight Safety Process Characteristics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514"/>
        <w:gridCol w:w="1514"/>
        <w:gridCol w:w="1514"/>
        <w:gridCol w:w="1514"/>
        <w:gridCol w:w="1514"/>
        <w:gridCol w:w="1514"/>
        <w:gridCol w:w="1514"/>
      </w:tblGrid>
      <w:tr>
        <w:trPr>
          <w:trHeight w:hRule="exact" w:val="722"/>
        </w:trPr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5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576" w:right="57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Space Nuclear Systems (SNS)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NSPM-20</w:t>
            </w:r>
          </w:p>
        </w:tc>
        <w:tc>
          <w:tcPr>
            <w:tcW w:type="dxa" w:w="33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62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Other Missions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Radioactive Material</w:t>
            </w:r>
          </w:p>
        </w:tc>
      </w:tr>
      <w:tr>
        <w:trPr>
          <w:trHeight w:hRule="exact" w:val="1000"/>
        </w:trPr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8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Characteristic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[Section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Cross-Reference]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Tier III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Tier II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Tier I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1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500 to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1,000×A2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1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A2 to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500×A2</w:t>
            </w:r>
          </w:p>
        </w:tc>
        <w:tc>
          <w:tcPr>
            <w:tcW w:type="dxa" w:w="9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A2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10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8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Nuclear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4.2]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SAS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980"/>
        </w:trPr>
        <w:tc>
          <w:tcPr>
            <w:tcW w:type="dxa" w:w="214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8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SAR/SAS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4.2]</w:t>
            </w:r>
          </w:p>
        </w:tc>
        <w:tc>
          <w:tcPr>
            <w:tcW w:type="dxa" w:w="138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12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mos.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58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12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mos.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58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12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mos.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30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 mos.</w:t>
            </w:r>
          </w:p>
          <w:p>
            <w:pPr>
              <w:autoSpaceDN w:val="0"/>
              <w:autoSpaceDE w:val="0"/>
              <w:widowControl/>
              <w:spacing w:line="266" w:lineRule="exact" w:before="1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10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992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98" w:lineRule="exact" w:before="740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410"/>
        <w:gridCol w:w="5410"/>
      </w:tblGrid>
      <w:tr>
        <w:trPr>
          <w:trHeight w:hRule="exact" w:val="25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.0" w:type="dxa"/>
      </w:tblPr>
      <w:tblGrid>
        <w:gridCol w:w="1546"/>
        <w:gridCol w:w="1546"/>
        <w:gridCol w:w="1546"/>
        <w:gridCol w:w="1546"/>
        <w:gridCol w:w="1546"/>
        <w:gridCol w:w="1546"/>
        <w:gridCol w:w="1546"/>
      </w:tblGrid>
      <w:tr>
        <w:trPr>
          <w:trHeight w:hRule="exact" w:val="980"/>
        </w:trPr>
        <w:tc>
          <w:tcPr>
            <w:tcW w:type="dxa" w:w="213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2" w:after="0"/>
              <w:ind w:left="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Nuclear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4.3]</w:t>
            </w:r>
          </w:p>
        </w:tc>
        <w:tc>
          <w:tcPr>
            <w:tcW w:type="dxa" w:w="138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INSRB/SER</w:t>
            </w:r>
          </w:p>
        </w:tc>
        <w:tc>
          <w:tcPr>
            <w:tcW w:type="dxa" w:w="158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INSRB/SER</w:t>
            </w:r>
          </w:p>
        </w:tc>
        <w:tc>
          <w:tcPr>
            <w:tcW w:type="dxa" w:w="158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NFSO/RSR</w:t>
            </w:r>
          </w:p>
        </w:tc>
        <w:tc>
          <w:tcPr>
            <w:tcW w:type="dxa" w:w="130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NFSO/RSR</w:t>
            </w:r>
          </w:p>
        </w:tc>
        <w:tc>
          <w:tcPr>
            <w:tcW w:type="dxa" w:w="110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7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NFSO/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RSR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00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2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SER/RSR Complete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4.3]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 mos.</w:t>
            </w:r>
          </w:p>
          <w:p>
            <w:pPr>
              <w:autoSpaceDN w:val="0"/>
              <w:autoSpaceDE w:val="0"/>
              <w:widowControl/>
              <w:spacing w:line="266" w:lineRule="exact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 mos. PTSLR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8 mos. PTSLR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40" w:lineRule="exact" w:before="372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mos.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mos.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00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 Release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SER/RSR [Section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38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n/a</w:t>
            </w:r>
          </w:p>
        </w:tc>
      </w:tr>
      <w:tr>
        <w:trPr>
          <w:trHeight w:hRule="exact" w:val="100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Agency Views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4.4]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applicable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applicable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</w:tr>
      <w:tr>
        <w:trPr>
          <w:trHeight w:hRule="exact" w:val="100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Launch/Reentry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4.4]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 mos.</w:t>
            </w:r>
          </w:p>
          <w:p>
            <w:pPr>
              <w:autoSpaceDN w:val="0"/>
              <w:autoSpaceDE w:val="0"/>
              <w:widowControl/>
              <w:spacing w:line="266" w:lineRule="exact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 mos. PTSLR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 mos. PTSLR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40" w:lineRule="exact" w:before="512" w:after="0"/>
              <w:ind w:left="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mos.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mos.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 mos.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PTSLR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128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Launch/Reentry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Authority/Concurrer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4.4]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7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President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designee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7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Admin-istrator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7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Admin-istrator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Chief,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SMA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6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NFSO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NFSO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44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RCP [Section 4.5]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</w:tr>
      <w:tr>
        <w:trPr>
          <w:trHeight w:hRule="exact" w:val="100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General Counsel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consultation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4.5]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</w:tr>
      <w:tr>
        <w:trPr>
          <w:trHeight w:hRule="exact" w:val="128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Life-cycle activities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launch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authorization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4.6]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</w:tr>
      <w:tr>
        <w:trPr>
          <w:trHeight w:hRule="exact" w:val="100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NEPA Manager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[Section 4.7]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type="dxa" w:w="2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Annual Reports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OSTP [Section 4.7]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</w:t>
            </w:r>
          </w:p>
        </w:tc>
      </w:tr>
      <w:tr>
        <w:trPr>
          <w:trHeight w:hRule="exact" w:val="2690"/>
        </w:trPr>
        <w:tc>
          <w:tcPr>
            <w:tcW w:type="dxa" w:w="1007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Except where an Office of Safety and Mission Assurance (OSMA)-issued categorical relief is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applied.</w:t>
            </w:r>
          </w:p>
          <w:p>
            <w:pPr>
              <w:autoSpaceDN w:val="0"/>
              <w:autoSpaceDE w:val="0"/>
              <w:widowControl/>
              <w:spacing w:line="280" w:lineRule="exact" w:before="280" w:after="0"/>
              <w:ind w:left="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This value was informed based on interagency discussions. An effort is underway to develop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quantitative technical basis for this threshold, which would be reflected in a future revision of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directive.</w:t>
            </w:r>
          </w:p>
          <w:p>
            <w:pPr>
              <w:autoSpaceDN w:val="0"/>
              <w:autoSpaceDE w:val="0"/>
              <w:widowControl/>
              <w:spacing w:line="280" w:lineRule="exact" w:before="280" w:after="0"/>
              <w:ind w:left="9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PTSLR = Prior to scheduled launch or reentry; RCP = Radiological contingency planning; RSR =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Radiological Safety Review; these and other acronyms are provided in Appendix B.</w:t>
            </w:r>
          </w:p>
        </w:tc>
      </w:tr>
    </w:tbl>
    <w:p>
      <w:pPr>
        <w:autoSpaceDN w:val="0"/>
        <w:autoSpaceDE w:val="0"/>
        <w:widowControl/>
        <w:spacing w:line="198" w:lineRule="exact" w:before="840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17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53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4.2.1.4 In all cases in which a comparative analysis is being utilized (e.g., a system-specific SAR), the NASA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 or Project Manager shall obtain from the safety analysis preparer and any separate entity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 for launch vehicle inputs, an assessment of the gaps and evaluation findings identified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 analyses (and its reviews) relative to improvements in the state-of-knowledge in the intervening time,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 to adopting a comparative analysis approach. Additional information is provided in Appendix C. </w:t>
      </w:r>
    </w:p>
    <w:p>
      <w:pPr>
        <w:autoSpaceDN w:val="0"/>
        <w:autoSpaceDE w:val="0"/>
        <w:widowControl/>
        <w:spacing w:line="398" w:lineRule="exact" w:before="26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4.3 Nuclear Safety Review</w:t>
      </w:r>
    </w:p>
    <w:p>
      <w:pPr>
        <w:autoSpaceDN w:val="0"/>
        <w:autoSpaceDE w:val="0"/>
        <w:widowControl/>
        <w:spacing w:line="260" w:lineRule="exact" w:before="274" w:after="0"/>
        <w:ind w:left="12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 The following requirements apply to Tier II and Tier III missions, which for NASA-sponsored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missions require an INSRB review and SER, in accordance with NSPM-20: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4.3.1.1 The NASA Program or Project Manager shall engage the INSRB early in the safety analysis process,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typically to occur prior to Key Decision Point C and after the conceptual design of the mission is generated,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NSPM-20’s requirement for INSRB engagement early in the safety analysis process.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4.3.1.2 The NASA Program or Project Manager, with concurrence by the INSRB, the Chief, SMA,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cognizant MDAA, shall document the terms of the INSRB review, including any estimated costs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review. Given NSPM-20 requires the terms and costs of such a review to be agreed to by the NASA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Administrator and the head of the agency requesting the review, for NASA internal missions the terms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costs of the INSRB review need the concurrence of the Chief, SMA and the applicable MDAA.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4.3.1.3 The NASA INSRB representative may, as the designated interface between the INSRB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NASA mission, provide recommendations to the NASA Program or Project Manager on areas for additional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when gaps are identified, and do so in a timeframe that allows mission planners to address them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creating unnecessary delays in the launch timeline, in accordance with NSPM-20. </w:t>
      </w:r>
    </w:p>
    <w:p>
      <w:pPr>
        <w:autoSpaceDN w:val="0"/>
        <w:autoSpaceDE w:val="0"/>
        <w:widowControl/>
        <w:spacing w:line="26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4.3.1.4 The NASA INSRB representative shall, as the designated interface between the INSRB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NASA mission, ensure that any omissions or gaps identified by the INSRB during review of a NASA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mission, along with any recommendations for corrective actions, are provided to the NASA Administrator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(or their designee) prior to completion of the mission SAR, in accordance with NSPM-20.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4.3.1.5 The NASA INSRB representative shall, in coordination with the INSRB, ensure that the SER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ready in the timeframe identified in Table 1, and that a publicly-available Executive Summary is produced. </w:t>
      </w:r>
    </w:p>
    <w:p>
      <w:pPr>
        <w:autoSpaceDN w:val="0"/>
        <w:autoSpaceDE w:val="0"/>
        <w:widowControl/>
        <w:spacing w:line="26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4.3.2 The following requirements apply to Tier I missions and other (non-tiered) missions with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 requiring a nuclear safety review as specified in Table 1; in these cases the nuclear safety review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takes the form of an RSR (described in Appendix A). </w:t>
      </w:r>
    </w:p>
    <w:p>
      <w:pPr>
        <w:autoSpaceDN w:val="0"/>
        <w:autoSpaceDE w:val="0"/>
        <w:widowControl/>
        <w:spacing w:line="260" w:lineRule="exact" w:before="180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4.3.2.1 The NFSO shall perform a Radiological Safety Review (RSR), to include a publicly-available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Executive Summary, in accordance with the timeframe identified in Table 1. Appendix A describes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form of the RSR. </w:t>
      </w:r>
    </w:p>
    <w:p>
      <w:pPr>
        <w:autoSpaceDN w:val="0"/>
        <w:autoSpaceDE w:val="0"/>
        <w:widowControl/>
        <w:spacing w:line="26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4.3.2.2 For Tier I missions only, the NASA Program or Project Manager, in coordination with the NFSO,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shall ensure that significant gaps in the safety analysis are identified and provided to the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preparer, prior to mission SAR completion. </w:t>
      </w:r>
    </w:p>
    <w:p>
      <w:pPr>
        <w:autoSpaceDN w:val="0"/>
        <w:autoSpaceDE w:val="0"/>
        <w:widowControl/>
        <w:spacing w:line="398" w:lineRule="exact" w:before="26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4.4 Launch and Reentry Authorization or Concurrence</w:t>
      </w:r>
    </w:p>
    <w:p>
      <w:pPr>
        <w:autoSpaceDN w:val="0"/>
        <w:autoSpaceDE w:val="0"/>
        <w:widowControl/>
        <w:spacing w:line="260" w:lineRule="exact" w:before="274" w:after="0"/>
        <w:ind w:left="580" w:right="28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Note: The requirements below are intended to work in tandem with the nuclear flight-specific payload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and range safety requirements for the launch and reentry of SNS or other radioactive materials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contained in NPR 8715.5, NPR 8715.7, NASA-STD-8719.24 and NASA STD-8719.25.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4.4.1 The MDAA should request Agency Views (this is the historically-used term, and is defined in</w:t>
      </w:r>
    </w:p>
    <w:p>
      <w:pPr>
        <w:autoSpaceDN w:val="0"/>
        <w:autoSpaceDE w:val="0"/>
        <w:widowControl/>
        <w:spacing w:line="198" w:lineRule="exact" w:before="40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18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35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Appendix A) from the other 6 INSRB-participating agencies for SNS missions in Tiers II or Tier III, if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following conditions exist: (i) the SER concludes that the nuclear safety analysis is of insufficient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to support decision making, (ii) the INSRB has been unable to reach unanimity on the SER contents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formal dissent by an INSRB member is being attached to the SER, or (iii) an agency represented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INSRB has specifically requested the opportunity to provide an Agency View. The MDAA can always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Agency Views of their own volition. In all other cases, the mission SAR and SER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transmitted to the Head of the INSRB agencies (or their designee) as a courtesy, in parallel to proceeding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launch authorization request. </w:t>
      </w:r>
    </w:p>
    <w:p>
      <w:pPr>
        <w:autoSpaceDN w:val="0"/>
        <w:autoSpaceDE w:val="0"/>
        <w:widowControl/>
        <w:spacing w:line="26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4.4.2 Launch and reentry authorization or concurrence (as applicable) is obtained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authorities and timelines indicated in Table 1, and outlined as follows: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4.4.2.1 For SNS in Tier III, the Administrator shall request and obtain the President’s authorization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Director of the OSTP. Per NSPM 20, the Director of OSTP may authorize such launches, unless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 of OSTP considers it advisable to forward the matter to the President for a decision. To support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Administrator’s request, a briefing by the applicable MDAA, the nuclear safety analysis preparer,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INSRB on the mission SAR, the SER, and the radiological contingency plans will be provided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Administrator. If a Tier III mission included a planned return to Earth (reentry or fly-by), that would be part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mission profile addressed by the mission SAR, and thus covered by the launch authorization.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4.4.2.2 For SNS in Tier II, the MDAA shall request and obtain authorization from the NASA Administrator.</w:t>
      </w:r>
    </w:p>
    <w:p>
      <w:pPr>
        <w:autoSpaceDN w:val="0"/>
        <w:autoSpaceDE w:val="0"/>
        <w:widowControl/>
        <w:spacing w:line="260" w:lineRule="exact" w:before="6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authorization request will include a briefing by the applicable MDAA, the nuclear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preparer, and the INSRB on the mission SAR, the SER, and the radiological contingency plans. If a Tier II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included a planned return to Earth (reentry or fly-by), that would be part of the mission profile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addressed by the mission SAR, and thus covered by the launch authorization.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4.4.2.3 For SNS in Tier I, the MDAA shall request and obtain authorization from the NASA Administrator.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authorization request will include a summary of the major findings from the mission SAR and the RSR,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well as information regarding the radiological contingency plans. If a Tier I mission included a planned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return to Earth (reentry or fly-by), that would be part of the mission profile addressed by the mission SAR,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thus covered by the launch authorization.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4.4.2.4 For missions involving radioactive material, but not including an SNS, the MDAA, in consultation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cognizant Center Radiation Safety Officer(s), shall request concurrence from the NFSO or Chief,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 (in accordance with Table 1), except where an Office of Safety and Mission Assurance (OSMA)-issued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categorical relief memo is being applied (in which case only a notification is required). This concurrence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needs to account for radioactive material integrated into the spacecraft as part of mission design,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well as radioactive material that may be included in the launch or reentry (e.g., cargo). When the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involves planned return to Earth (reentry or fly-by), this will be included in the launch concurrence 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will be covered by the launch concurrence. Appendix F provides a suggested format for the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 reporting portion of the request.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4.4.2.5 For any planned return to Earth (reentry or fly-by) of radioactive material not covered by a launch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concurrence (such as return from an orbiting research platform) the NASA Program or Project Manager shall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reentry concurrence in accordance with the analysis, review, and timelines identified in Table 1,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except when an OSMA-issued categorical relief memo is being applied (in which case only a notification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required). </w:t>
      </w:r>
    </w:p>
    <w:p>
      <w:pPr>
        <w:autoSpaceDN w:val="0"/>
        <w:autoSpaceDE w:val="0"/>
        <w:widowControl/>
        <w:spacing w:line="398" w:lineRule="exact" w:before="26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4.5 Contingency Planning and Coordination</w:t>
      </w:r>
    </w:p>
    <w:p>
      <w:pPr>
        <w:autoSpaceDN w:val="0"/>
        <w:autoSpaceDE w:val="0"/>
        <w:widowControl/>
        <w:spacing w:line="260" w:lineRule="exact" w:before="27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4.5.1 For missions designated to require RCP in Table 1, the MDAA as the lead programmatic authority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Center Director affiliated with the applicable range as the lead institutional authority, in coordination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Chief, SMA and the NFSO, shall negotiate and implement a process to assure the safety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public and NASA workforce in the event of a mishap that may create radiological risk, in cooperation with</w:t>
      </w:r>
    </w:p>
    <w:p>
      <w:pPr>
        <w:autoSpaceDN w:val="0"/>
        <w:autoSpaceDE w:val="0"/>
        <w:widowControl/>
        <w:spacing w:line="198" w:lineRule="exact" w:before="24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19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35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and NASA workforce in the event of a mishap that may create radiological risk, in cooperation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OCHMO, OIIR, OPS, the preparer of the nuclear safety analysis used for launch approval, relevant U.S.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government agencies (including explicit Authorities and established Agreements therein, such as ones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DOE), relevant local and State authorities, and international partners.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4.5.2 In developing the process to assure safety in the event of a mishap that may create radiological risk,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MDAA and Center Director should address: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Definition of an appropriate radiological contingency planning risk posture, comparative or otherwise,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 decisions regarding radiological safety.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Development, reporting, independent review, and acceptance by relevant authorities of an assurance case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tailored to the defined radiological contingency planning risk posture substantiating sufficient radiological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 control and mishap preparedness, including the information necessary to make informed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reliable decisions regarding: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Invoking contingency plans (with such plans being developed) to control where the radiological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impact when vehicle or spacecraft control is possible;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Monitoring, assessment, analysis, and communications capabilities sufficient to determine whether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release of radioactive material has occurred, characterize the location and nature of the release, and develop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protective action recommendations for the safety of personnel and the public;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Invoking material recovery plans (with such plans being developed); </w:t>
      </w:r>
    </w:p>
    <w:p>
      <w:pPr>
        <w:autoSpaceDN w:val="0"/>
        <w:autoSpaceDE w:val="0"/>
        <w:widowControl/>
        <w:spacing w:line="26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Disseminating information about the mishap and any recommended protective actions at the local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levels;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Coordinating with the Department of Homeland Security’s FEMA to support Federal-level coordination,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meeting the expectations of the National Response Framework and the Nuclear/Radiological Incident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Annex to the Response and Recovery Federal Interagency Operational Plans (including NASA’s role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Primary Authority, when applicable); </w:t>
      </w:r>
    </w:p>
    <w:p>
      <w:pPr>
        <w:autoSpaceDN w:val="0"/>
        <w:autoSpaceDE w:val="0"/>
        <w:widowControl/>
        <w:spacing w:line="260" w:lineRule="exact" w:before="180" w:after="0"/>
        <w:ind w:left="12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(6) Working in concert with nuclear and other flight safety authorities or licensing entities to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additional relevant requirements therein are being met; </w:t>
      </w:r>
    </w:p>
    <w:p>
      <w:pPr>
        <w:autoSpaceDN w:val="0"/>
        <w:autoSpaceDE w:val="0"/>
        <w:widowControl/>
        <w:spacing w:line="260" w:lineRule="exact" w:before="180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(7) Preparing, obtaining approval of, and issuing communications to the general public and to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partners, via the appropriate communications channels; </w:t>
      </w:r>
    </w:p>
    <w:p>
      <w:pPr>
        <w:autoSpaceDN w:val="0"/>
        <w:autoSpaceDE w:val="0"/>
        <w:widowControl/>
        <w:spacing w:line="260" w:lineRule="exact" w:before="180" w:after="0"/>
        <w:ind w:left="120" w:right="4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Implementation and exercising of the above process, plans, and capabilities, and integration of the above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within the mission-wide mishap preparedness and contingency planning (MPCP) process,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in accordance with NPR 8621.1.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4.5.3 For missions that fall in to NSPM-20 Tier I, II, or III, and for other missions with an A2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greater than 1, the NASA Program or Project Manager should consult with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Counsel to determine if any additional actions need to be taken with respect to alignment on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nuclear/radiological-specific insurance and indemnification provisions. Missions other than those described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above, would generally not warrant this step. </w:t>
      </w:r>
    </w:p>
    <w:p>
      <w:pPr>
        <w:autoSpaceDN w:val="0"/>
        <w:autoSpaceDE w:val="0"/>
        <w:widowControl/>
        <w:spacing w:line="398" w:lineRule="exact" w:before="26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4.6 Life-Cycle Activities Relevant After Launch Authorization</w:t>
      </w:r>
    </w:p>
    <w:p>
      <w:pPr>
        <w:autoSpaceDN w:val="0"/>
        <w:autoSpaceDE w:val="0"/>
        <w:widowControl/>
        <w:spacing w:line="266" w:lineRule="exact" w:before="268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4.6.1 General (Tier I, II, and III missions only)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4.6.1.1 The NASA Program or Project Manager shall incorporate nuclear flight safety considerations starting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program or project formulation through the point at which the SNS or other radioactive material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longer has the potential to affect Earth’s biosphere. Examples of the types of considerations that apply</w:t>
      </w:r>
    </w:p>
    <w:p>
      <w:pPr>
        <w:autoSpaceDN w:val="0"/>
        <w:autoSpaceDE w:val="0"/>
        <w:widowControl/>
        <w:spacing w:line="198" w:lineRule="exact" w:before="28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Chapter4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20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35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include: factoring radiological risk in to the launch vehicle selection process, managing radiation exposure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equipment, managing access to the spacecraft and the SNS, managing SNS maintenance, managing SNS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(when applicable), managing criticality safety, managing SNS malfunctions, biasing aimpoints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Earth gravity assist trajectories, and managing operational procedures and training.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4.6.1.2 The NASA Program or Project Manager, in coordination with the CHMO and the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Directorate with human rating responsibilities, shall address radiation exposures from the SNS into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planning and execution for missions involving crews, or for missions where the SNS is anticipated to come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proximity with crew from other missions.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4.6.2 Lead-up-to-Launch and Post-Launch Operation (Tier I, II, and III missions only)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4.6.2.1 The NFSO should ensure that the results of the nuclear safety analysis and nuclear safety review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factored into SMA oversight after launch authorization, including consideration of the safety guidelines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NSPM-20. Appendix C presents two alternative approaches to accomplishing this best practice.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4.6.3 Decommissioning and Disposal of SNS (Tier I, II, and III missions only) </w:t>
      </w:r>
    </w:p>
    <w:p>
      <w:pPr>
        <w:autoSpaceDN w:val="0"/>
        <w:autoSpaceDE w:val="0"/>
        <w:widowControl/>
        <w:spacing w:line="260" w:lineRule="exact" w:before="180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4.6.3.1 For SNS-enabled missions designed to operate in low Earth orbit, the NASA Program or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Manager shall demonstrate by analysis that the mission design enables for disposal of the SNS 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sufficiently high orbit (as defined in Space Policy Directive-6), including the incorporation of a highly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reliable operational system to ensure effective and controlled disposition of the reactor. </w:t>
      </w:r>
    </w:p>
    <w:p>
      <w:pPr>
        <w:autoSpaceDN w:val="0"/>
        <w:autoSpaceDE w:val="0"/>
        <w:widowControl/>
        <w:spacing w:line="260" w:lineRule="exact" w:before="180" w:after="0"/>
        <w:ind w:left="580" w:right="43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Note: Considerations for fission reactor systems are discussed in Section 3(a)(iii) of Space Policy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Directive-6, dated December 16, 2020. All activities related to safe storage and orbital decay should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involve the Orbital Debris Program Office.</w:t>
      </w:r>
    </w:p>
    <w:p>
      <w:pPr>
        <w:autoSpaceDN w:val="0"/>
        <w:autoSpaceDE w:val="0"/>
        <w:widowControl/>
        <w:spacing w:line="398" w:lineRule="exact" w:before="26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4.7 Internal and External Reporting</w:t>
      </w:r>
    </w:p>
    <w:p>
      <w:pPr>
        <w:autoSpaceDN w:val="0"/>
        <w:autoSpaceDE w:val="0"/>
        <w:widowControl/>
        <w:spacing w:line="260" w:lineRule="exact" w:before="27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4.7.1 The NFSO shall transmit a copy of gap identification documents, the mission SAR or SAS, the SER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RSR, and launch and reentry authorizations or concurrences, as applicable, to the NASA Headquarters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National Environmental Policy Act (NEPA) Manager and the CHMO.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4.7.2 On an annual basis, the NFSO shall provide a report to the Chief, SMA for transmittal to the Director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OSTP listing all launches that the agency has sponsored in the past calendar year of spacecraft using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radioactive sources containing total quantities in the range of 1,000 times to 100,000 times the A2 value (i.e.,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mission multiple calculated in Chapter 3), and listing all such launches planned for the coming calendar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4.7.3 The NFSO shall execute an annual briefing by NASA staff (and relevant interagency stakeholders)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OSTP and the National Science and Technology Council on the status of safety analysis for all planned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NASA-sponsored Tier II or Tier III missions that will involve the launch of an SNS. </w:t>
      </w:r>
    </w:p>
    <w:p>
      <w:pPr>
        <w:autoSpaceDN w:val="0"/>
        <w:autoSpaceDE w:val="0"/>
        <w:widowControl/>
        <w:spacing w:line="198" w:lineRule="exact" w:before="352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Chapter4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Appendix A. Definitions</w:t>
      </w:r>
    </w:p>
    <w:p>
      <w:pPr>
        <w:autoSpaceDN w:val="0"/>
        <w:autoSpaceDE w:val="0"/>
        <w:widowControl/>
        <w:spacing w:line="288" w:lineRule="exact" w:before="336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hyperlink r:id="rId15" w:history="1">
          <w:r>
            <w:rPr>
              <w:rStyle w:val="Hyperlink"/>
            </w:rPr>
            <w:t>A2 valu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hyperlink r:id="rId15" w:history="1">
          <w:r>
            <w:rPr>
              <w:rStyle w:val="Hyperlink"/>
            </w:rPr>
            <w:t xml:space="preserve">e.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 xml:space="preserve">These values are listed in Table 2 of the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6"/>
        </w:rPr>
        <w:hyperlink r:id="rId15" w:history="1">
          <w:r>
            <w:rPr>
              <w:rStyle w:val="Hyperlink"/>
            </w:rPr>
            <w:t xml:space="preserve">IAEA's Specific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6"/>
        </w:rPr>
        <w:hyperlink r:id="rId15" w:history="1">
          <w:r>
            <w:rPr>
              <w:rStyle w:val="Hyperlink"/>
            </w:rPr>
            <w:t>Safety Requirements No.</w:t>
          </w:r>
        </w:hyperlink>
      </w:r>
    </w:p>
    <w:p>
      <w:pPr>
        <w:autoSpaceDN w:val="0"/>
        <w:autoSpaceDE w:val="0"/>
        <w:widowControl/>
        <w:spacing w:line="280" w:lineRule="exact" w:before="8" w:after="0"/>
        <w:ind w:left="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5" w:history="1">
          <w:r>
            <w:rPr>
              <w:rStyle w:val="Hyperlink"/>
            </w:rPr>
            <w:t xml:space="preserve">SSR–6, </w:t>
          </w:r>
        </w:hyperlink>
      </w:r>
      <w:r>
        <w:rPr>
          <w:rFonts w:ascii="TimesNewRomanPS" w:hAnsi="TimesNewRomanPS" w:eastAsia="TimesNewRomanPS"/>
          <w:b w:val="0"/>
          <w:i/>
          <w:color w:val="0000FF"/>
          <w:sz w:val="26"/>
          <w:u w:val="single"/>
        </w:rPr>
        <w:hyperlink r:id="rId15" w:history="1">
          <w:r>
            <w:rPr>
              <w:rStyle w:val="Hyperlink"/>
            </w:rPr>
            <w:t>Regulations for the Safe Transport of Radi</w:t>
          </w:r>
        </w:hyperlink>
      </w:r>
      <w:r>
        <w:rPr>
          <w:rFonts w:ascii="TimesNewRomanPS" w:hAnsi="TimesNewRomanPS" w:eastAsia="TimesNewRomanPS"/>
          <w:b w:val="0"/>
          <w:i/>
          <w:color w:val="0000FF"/>
          <w:sz w:val="26"/>
          <w:u w:val="single"/>
        </w:rPr>
        <w:hyperlink r:id="rId15" w:history="1">
          <w:r>
            <w:rPr>
              <w:rStyle w:val="Hyperlink"/>
            </w:rPr>
            <w:t>oactive Material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 xml:space="preserve"> (Source: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>https://n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>ucleus-apps.iaea.org/nss-oui/collections/publishedcollectio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ns); the current version is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2018 Edition; “A2 will mean the activity value of radioactive material, other than special form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material, that is listed in Table 2 or derived in Section IV and is used to determine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activity limits for the requirements of these Regulations.” </w:t>
      </w:r>
    </w:p>
    <w:p>
      <w:pPr>
        <w:autoSpaceDN w:val="0"/>
        <w:autoSpaceDE w:val="0"/>
        <w:widowControl/>
        <w:spacing w:line="280" w:lineRule="exact" w:before="180" w:after="0"/>
        <w:ind w:left="1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A2 mission multiple.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 measure of the amount of radioactive “material at-risk,” relative to 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IAEA standard used for land, sea, and air transport. </w:t>
      </w:r>
    </w:p>
    <w:p>
      <w:pPr>
        <w:autoSpaceDN w:val="0"/>
        <w:autoSpaceDE w:val="0"/>
        <w:widowControl/>
        <w:spacing w:line="280" w:lineRule="exact" w:before="18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Agency views.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refers to a formal process of transmitting the mission SAR and SER to the Head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an INSRB-participating organization and requesting any feedback that the Agency Head wishes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be integrated into the launch authorization decision. </w:t>
      </w:r>
    </w:p>
    <w:p>
      <w:pPr>
        <w:autoSpaceDN w:val="0"/>
        <w:autoSpaceDE w:val="0"/>
        <w:widowControl/>
        <w:spacing w:line="280" w:lineRule="exact" w:before="180" w:after="0"/>
        <w:ind w:left="1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Categorical relief.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memorandum co-issued by the Chief, SMA and CHMO, which outlines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conditions where OSMA nuclear flight safety concurrence is not required owing to the small degree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radiological risk of the mission relative to the assurance provided through NASA’s routine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oversight of the handling of radioactive materials, and separately, of payload and range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activities. When a launch or reentry meets these prescribed conditions, a waiver is not required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any requirements in this directive that specifically states inapplicability upon the invocation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categorical relief (a.k.a., a blanket concurrence). </w:t>
      </w:r>
    </w:p>
    <w:p>
      <w:pPr>
        <w:autoSpaceDN w:val="0"/>
        <w:autoSpaceDE w:val="0"/>
        <w:widowControl/>
        <w:spacing w:line="280" w:lineRule="exact" w:before="18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Launch activities.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launch phase begins when the spacecraft transfers to internal power and ends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when the spacecraft achieves an operational configuration after separation from the launch vehicle. </w:t>
      </w:r>
    </w:p>
    <w:p>
      <w:pPr>
        <w:autoSpaceDN w:val="0"/>
        <w:autoSpaceDE w:val="0"/>
        <w:widowControl/>
        <w:spacing w:line="280" w:lineRule="exact" w:before="180" w:after="0"/>
        <w:ind w:left="1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Member of the public.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term is defined on an analysis-specific basis as follows: (i) primary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consideration should be given to the distinction between public and non-public as it is codified for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applicable range; (ii) barring this, the codified policy of the applicable nuclear safety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(DOE or Nuclear Regulatory Commission (NRC)) will be used. </w:t>
      </w:r>
    </w:p>
    <w:p>
      <w:pPr>
        <w:autoSpaceDN w:val="0"/>
        <w:autoSpaceDE w:val="0"/>
        <w:widowControl/>
        <w:spacing w:line="280" w:lineRule="exact" w:before="18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Nuclear safety.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Application of safety policies, principles, and techniques to ensure the control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containment of radioactive material to minimize adverse impacts from accidents that could endanger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life or cause property damage. Assessing and managing radiological risk is an important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nuclear safety; however, nuclear safety also encompasses aspects (e.g., RCP, modeling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uncertainty) that may not be explicitly modeled in the radiological risk assessment. </w:t>
      </w:r>
    </w:p>
    <w:p>
      <w:pPr>
        <w:autoSpaceDN w:val="0"/>
        <w:autoSpaceDE w:val="0"/>
        <w:widowControl/>
        <w:spacing w:line="280" w:lineRule="exact" w:before="180" w:after="0"/>
        <w:ind w:left="1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Pre-launch activities.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Defined to start at the earliest stage of launch vehicle integrated operations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where a hazard (e.g., crane failure, fire) would exist for credible accidents to cause the uncontrolled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release of radioactivity. </w:t>
      </w:r>
    </w:p>
    <w:p>
      <w:pPr>
        <w:autoSpaceDN w:val="0"/>
        <w:autoSpaceDE w:val="0"/>
        <w:widowControl/>
        <w:spacing w:line="280" w:lineRule="exact" w:before="18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Radioactive material.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In the context of this document, this refers specifically to radioisotopes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contained in a payload that undergo radioactive decay, and in so doing produces alpha particles, beta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particles, gamma rays, x-rays, neutrons, high-speed electrons, high-speed protons, or other particles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capable of producing ions (i.e., ionizing radiation). The term is used differently than space nuclear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systems, to denote material that typically has smaller quantities of radioisotopes and are typically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form without engineered safety features. </w:t>
      </w:r>
    </w:p>
    <w:p>
      <w:pPr>
        <w:autoSpaceDN w:val="0"/>
        <w:autoSpaceDE w:val="0"/>
        <w:widowControl/>
        <w:spacing w:line="288" w:lineRule="exact" w:before="172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Radiological Control Center (RADCC).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RADCC is an onsite operational control center at</w:t>
      </w:r>
    </w:p>
    <w:p>
      <w:pPr>
        <w:autoSpaceDN w:val="0"/>
        <w:autoSpaceDE w:val="0"/>
        <w:widowControl/>
        <w:spacing w:line="198" w:lineRule="exact" w:before="344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AppendixA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22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Kennedy Space Center staffed by NASA, DOE, Range personnel, and other Federal, State, and local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management organizations to manage data collection and assessment (typically called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Data Assessment Center, or DAC), provide management decisions for radiological matters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(typically called the Primary Authority Representative Management Group, or PMG) and oversee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public information and messaging (typically called the Joint Information Center, or JIC).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Radiological risk.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 the context of this directive, this term refers to the application of risk concepts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(see Risk) to assess the potential impacts of postulated accident scenarios that result in release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radiological material. This assessment typically analyzes some combination of human health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exposures (via applicable exposure pathways), impacts on land use, and impacts on property use.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These differing impacts are often inter-related (e.g., land interdiction assumptions may balance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impacts on land use against the dose received through specific exposure pathways). The scope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impacts considered is typically proportional to the radiological risk.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Radiological Safety Review (RSR).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 review of a planned launch or return to Earth (fly-by 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reentry) of radioactive material (sometimes evaluating a nuclear safety analysis and sometimes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serving as a stand-alone nuclear flight safety review) that qualitatively or semi-quantitatively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addresses the radiological risk of the mission, by describing the form and quantity of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 being launched or reentered, describing the relevant mission profile, providing an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the probabilities of launch and in-flight accidents which could result in the terrestrial release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radioactive materials (surface and air), providing a realistic and a pessimistically-biased estimate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health and other effects due to a radioactive material release in the considered accident scenarios,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providing mission-specific information that would be relevant for contingency planning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 recovery. The scope and depth of the RSR would be tailored and scaled to the risk,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would be less intensive than the effort needed to develop a SER.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Range safety.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Application of safety policies, principles, and techniques to protect the public, NASA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workforce, and/or property from hazards associated with range flight operations. Additionally,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term “Range Safety” is informally used to refer to the organization responsible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implementing/enforcing range safety requirements.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Risk.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consideration of (a) scenarios leading to undesired outcomes, (b) the likelihood of these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scenarios, and (c) the consequences, impact, or severity of the impact that would result if those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scenarios were to occur. Within a probabilistic risk assessment framework, a primary representation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of risk is the product of the likelihood of occurrence and the associated consequence, aggregated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across all modeled scenarios. A separate representation of risk involves the tabulation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probability of exceeding a given consequence at a specified value (or range of values) using 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complementary cumulative distribution function. In both uses, uncertainty is customarily treated.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Safety Analysis Report (SAR).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study of credible potential releases of radioactive material into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biosphere, often founded in a probabilistic risk assessment that: (a) uses launch vehicle accident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probabilities and accident environment data as inputs to analysis tools that estimate the probabilities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and magnitudes of postulated radiological releases, (b) predicts transport through and deposition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environment, (c) estimates accident impacts, and (d) evaluates the variability and uncertainty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estimates, including gaps in knowledge (i.e., missing or incomplete information) that could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impact the calculated estimates. Such a study may be system-specific (i.e., a system specific SAR)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 within the context of a mission (i.e., a mission SAR), As described in NSPM-20,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system-specific SAR establishes a safety basis (a set of conditions under which safety analysis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hazard controls provide assurance of safe operation). To leverage this system-specific SAR,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mission SAR must either (i) demonstrate that the mission is within the safety basis envelope or (ii)</w:t>
      </w:r>
    </w:p>
    <w:p>
      <w:pPr>
        <w:autoSpaceDN w:val="0"/>
        <w:autoSpaceDE w:val="0"/>
        <w:widowControl/>
        <w:spacing w:line="198" w:lineRule="exact" w:before="46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AppendixA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23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80" w:lineRule="exact" w:before="358" w:after="0"/>
        <w:ind w:left="1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include supplemental safety analysis for any deviations that are outside of the established safety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basis envelope.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Safety Analysis Summary (SAS).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Relative to a SAR, a SAS is typically not a probabilistic risk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assessment, but rather a quantitative screening analysis resulting in a conservatively-biased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assessment of the radiological risk of launching or reentering smaller sources. The SAS provides 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description of the radioactive materials, their physical state/chemical form, quantities involved,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mission profile information, the probabilities of potential launch vehicle and spacecraft failures,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resulting accident impacts, and a characterization of the associated radiological risk. The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detail (including the degree of realism sought through validation of the physical models used)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should be commensurate with the anticipated radiological risk based upon relevant past radiological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analyses.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Safety Evaluation Report (SER).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The product of an INSRB review which documents the INSRB’s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findings to the head of the sponsoring agency or the Secretary of Transportation in order to inform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decision to proceed with launch and, for Tier III missions, inform any decision to request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Presidential launch authorization. </w:t>
      </w:r>
    </w:p>
    <w:p>
      <w:pPr>
        <w:autoSpaceDN w:val="0"/>
        <w:autoSpaceDE w:val="0"/>
        <w:widowControl/>
        <w:spacing w:line="280" w:lineRule="exact" w:before="180" w:after="0"/>
        <w:ind w:left="1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Space Nuclear System (SNS).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This term is used here to include devices using radioactive 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fissioning material, typically with engineered safety features relevant to launch and flight. It includes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radioisotope power systems (RPSs), such as radioisotope thermoelectric generators (RTGs)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radioisotope heater units (RHUs), and fission reactors used for power and propulsion. </w:t>
      </w:r>
    </w:p>
    <w:p>
      <w:pPr>
        <w:autoSpaceDN w:val="0"/>
        <w:autoSpaceDE w:val="0"/>
        <w:widowControl/>
        <w:spacing w:line="280" w:lineRule="exact" w:before="180" w:after="0"/>
        <w:ind w:left="12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Tiers.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The terms Tier I, Tier II, and Tier III relate to very specific criteria that are described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NSPM-20 and discussed further in Appendix C here. In the present document, an un-tiered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 one that does not meet the criteria of Tier I, II, or III and relates to the flight of radioactive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 other than a space nuclear system. </w:t>
      </w:r>
    </w:p>
    <w:p>
      <w:pPr>
        <w:autoSpaceDN w:val="0"/>
        <w:autoSpaceDE w:val="0"/>
        <w:widowControl/>
        <w:spacing w:line="198" w:lineRule="exact" w:before="680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AppendixA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60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24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35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Appendix B. Acronyms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95"/>
        <w:gridCol w:w="5295"/>
      </w:tblGrid>
      <w:tr>
        <w:trPr>
          <w:trHeight w:hRule="exact" w:val="36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CHMO</w:t>
            </w:r>
          </w:p>
          <w:p>
            <w:pPr>
              <w:autoSpaceDN w:val="0"/>
              <w:autoSpaceDE w:val="0"/>
              <w:widowControl/>
              <w:spacing w:line="288" w:lineRule="exact" w:before="2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DOE</w:t>
            </w:r>
          </w:p>
          <w:p>
            <w:pPr>
              <w:autoSpaceDN w:val="0"/>
              <w:autoSpaceDE w:val="0"/>
              <w:widowControl/>
              <w:spacing w:line="420" w:lineRule="exact" w:before="160" w:after="0"/>
              <w:ind w:left="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EOC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FAA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FEMA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IAEA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INSRB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6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Chief Health and Medical Officer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The United States Department of Energy, including the National Nuclear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Administration (NNSA)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Emergency Operations Center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Federal Aviation Administration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Federal Emergency Management Agency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Final Tier Determination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International Atomic Energy Agency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Interagency Nuclear Safety Review Board</w:t>
            </w:r>
          </w:p>
        </w:tc>
      </w:tr>
    </w:tbl>
    <w:p>
      <w:pPr>
        <w:autoSpaceDN w:val="0"/>
        <w:tabs>
          <w:tab w:pos="1160" w:val="left"/>
        </w:tabs>
        <w:autoSpaceDE w:val="0"/>
        <w:widowControl/>
        <w:spacing w:line="414" w:lineRule="exact" w:before="0" w:after="72"/>
        <w:ind w:left="60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LWRHU Light-weight radioisotope heater unit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MDAA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Mission Directorate Associate Administrator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MDR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Mission Definition Review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MMRTG Multi-mission radioisotope thermoelectric generator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NEPA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National Environmental Policy 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NFSO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Nuclear Flight Safety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NRC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 Nuclear Regulatory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NSPM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National Security Presidential Memorandum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OCHMO Office of the Chief Health and Medical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95"/>
        <w:gridCol w:w="5295"/>
      </w:tblGrid>
      <w:tr>
        <w:trPr>
          <w:trHeight w:hRule="exact" w:val="36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OIIR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OSMA</w:t>
            </w:r>
          </w:p>
          <w:p>
            <w:pPr>
              <w:autoSpaceDN w:val="0"/>
              <w:autoSpaceDE w:val="0"/>
              <w:widowControl/>
              <w:spacing w:line="288" w:lineRule="exact" w:before="2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OSTP</w:t>
            </w:r>
          </w:p>
          <w:p>
            <w:pPr>
              <w:autoSpaceDN w:val="0"/>
              <w:autoSpaceDE w:val="0"/>
              <w:widowControl/>
              <w:spacing w:line="420" w:lineRule="exact" w:before="160" w:after="0"/>
              <w:ind w:left="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PFTD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PSWG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PTSLR</w:t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6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Office of International and Interagency Relations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Office of Protective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Office of Safety and Mission Assurance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Office of Science and Technology Policy (OSTP), the Executive Office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President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Provisional Final Tier Determination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Payload Safety Working Group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Preliminary Tier Determination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Prior to scheduled launch or reentry</w:t>
            </w:r>
          </w:p>
        </w:tc>
      </w:tr>
    </w:tbl>
    <w:p>
      <w:pPr>
        <w:autoSpaceDN w:val="0"/>
        <w:tabs>
          <w:tab w:pos="1160" w:val="left"/>
        </w:tabs>
        <w:autoSpaceDE w:val="0"/>
        <w:widowControl/>
        <w:spacing w:line="400" w:lineRule="exact" w:before="0" w:after="0"/>
        <w:ind w:left="6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RADCC Radiological Control Center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RCP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Radiological contingency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RHU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Radioisotope heater unit</w:t>
      </w:r>
    </w:p>
    <w:p>
      <w:pPr>
        <w:autoSpaceDN w:val="0"/>
        <w:autoSpaceDE w:val="0"/>
        <w:widowControl/>
        <w:spacing w:line="198" w:lineRule="exact" w:before="584" w:after="2"/>
        <w:ind w:left="2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30"/>
        <w:gridCol w:w="3530"/>
        <w:gridCol w:w="3530"/>
      </w:tblGrid>
      <w:tr>
        <w:trPr>
          <w:trHeight w:hRule="exact" w:val="18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AppendixB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0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400"/>
        </w:trPr>
        <w:tc>
          <w:tcPr>
            <w:tcW w:type="dxa" w:w="7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AppendixB</w:t>
            </w:r>
          </w:p>
        </w:tc>
        <w:tc>
          <w:tcPr>
            <w:tcW w:type="dxa" w:w="3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5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RPS</w:t>
            </w:r>
          </w:p>
        </w:tc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Radioisotope Power System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RSR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Radiological Safety Review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RTG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Radioisotope thermoelectric generator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SAR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Safety Analysis Review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SAS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Safety Analysis Summary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SDR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System Definition Review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SER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Safety Evaluation Report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SMA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Safety and Mission Assurance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SMSR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Safety and Mission Success Review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SNS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space nuclear system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TA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Technical Authority</w:t>
            </w:r>
          </w:p>
        </w:tc>
        <w:tc>
          <w:tcPr>
            <w:tcW w:type="dxa" w:w="36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TED </w:t>
            </w:r>
          </w:p>
        </w:tc>
        <w:tc>
          <w:tcPr>
            <w:tcW w:type="dxa" w:w="6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Total effective dose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8924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AppendixB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26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20" w:lineRule="exact" w:before="526" w:after="0"/>
        <w:ind w:left="1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8"/>
        </w:rPr>
        <w:t xml:space="preserve">Appendix C. Additional Information Regarding </w:t>
      </w:r>
      <w:r>
        <w:rPr>
          <w:rFonts w:ascii="TimesNewRomanPS" w:hAnsi="TimesNewRomanPS" w:eastAsia="TimesNewRomanPS"/>
          <w:b/>
          <w:i w:val="0"/>
          <w:color w:val="000000"/>
          <w:sz w:val="48"/>
        </w:rPr>
        <w:t>NSPM-20 and Nuclear Flight Safety</w:t>
      </w:r>
    </w:p>
    <w:p>
      <w:pPr>
        <w:autoSpaceDN w:val="0"/>
        <w:autoSpaceDE w:val="0"/>
        <w:widowControl/>
        <w:spacing w:line="260" w:lineRule="exact" w:before="328" w:after="0"/>
        <w:ind w:left="0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 The following additional information is provided pertaining to NSPM-20, relative to the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contained in Chapter 3. . This is clarifying information and does not contain any additional requirements. </w:t>
      </w:r>
    </w:p>
    <w:p>
      <w:pPr>
        <w:autoSpaceDN w:val="0"/>
        <w:autoSpaceDE w:val="0"/>
        <w:widowControl/>
        <w:spacing w:line="260" w:lineRule="exact" w:before="180" w:after="0"/>
        <w:ind w:left="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C.1.1 NSPM-20 sets tier boundaries based on material-at-risk, technology, and radiological risk estimates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stemming from the nuclear safety analysis, with the ultimate tier depending on a combination of factors.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Therefore, final determinations are made after completion of the nuclear safety analysis. However,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of safety analysis review depend on the tier, and so earlier evaluation of the likely tiering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 is also needed. Figure 1 provides an illustration of the NSPM-20 tiering criteria, while Table 2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provides a tabular capturing of the same criteria. </w:t>
      </w:r>
    </w:p>
    <w:p>
      <w:pPr>
        <w:autoSpaceDN w:val="0"/>
        <w:autoSpaceDE w:val="0"/>
        <w:widowControl/>
        <w:spacing w:line="266" w:lineRule="exact" w:before="1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Figure 1: Illustration Showing NSPM-20 Tiering Factors </w:t>
      </w:r>
    </w:p>
    <w:p>
      <w:pPr>
        <w:autoSpaceDN w:val="0"/>
        <w:autoSpaceDE w:val="0"/>
        <w:widowControl/>
        <w:spacing w:line="180" w:lineRule="exact" w:before="186" w:after="0"/>
        <w:ind w:left="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(LWRHU = Light-weight radioisotope heater unit; MMRTG = Multi-mission radioisotope thermoelectric generator; SAR = Safety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Report; SER = Safety Evaluation Report; SNS = Space nuclear system)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18300" cy="3695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69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66" w:after="20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Table 2: NSPM-20 Tiering Criteria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.999999999999943" w:type="dxa"/>
      </w:tblPr>
      <w:tblGrid>
        <w:gridCol w:w="5305"/>
        <w:gridCol w:w="5305"/>
      </w:tblGrid>
      <w:tr>
        <w:trPr>
          <w:trHeight w:hRule="exact" w:val="4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Tier</w:t>
            </w:r>
          </w:p>
        </w:tc>
        <w:tc>
          <w:tcPr>
            <w:tcW w:type="dxa" w:w="8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 for Space Nuclear Systems</w:t>
            </w:r>
          </w:p>
        </w:tc>
      </w:tr>
      <w:tr>
        <w:trPr>
          <w:trHeight w:hRule="exact" w:val="705"/>
        </w:trPr>
        <w:tc>
          <w:tcPr>
            <w:tcW w:type="dxa" w:w="68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6" w:after="0"/>
              <w:ind w:left="8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</w:p>
        </w:tc>
        <w:tc>
          <w:tcPr>
            <w:tcW w:type="dxa" w:w="8694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 Quantity of radioactive material is = 1,000×A2 but = 100,000×A2</w:t>
            </w:r>
          </w:p>
        </w:tc>
      </w:tr>
    </w:tbl>
    <w:p>
      <w:pPr>
        <w:autoSpaceDN w:val="0"/>
        <w:autoSpaceDE w:val="0"/>
        <w:widowControl/>
        <w:spacing w:line="198" w:lineRule="exact" w:before="1580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7"/>
        <w:gridCol w:w="3537"/>
        <w:gridCol w:w="3537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AppendixC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0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410"/>
        <w:gridCol w:w="5410"/>
      </w:tblGrid>
      <w:tr>
        <w:trPr>
          <w:trHeight w:hRule="exact" w:val="25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AppendixC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.0" w:type="dxa"/>
      </w:tblPr>
      <w:tblGrid>
        <w:gridCol w:w="5410"/>
        <w:gridCol w:w="5410"/>
      </w:tblGrid>
      <w:tr>
        <w:trPr>
          <w:trHeight w:hRule="exact" w:val="2105"/>
        </w:trPr>
        <w:tc>
          <w:tcPr>
            <w:tcW w:type="dxa" w:w="674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2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870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2" w:after="0"/>
              <w:ind w:left="9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 Quantity of radioactive material is &gt; 100,000×A2, or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Any Tier I launches where the associated safety analyses determine that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probability of an accident during launch or subsequent operation resulting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exposure in the range of 5 rem to 25 rem total effective dose (TED) to any member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public is equal to or greater than 1 in 1,000,000, or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Nuclear fission systems and other devise with a potential for criticality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low-enriched uranium.</w:t>
            </w:r>
          </w:p>
        </w:tc>
      </w:tr>
      <w:tr>
        <w:trPr>
          <w:trHeight w:hRule="exact" w:val="1849"/>
        </w:trPr>
        <w:tc>
          <w:tcPr>
            <w:tcW w:type="dxa" w:w="6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8" w:after="0"/>
              <w:ind w:left="9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III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Any spacecraft containing a space nuclear system for which the associated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analyses determine that the probability of an accident during launch or subsequent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operation resulting in an exposure in excess of 25 rem TED to any member of the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equal to or greater than 1 in 1,000,000, or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Nuclear fission systems and other devices with a potential for criticality where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systems utilize any nuclear fuel other than low-enriched uranium.</w:t>
            </w:r>
          </w:p>
        </w:tc>
      </w:tr>
    </w:tbl>
    <w:p>
      <w:pPr>
        <w:autoSpaceDN w:val="0"/>
        <w:autoSpaceDE w:val="0"/>
        <w:widowControl/>
        <w:spacing w:line="266" w:lineRule="exact" w:before="202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C.1.2 A few features of NSPM-20 implementation within this directive warrant elaboration.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C.1.2.1 NSPM-20 clearly states in Section 1 that it "updates the process for launches of spacecraft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containing space nuclear systems," while later using the terminology "radioactive sources" in the definitions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Tier I and Tier II. In this directive, NSPM-20 is only applied to SNS (with the expectation that no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payload would have an A2 mission multiple greater than 1,000), while the nuclear safety analysis would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need to consider any additional radioactive material in the payload (in addition to the SNS).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in this directive ensure nuclear flight safety for all other missions.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C.1.2.2 While the term spacecraft is used in both NSPM-20 and this directive, any radioactive material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launch vehicle aside from the spacecraft would need to be considered (acknowledging that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would be atypical for a NASA mission).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C.1.2.3 The lower bound of Tier I is treated to equate to an A2 mission multiple of 1,000. This is effectively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lower end of historical SNS flown and comports with NSPM-20's reporting requirement bounds codified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Section 6 of that document.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C.1.2.4 There is a possibility that an SNS (that is not a fission reactor system) with an A2 mission multiple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less than 1,000 could surpass the NSPM-20 Tier III criterion associated with the probability of an exposure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excess of 25 rem being greater than 1 in 1 million. The tiering approach taken in this directive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addresses this possibility to the extent that it can be reasonably foreseen at the Preliminary Tier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stage. Nevertheless, this is not a situation that is anticipated to occur in practice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contemporary SNS designs, mission profiles, and radiological risk state-of-knowledge. </w:t>
      </w:r>
    </w:p>
    <w:p>
      <w:pPr>
        <w:autoSpaceDN w:val="0"/>
        <w:autoSpaceDE w:val="0"/>
        <w:widowControl/>
        <w:spacing w:line="26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 The following additional information is provided pertaining to nuclear flight safety, relative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contained in Chapter 4. . This is clarifying information and does not contain any additional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C.2.1 The following passages provide contextual information about safety analysis preparation practices.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C.2.1.1 While the details of the SAS or mission SAR schedule will be informed by other guidance,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mutually agreed upon schedule would typically address: the planned analysis schedule; a technical interface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between NASA and the safety analysis preparer; base assumptions, analysis limitations/bounds,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model descriptions associated with the mission SAR or SAS development; and the development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draft or initial mission SAR well in advance of (e.g., one year prior to) the final mission SAR. This,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information, can be captured in a Safety Design Strategy, Safety Architecture, Safety Case,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equivalent product.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C.2.1.2 While the details of the SAS or mission SAR will be informed by other guidance, the scope of the</w:t>
      </w:r>
    </w:p>
    <w:p>
      <w:pPr>
        <w:autoSpaceDN w:val="0"/>
        <w:autoSpaceDE w:val="0"/>
        <w:widowControl/>
        <w:spacing w:line="198" w:lineRule="exact" w:before="28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AppendixC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28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354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SAS or mission SAR activity would typically include pre-launch and launch activities, as well as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phases where the SNS or other radioactive material could result in exposure of a member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in the event of an accident. The consideration of accident impacts would typically be sufficiently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broad to support the nuclear safety review, the nuclear launch or reentry authorization or concurrence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(comparison to NSPM-20's safety guidelines, the specific items described in Section 5(b)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NSPM-20, and mission tiering), range safety uses, mishap preparedness and contingency planning activities,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public risk communications. The mission SAR or SAS would typically utilize a recognized standard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precedent (NRC or DOE guidance, INSRB guidance, a NASA Technical Standard, a consensus standard)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appropriate precedent (e.g., the mission SAR from a contemporary mission with a similar payload),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adjusted as necessary to address the specifics of the SNS context and the mission at-hand, for baselining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contents of the mission SAR.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C.2.1.3 The level of detail and content of the mission SAR or SAS will be commensurate with the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radiological risk. Per NSPM-20, "a mission SAR may incorporate a system-specific SAR that establishes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basis for the space nuclear system," and NSPM-20 goes on to describe this relationship. In cases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launch vehicles, configurations, mission characteristics, and SNS are similar and it is determined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safety analysis and review stakeholders that a comparative analysis will appropriately estimate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radiological risk of the mission, a comparative analysis can be utilized. Radioisotope heater unit (RHU)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radioisotope thermoelectric generator (RTG) risk assessments have demonstrated over time that a fairly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mature understanding of mission phase radiological risk contributions exists for these devices, while also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demonstrating shifts in the relative importance of phenomena associated with both changes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state-of-knowledge (e.g., breach modeling, dispersion modeling) and mission characteristics (e.g., clad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temperature, launch window climatological conditions).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C.2.1.4 Where nuclear or radioactive materials are being provided from multiple sources, MDAAs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a single or multiple safety analysis document(s) to best meet this requirement (e.g., in a case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SNS relies heavily on an existing system-specific SAR while other radioactive material requires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completely new SAS). Depending on the specifics of the circumstances, it may be necessary to justify why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radiological risks can be treated in an additive fashion when using multiple mission SARs. Some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consequence metrics do not scale linearly with the activity of released material.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C.2.2 Regarding insurance and indemnification in the context of radiological incidents, in general, Federal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funding is made available for resulting damages and response costs in accordance with Federal law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or more of the Price-Anderson Act, the Space Act, and the Stafford Act. The final determination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of these, or other authorities, would be used to provide Federal funding in the event of a launch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reentry accident can only be made after-the-fact, based on the specific facts of the actual incident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claims in question. </w:t>
      </w:r>
    </w:p>
    <w:p>
      <w:pPr>
        <w:autoSpaceDN w:val="0"/>
        <w:autoSpaceDE w:val="0"/>
        <w:widowControl/>
        <w:spacing w:line="260" w:lineRule="exact" w:before="180" w:after="0"/>
        <w:ind w:left="12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C.2.3 Regarding SMA oversight following launch authorization, two approaches are suggested below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accomplishing this best practice.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C.2.3.1 Alternative #1 - The NFSO, in coordination with the NASA Program or Project Manager,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Payload Safety Working Group (PSWG) Chair, the Project-Level SMA TA, and the INSRB (when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applicable) can use the results of the nuclear safety analysis and nuclear safety review to construct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nuclear-specific and mission-specific critical analysis assumptions list that would be formally issued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PSWG Chair and relevant SMA TAs, for use within the routine launch services and mission execution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processes. This list would, in effect, serve as an amendment to the NPR 8719.24 compliance matrix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would serve to facilitate the monitoring of anticipatable issues, if any are identified, that would cause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to likely exceed (or further exceed by a significant amount) NSPM-20's safety guidelines, or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would cause a significant degradation of defense-in-depth (e.g., fission product barriers). In this way, the list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serves as a tool to codify nuclear flight safety-specific factors into these stages of NASA's routine risk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processes. </w:t>
      </w:r>
    </w:p>
    <w:p>
      <w:pPr>
        <w:autoSpaceDN w:val="0"/>
        <w:autoSpaceDE w:val="0"/>
        <w:widowControl/>
        <w:spacing w:line="266" w:lineRule="exact" w:before="174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C.2.3.2 Alternative #2 - Barring adoption of the above, the NFSO could periodically monitor available</w:t>
      </w:r>
    </w:p>
    <w:p>
      <w:pPr>
        <w:autoSpaceDN w:val="0"/>
        <w:autoSpaceDE w:val="0"/>
        <w:widowControl/>
        <w:spacing w:line="198" w:lineRule="exact" w:before="40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AppendixC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29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260" w:lineRule="exact" w:before="354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streams and/or consult with the applicable SMA interface for that phase of the mission in order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identify events and conditions that significantly deviate from the assumptions of the SAR during periods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leading up to launch and subsequent operation (that are within scope of the SAR) for Tier I, II, and III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missions, and which are also prior to the spacecraft entering inter-planetary flight with no plan for return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Earth gravity assist. In cases where identified events could reasonably be expected to cause the 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execution to exceed (or further exceed by a significant additional quantity) NSPM-20's safety guidelines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(e.g., Department of the Air Force risk constraint), the NFSO would perform a simple,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scoping-level qualitative or semi-quantitative assessment of the impact of the event or condition,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this assessment in a note to file. In cases where a specific event or condition is found to indeed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exceed (or further exceed by a significant additional quantity) the safety guidelines or a quantitative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requirement, this would be captured in a memo and discussed with the relevant SMA interface, such that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factored in to safety and mission success activities (e.g., a PSWG Safety Review, the Safety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Success Review (SMSR)). </w:t>
      </w:r>
    </w:p>
    <w:p>
      <w:pPr>
        <w:autoSpaceDN w:val="0"/>
        <w:autoSpaceDE w:val="0"/>
        <w:widowControl/>
        <w:spacing w:line="260" w:lineRule="exact" w:before="180" w:after="0"/>
        <w:ind w:left="1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C.2.3.2.1 Regarding Alternative #2, depending on the circumstances, the appropriate interface might be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Project-level SMA TA, a Program-affiliated SMA TA, the SMA Launch Services Division Mission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Engineer, the Payload Safety Program Executive, the Range Safety Program Executive, or the PSWG Chair.</w:t>
      </w:r>
    </w:p>
    <w:p>
      <w:pPr>
        <w:autoSpaceDN w:val="0"/>
        <w:autoSpaceDE w:val="0"/>
        <w:widowControl/>
        <w:spacing w:line="260" w:lineRule="exact" w:before="6" w:after="0"/>
        <w:ind w:left="1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some cases, the monitoring of information sources (e.g., the Launch Services Portal where the PSWG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posts spacecraft non-compliances after the Payload Safety Compliance has been signed) may be a suitable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replacement to contacting the interface. </w:t>
      </w:r>
    </w:p>
    <w:p>
      <w:pPr>
        <w:autoSpaceDN w:val="0"/>
        <w:autoSpaceDE w:val="0"/>
        <w:widowControl/>
        <w:spacing w:line="260" w:lineRule="exact" w:before="180" w:after="0"/>
        <w:ind w:left="1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C.2.3.2.2 Also regarding Alternative #2, the appropriate periodicity of monitoring the mission will vary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greatly depending on the phase of the mission execution (e.g., more frequently during the period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SNS integration into the integrated launch vehicle and prior to launch versus less frequently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spaceflight). Examples of events and conditions that would be relevant are: (a) a two-fold increase in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window in which the SNS is being cooled by ground support equipment relative to that assumed in the SAR,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a significant deficiency identified in the performance of a safety-relief valve that cannot be mitigated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effectively results in an increase in launch vehicle unreliability, and (c) a spacecraft malfunction while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Earth orbit that significantly increases the likelihood of not being in a sufficiently high orbit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 reaches end-of-life. </w:t>
      </w:r>
    </w:p>
    <w:p>
      <w:pPr>
        <w:autoSpaceDN w:val="0"/>
        <w:autoSpaceDE w:val="0"/>
        <w:widowControl/>
        <w:spacing w:line="198" w:lineRule="exact" w:before="6328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AppendixC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30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60" w:lineRule="exact" w:before="534" w:after="0"/>
        <w:ind w:left="1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 xml:space="preserve">Appendix D. Calculation of the A2 Mission </w:t>
      </w:r>
      <w:r>
        <w:rPr>
          <w:rFonts w:ascii="TimesNewRomanPS" w:hAnsi="TimesNewRomanPS" w:eastAsia="TimesNewRomanPS"/>
          <w:b/>
          <w:i w:val="0"/>
          <w:color w:val="000000"/>
          <w:sz w:val="52"/>
        </w:rPr>
        <w:t>Multiple</w:t>
      </w:r>
    </w:p>
    <w:p>
      <w:pPr>
        <w:autoSpaceDN w:val="0"/>
        <w:autoSpaceDE w:val="0"/>
        <w:widowControl/>
        <w:spacing w:line="288" w:lineRule="exact" w:before="33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D.1 Determination of A2 Mission Multiple </w:t>
      </w:r>
    </w:p>
    <w:p>
      <w:pPr>
        <w:autoSpaceDN w:val="0"/>
        <w:autoSpaceDE w:val="0"/>
        <w:widowControl/>
        <w:spacing w:line="280" w:lineRule="exact" w:before="1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D.1.1 The instructions below relate to the use of IAEA guidance as it pertains to nuclear flight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safety, consistent with the use of this same guidance in NSPM-20 and preceding Presidential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direction. This guidance is used as a matter of convenience, understanding that the guidance was not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developed specifically for use in launch or reentry. Its invocation here may differ from other NASA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uses of this guidance, as they pertain to transportation of radioactive material by land, sea, or air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under the authorization or licensing by other Federal agencies. </w:t>
      </w:r>
    </w:p>
    <w:p>
      <w:pPr>
        <w:autoSpaceDN w:val="0"/>
        <w:autoSpaceDE w:val="0"/>
        <w:widowControl/>
        <w:spacing w:line="280" w:lineRule="exact" w:before="180" w:after="0"/>
        <w:ind w:left="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D.1.2 The latest available version of IAEA SSR-6 should be used. Note: IAEA SSR-6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values in terabecquerels (TBq), while NASA sources are often catalogued in curies (Ci), so care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should be taken when calculating the mission multiple (1 TBq = approx. 27 Ci). </w:t>
      </w:r>
    </w:p>
    <w:p>
      <w:pPr>
        <w:autoSpaceDN w:val="0"/>
        <w:autoSpaceDE w:val="0"/>
        <w:widowControl/>
        <w:spacing w:line="280" w:lineRule="exact" w:before="180" w:after="0"/>
        <w:ind w:left="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D.1.3 While the table provided in IAEA SSR-6 (Table 2 in the case of the 2018 Update) is typically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sufficient for obtaining the necessary A2 multiples, the user should be aware of the caveats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explanation that appears before and after that table (e.g., Sections 402-407 in the case of the 2018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Update), which are applicable to special circumstances. </w:t>
      </w:r>
    </w:p>
    <w:p>
      <w:pPr>
        <w:autoSpaceDN w:val="0"/>
        <w:autoSpaceDE w:val="0"/>
        <w:widowControl/>
        <w:spacing w:line="280" w:lineRule="exact" w:before="180" w:after="0"/>
        <w:ind w:left="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D.1.4 The A2 mission multiple will be determined using the equation below, where n represents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each source of radioactive material on the launch vehicle and spacecraft. A simple example 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provided in Table 3. </w:t>
      </w:r>
    </w:p>
    <w:p>
      <w:pPr>
        <w:autoSpaceDN w:val="0"/>
        <w:autoSpaceDE w:val="0"/>
        <w:widowControl/>
        <w:spacing w:line="240" w:lineRule="auto" w:before="184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37100" cy="76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168" w:after="202"/>
        <w:ind w:left="17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Table 3: Sample Multi-source A2 Mission Multiple Illustration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2650"/>
        <w:gridCol w:w="2650"/>
        <w:gridCol w:w="2650"/>
        <w:gridCol w:w="2650"/>
      </w:tblGrid>
      <w:tr>
        <w:trPr>
          <w:trHeight w:hRule="exact" w:val="460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>Radioisotope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>Activity (Ci)</w:t>
            </w:r>
          </w:p>
        </w:tc>
        <w:tc>
          <w:tcPr>
            <w:tcW w:type="dxa" w:w="2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>A2 value1 (Ci)</w:t>
            </w:r>
          </w:p>
        </w:tc>
        <w:tc>
          <w:tcPr>
            <w:tcW w:type="dxa" w:w="3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6"/>
              </w:rPr>
              <w:t>A2 mission multiple</w:t>
            </w:r>
          </w:p>
        </w:tc>
      </w:tr>
      <w:tr>
        <w:trPr>
          <w:trHeight w:hRule="exact" w:val="460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Ni-63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0.005</w:t>
            </w:r>
          </w:p>
        </w:tc>
        <w:tc>
          <w:tcPr>
            <w:tcW w:type="dxa" w:w="2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800</w:t>
            </w:r>
          </w:p>
        </w:tc>
        <w:tc>
          <w:tcPr>
            <w:tcW w:type="dxa" w:w="3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6∙10-6</w:t>
            </w:r>
          </w:p>
        </w:tc>
      </w:tr>
      <w:tr>
        <w:trPr>
          <w:trHeight w:hRule="exact" w:val="460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Co-60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0.005</w:t>
            </w:r>
          </w:p>
        </w:tc>
        <w:tc>
          <w:tcPr>
            <w:tcW w:type="dxa" w:w="2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10</w:t>
            </w:r>
          </w:p>
        </w:tc>
        <w:tc>
          <w:tcPr>
            <w:tcW w:type="dxa" w:w="3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5∙10-4</w:t>
            </w:r>
          </w:p>
        </w:tc>
      </w:tr>
      <w:tr>
        <w:trPr>
          <w:trHeight w:hRule="exact" w:val="456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Cm-244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0.0005</w:t>
            </w:r>
          </w:p>
        </w:tc>
        <w:tc>
          <w:tcPr>
            <w:tcW w:type="dxa" w:w="2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0.05</w:t>
            </w:r>
          </w:p>
        </w:tc>
        <w:tc>
          <w:tcPr>
            <w:tcW w:type="dxa" w:w="3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0.01</w:t>
            </w:r>
          </w:p>
        </w:tc>
      </w:tr>
      <w:tr>
        <w:trPr>
          <w:trHeight w:hRule="exact" w:val="455"/>
        </w:trPr>
        <w:tc>
          <w:tcPr>
            <w:tcW w:type="dxa" w:w="67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Total A2 mission multiple =</w:t>
            </w:r>
          </w:p>
        </w:tc>
        <w:tc>
          <w:tcPr>
            <w:tcW w:type="dxa" w:w="32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9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 ~0.01 (1.05∙10-2)</w:t>
            </w:r>
          </w:p>
        </w:tc>
      </w:tr>
    </w:tbl>
    <w:p>
      <w:pPr>
        <w:autoSpaceDN w:val="0"/>
        <w:autoSpaceDE w:val="0"/>
        <w:widowControl/>
        <w:spacing w:line="198" w:lineRule="exact" w:before="2510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AppendixD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90" w:val="left"/>
        </w:tabs>
        <w:autoSpaceDE w:val="0"/>
        <w:widowControl/>
        <w:spacing w:line="198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31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440" w:lineRule="exact" w:before="488" w:after="0"/>
        <w:ind w:left="1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Appendix E. Notional Process Flow of Nuclear Flight </w:t>
      </w:r>
      <w:r>
        <w:rPr>
          <w:rFonts w:ascii="TimesNewRomanPS" w:hAnsi="TimesNewRomanPS" w:eastAsia="TimesNewRomanPS"/>
          <w:b/>
          <w:i w:val="0"/>
          <w:color w:val="000000"/>
          <w:sz w:val="40"/>
        </w:rPr>
        <w:t>Safety-related Activities for SNS Missions</w:t>
      </w:r>
    </w:p>
    <w:p>
      <w:pPr>
        <w:autoSpaceDN w:val="0"/>
        <w:autoSpaceDE w:val="0"/>
        <w:widowControl/>
        <w:spacing w:line="220" w:lineRule="exact" w:before="258" w:after="0"/>
        <w:ind w:left="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E.1 A general outline of where nuclear flight safety activities reside within the typical NASA mission life-cycle is shown in Table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4, for missions involving space nuclear systems (SNS). </w:t>
      </w:r>
    </w:p>
    <w:p>
      <w:pPr>
        <w:autoSpaceDN w:val="0"/>
        <w:autoSpaceDE w:val="0"/>
        <w:widowControl/>
        <w:spacing w:line="220" w:lineRule="exact" w:before="140" w:after="176"/>
        <w:ind w:left="3168" w:right="316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Table 4: Notional Process Flow of Nuclear Flight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Safety-related Activities for SNS Missions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517"/>
        <w:gridCol w:w="1517"/>
        <w:gridCol w:w="1517"/>
        <w:gridCol w:w="1517"/>
        <w:gridCol w:w="1517"/>
        <w:gridCol w:w="1517"/>
        <w:gridCol w:w="1517"/>
      </w:tblGrid>
      <w:tr>
        <w:trPr>
          <w:trHeight w:hRule="exact" w:val="183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4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Pre-Phase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Concept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Studies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A: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Concept 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Technology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Development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322" w:val="left"/>
                <w:tab w:pos="382" w:val="left"/>
                <w:tab w:pos="402" w:val="left"/>
              </w:tabs>
              <w:autoSpaceDE w:val="0"/>
              <w:widowControl/>
              <w:spacing w:line="240" w:lineRule="exact" w:before="304" w:after="0"/>
              <w:ind w:left="262" w:right="28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B: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Preliminary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Design 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Technology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Completion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" w:val="left"/>
                <w:tab w:pos="222" w:val="left"/>
                <w:tab w:pos="382" w:val="left"/>
              </w:tabs>
              <w:autoSpaceDE w:val="0"/>
              <w:widowControl/>
              <w:spacing w:line="240" w:lineRule="exact" w:before="424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C: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Final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Design 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Fabrication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D: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System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Assembly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Integration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&amp; Test,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Launch 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Checkout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E: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Operation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&amp;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Sustainment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0" w:lineRule="exact" w:before="664" w:after="0"/>
              <w:ind w:left="42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Phase F: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Closeout</w:t>
            </w:r>
          </w:p>
        </w:tc>
      </w:tr>
      <w:tr>
        <w:trPr>
          <w:trHeight w:hRule="exact" w:val="650"/>
        </w:trPr>
        <w:tc>
          <w:tcPr>
            <w:tcW w:type="dxa" w:w="959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82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Note: This is a notional (simplified) representation. Not all activities are relevant for all missions, and timings will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vary.</w:t>
            </w:r>
          </w:p>
        </w:tc>
      </w:tr>
      <w:tr>
        <w:trPr>
          <w:trHeight w:hRule="exact" w:val="616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Conducting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design/risk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studies1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Sizing of SNS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requirements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system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requirements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Nuclear-related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testing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analysis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decisions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affecting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radiological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risk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Notifying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NFSO before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SDR/MDR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schedule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activities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Databook general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input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development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Deliver Safety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Design Strategy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(SDS)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equivalent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Preliminary tier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determination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Launch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vehicle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selection1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Databook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delivered 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development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tier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determination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RCP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planning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planning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Consultation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Office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General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Counsel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delivered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tier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determination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Launch auth.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request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Mishap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preparedness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RCP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Emergency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planning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execution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views (if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applicable)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response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anomalies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monitoring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events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conditions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relevant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nuclear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flight safety</w:t>
            </w:r>
          </w:p>
        </w:tc>
        <w:tc>
          <w:tcPr>
            <w:tcW w:type="dxa" w:w="1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Decommissioning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disposal</w:t>
            </w:r>
          </w:p>
        </w:tc>
      </w:tr>
      <w:tr>
        <w:trPr>
          <w:trHeight w:hRule="exact" w:val="2060"/>
        </w:trPr>
        <w:tc>
          <w:tcPr>
            <w:tcW w:type="dxa" w:w="114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INSRB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Standing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Activities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4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Familiarization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nuclear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discussions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novel missions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62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SDS review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gaps 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recommendations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identification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Mission-specific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Plan/Team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26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interactions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Advise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agency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gaps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omissions</w:t>
            </w:r>
          </w:p>
        </w:tc>
        <w:tc>
          <w:tcPr>
            <w:tcW w:type="dxa" w:w="126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8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Final 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delivered</w:t>
            </w:r>
          </w:p>
        </w:tc>
        <w:tc>
          <w:tcPr>
            <w:tcW w:type="dxa" w:w="1220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8" w:lineRule="exact" w:before="800" w:after="2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40"/>
        <w:gridCol w:w="3540"/>
        <w:gridCol w:w="3540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AppendixE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40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5791200</wp:posOffset>
            </wp:positionV>
            <wp:extent cx="6223000" cy="440573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05731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410"/>
        <w:gridCol w:w="5410"/>
      </w:tblGrid>
      <w:tr>
        <w:trPr>
          <w:trHeight w:hRule="exact" w:val="25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AppendixE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10820"/>
      </w:tblGrid>
      <w:tr>
        <w:trPr>
          <w:trHeight w:hRule="exact" w:val="1410"/>
        </w:trPr>
        <w:tc>
          <w:tcPr>
            <w:tcW w:type="dxa" w:w="9600"/>
            <w:tcBorders>
              <w:top w:sz="8.0" w:val="single" w:color="#7F7F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SNS development, improvement, and sustainment activities.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Maintaining the necessary technical competencies and procedures to promote nuclear flight safety under 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reasonably foreseeable conditions.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Developing, maintaining, and implementing training and procedures to promote nuclear safety and safety culture.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Using risk analysis to assess the effectiveness of design features and controls and to provide feedback to the design process.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Standing coordination interface between NEPA and nuclear flight safety activities.</w:t>
            </w:r>
          </w:p>
          <w:p>
            <w:pPr>
              <w:autoSpaceDN w:val="0"/>
              <w:autoSpaceDE w:val="0"/>
              <w:widowControl/>
              <w:spacing w:line="17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Reporting and briefing requirements to OSTP, per NSPM-20.</w:t>
            </w:r>
          </w:p>
        </w:tc>
      </w:tr>
    </w:tbl>
    <w:p>
      <w:pPr>
        <w:autoSpaceDN w:val="0"/>
        <w:autoSpaceDE w:val="0"/>
        <w:widowControl/>
        <w:spacing w:line="160" w:lineRule="exact" w:before="154" w:after="0"/>
        <w:ind w:left="10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While important, these are not aspects covered in this directive. They are covered by other NASA requirements and processes, DOE or NRC authorities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requirements, INSRB guidance, and in some cases, they would be addressed in future NASA nuclear flight safety guidance.</w:t>
      </w:r>
    </w:p>
    <w:p>
      <w:pPr>
        <w:autoSpaceDN w:val="0"/>
        <w:autoSpaceDE w:val="0"/>
        <w:widowControl/>
        <w:spacing w:line="220" w:lineRule="exact" w:before="130" w:after="0"/>
        <w:ind w:left="1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E.2 A notional schedule of launch authorization-related activities is provided in Figure 2 (for Tier I missions) and Figure 3 (for Tier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 and III missions). </w:t>
      </w:r>
    </w:p>
    <w:p>
      <w:pPr>
        <w:autoSpaceDN w:val="0"/>
        <w:autoSpaceDE w:val="0"/>
        <w:widowControl/>
        <w:spacing w:line="240" w:lineRule="auto" w:before="1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718300" cy="3441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4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Figure 2: Notional Schedule for Tier I Missions </w:t>
      </w:r>
    </w:p>
    <w:p>
      <w:pPr>
        <w:autoSpaceDN w:val="0"/>
        <w:autoSpaceDE w:val="0"/>
        <w:widowControl/>
        <w:spacing w:line="198" w:lineRule="exact" w:before="5716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AppendixE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410"/>
        <w:gridCol w:w="5410"/>
      </w:tblGrid>
      <w:tr>
        <w:trPr>
          <w:trHeight w:hRule="exact" w:val="258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AppendixE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</w:tbl>
    <w:p>
      <w:pPr>
        <w:autoSpaceDN w:val="0"/>
        <w:autoSpaceDE w:val="0"/>
        <w:widowControl/>
        <w:spacing w:line="240" w:lineRule="auto" w:before="302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223000" cy="4406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0" w:after="0"/>
        <w:ind w:left="0" w:right="28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Figure 3: Notional Schedule for Tier II and Tier III Missions</w:t>
      </w:r>
    </w:p>
    <w:p>
      <w:pPr>
        <w:autoSpaceDN w:val="0"/>
        <w:autoSpaceDE w:val="0"/>
        <w:widowControl/>
        <w:spacing w:line="198" w:lineRule="exact" w:before="6816" w:after="2"/>
        <w:ind w:left="25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07"/>
        <w:gridCol w:w="3607"/>
        <w:gridCol w:w="3607"/>
      </w:tblGrid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AppendixE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</w:p>
        </w:tc>
      </w:tr>
      <w:tr>
        <w:trPr>
          <w:trHeight w:hRule="exact" w:val="220"/>
        </w:trPr>
        <w:tc>
          <w:tcPr>
            <w:tcW w:type="dxa" w:w="3607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6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700" w:bottom="18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34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32" w:lineRule="exact" w:before="514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8"/>
        </w:rPr>
        <w:t>Appendix F. Radioactive Materials On-Board</w:t>
      </w:r>
    </w:p>
    <w:p>
      <w:pPr>
        <w:autoSpaceDN w:val="0"/>
        <w:autoSpaceDE w:val="0"/>
        <w:widowControl/>
        <w:spacing w:line="532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48"/>
        </w:rPr>
        <w:t>Report</w:t>
      </w:r>
    </w:p>
    <w:p>
      <w:pPr>
        <w:autoSpaceDN w:val="0"/>
        <w:autoSpaceDE w:val="0"/>
        <w:widowControl/>
        <w:spacing w:line="266" w:lineRule="exact" w:before="32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F.1 The Radioactive Materials On-Board Report template is provided in Table 5. </w:t>
      </w:r>
    </w:p>
    <w:p>
      <w:pPr>
        <w:autoSpaceDN w:val="0"/>
        <w:autoSpaceDE w:val="0"/>
        <w:widowControl/>
        <w:spacing w:line="266" w:lineRule="exact" w:before="174" w:after="208"/>
        <w:ind w:left="0" w:right="282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Table 5: Radioactive Materials On-Board Report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rHeight w:hRule="exact" w:val="1329"/>
        </w:trPr>
        <w:tc>
          <w:tcPr>
            <w:tcW w:type="dxa" w:w="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Launch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Site</w:t>
            </w:r>
          </w:p>
        </w:tc>
        <w:tc>
          <w:tcPr>
            <w:tcW w:type="dxa" w:w="1274"/>
            <w:tcBorders>
              <w:bottom w:sz="8.0" w:val="single" w:color="#BFBFB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Scheduled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Launch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Isotope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# 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Sources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Isotope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half-life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  <w:tab w:pos="290" w:val="left"/>
                <w:tab w:pos="670" w:val="left"/>
              </w:tabs>
              <w:autoSpaceDE w:val="0"/>
              <w:widowControl/>
              <w:spacing w:line="280" w:lineRule="exact" w:before="72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Est. activity at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spacecraft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integration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(Ci)</w:t>
            </w:r>
          </w:p>
        </w:tc>
        <w:tc>
          <w:tcPr>
            <w:tcW w:type="dxa" w:w="1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A2 limit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for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isotope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(Ci)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Resulting A2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multiple for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each isotope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source</w:t>
            </w:r>
          </w:p>
        </w:tc>
        <w:tc>
          <w:tcPr>
            <w:tcW w:type="dxa" w:w="10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Remarks</w:t>
            </w:r>
          </w:p>
        </w:tc>
      </w:tr>
      <w:tr>
        <w:trPr>
          <w:trHeight w:hRule="exact" w:val="5"/>
        </w:trPr>
        <w:tc>
          <w:tcPr>
            <w:tcW w:type="dxa" w:w="785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785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Sum of A2 multiples for each isotope source = 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8" w:lineRule="exact" w:before="9750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AppendixF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p>
      <w:pPr>
        <w:sectPr>
          <w:pgSz w:w="12240" w:h="15840"/>
          <w:pgMar w:top="80" w:right="810" w:bottom="180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tabs>
          <w:tab w:pos="9370" w:val="left"/>
        </w:tabs>
        <w:autoSpaceDE w:val="0"/>
        <w:widowControl/>
        <w:spacing w:line="19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NPR 8715.26 -- AppendixG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  <w:u w:val="single"/>
        </w:rPr>
        <w:t xml:space="preserve"> 35 </w:t>
      </w:r>
    </w:p>
    <w:p>
      <w:pPr>
        <w:autoSpaceDN w:val="0"/>
        <w:autoSpaceDE w:val="0"/>
        <w:widowControl/>
        <w:spacing w:line="576" w:lineRule="exact" w:before="518" w:after="0"/>
        <w:ind w:left="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Appendix G. References</w:t>
      </w:r>
    </w:p>
    <w:p>
      <w:pPr>
        <w:autoSpaceDN w:val="0"/>
        <w:autoSpaceDE w:val="0"/>
        <w:widowControl/>
        <w:spacing w:line="288" w:lineRule="exact" w:before="33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G.1 NPD 8710.1, Emergency Management Program. </w:t>
      </w:r>
    </w:p>
    <w:p>
      <w:pPr>
        <w:autoSpaceDN w:val="0"/>
        <w:autoSpaceDE w:val="0"/>
        <w:widowControl/>
        <w:spacing w:line="288" w:lineRule="exact" w:before="17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G.2 NPR 1800.1, NASA Occupational Health Program Procedures. </w:t>
      </w:r>
    </w:p>
    <w:p>
      <w:pPr>
        <w:autoSpaceDN w:val="0"/>
        <w:autoSpaceDE w:val="0"/>
        <w:widowControl/>
        <w:spacing w:line="288" w:lineRule="exact" w:before="17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G.3 NPR 8580.1, Implementing the National Environmental Policy Act and Executive Order 12114. </w:t>
      </w:r>
    </w:p>
    <w:p>
      <w:pPr>
        <w:autoSpaceDN w:val="0"/>
        <w:autoSpaceDE w:val="0"/>
        <w:widowControl/>
        <w:spacing w:line="280" w:lineRule="exact" w:before="180" w:after="0"/>
        <w:ind w:left="1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G.4 NPR 8621.1, NASA Procedural Requirements for Mishap and Close Call Reporting,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Investigating, and Recordkeeping. </w:t>
      </w:r>
    </w:p>
    <w:p>
      <w:pPr>
        <w:autoSpaceDN w:val="0"/>
        <w:autoSpaceDE w:val="0"/>
        <w:widowControl/>
        <w:spacing w:line="288" w:lineRule="exact" w:before="17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G.5 NPR 8715.2, NASA Emergency Management Program Procedural Requirements. </w:t>
      </w:r>
    </w:p>
    <w:p>
      <w:pPr>
        <w:autoSpaceDN w:val="0"/>
        <w:autoSpaceDE w:val="0"/>
        <w:widowControl/>
        <w:spacing w:line="280" w:lineRule="exact" w:before="180" w:after="0"/>
        <w:ind w:left="1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G.6 </w:t>
      </w:r>
      <w:r>
        <w:rPr>
          <w:rFonts w:ascii="TimesNewRomanPSMT" w:hAnsi="TimesNewRomanPSMT" w:eastAsia="TimesNewRomanPSMT"/>
          <w:b w:val="0"/>
          <w:i w:val="0"/>
          <w:color w:val="0000FF"/>
          <w:sz w:val="26"/>
        </w:rPr>
        <w:hyperlink r:id="rId15" w:history="1">
          <w:r>
            <w:rPr>
              <w:rStyle w:val="Hyperlink"/>
            </w:rPr>
            <w:t>IAEA, Specific 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6"/>
        </w:rPr>
        <w:hyperlink r:id="rId15" w:history="1">
          <w:r>
            <w:rPr>
              <w:rStyle w:val="Hyperlink"/>
            </w:rPr>
            <w:t xml:space="preserve">afety Requirements No. 6 (SSR-6), Regulations for the Safe Transport of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5" w:history="1">
          <w:r>
            <w:rPr>
              <w:rStyle w:val="Hyperlink"/>
            </w:rPr>
            <w:t>Rad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6"/>
          <w:u w:val="single"/>
        </w:rPr>
        <w:hyperlink r:id="rId15" w:history="1">
          <w:r>
            <w:rPr>
              <w:rStyle w:val="Hyperlink"/>
            </w:rPr>
            <w:t>ioactive Material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 xml:space="preserve"> (Source: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hyperlink r:id="rId15" w:history="1">
          <w:r>
            <w:rPr>
              <w:rStyle w:val="Hyperlink"/>
            </w:rPr>
            <w:t>https://nucleus-apps.i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aea.org/nss-oui/collections/publishedcollections). </w:t>
      </w:r>
    </w:p>
    <w:p>
      <w:pPr>
        <w:autoSpaceDN w:val="0"/>
        <w:autoSpaceDE w:val="0"/>
        <w:widowControl/>
        <w:spacing w:line="280" w:lineRule="exact" w:before="180" w:after="0"/>
        <w:ind w:left="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G.7 Space Policy Directive-6, Memorandum on the National Strategy for Space Nuclear Power 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Propulsion. </w:t>
      </w:r>
    </w:p>
    <w:p>
      <w:pPr>
        <w:autoSpaceDN w:val="0"/>
        <w:autoSpaceDE w:val="0"/>
        <w:widowControl/>
        <w:spacing w:line="288" w:lineRule="exact" w:before="17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G.8 United Nations Convention on Early Notification of a Nuclear Accident (1986). </w:t>
      </w:r>
    </w:p>
    <w:p>
      <w:pPr>
        <w:autoSpaceDN w:val="0"/>
        <w:autoSpaceDE w:val="0"/>
        <w:widowControl/>
        <w:spacing w:line="280" w:lineRule="exact" w:before="180" w:after="0"/>
        <w:ind w:left="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G.9 United Nations Convention on Assistance in the Case of a Nuclear Accident or Radiological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Emergency (1986). </w:t>
      </w:r>
    </w:p>
    <w:p>
      <w:pPr>
        <w:autoSpaceDN w:val="0"/>
        <w:autoSpaceDE w:val="0"/>
        <w:widowControl/>
        <w:spacing w:line="198" w:lineRule="exact" w:before="7524" w:after="2"/>
        <w:ind w:left="2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This document does not bind the public, except as authorized by law or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533"/>
        <w:gridCol w:w="3533"/>
        <w:gridCol w:w="3533"/>
      </w:tblGrid>
      <w:tr>
        <w:trPr>
          <w:trHeight w:hRule="exact" w:val="18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NPR 8715.26 -- AppendixG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incorporated into a contract. This document is uncontrolled when printed. Check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35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of  35 </w:t>
            </w:r>
          </w:p>
        </w:tc>
      </w:tr>
      <w:tr>
        <w:trPr>
          <w:trHeight w:hRule="exact" w:val="220"/>
        </w:trPr>
        <w:tc>
          <w:tcPr>
            <w:tcW w:type="dxa" w:w="3533"/>
            <w:vMerge/>
            <w:tcBorders/>
          </w:tcPr>
          <w:p/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the NASA Online Directives Information System (NODIS) Library to verify that</w:t>
            </w:r>
          </w:p>
        </w:tc>
        <w:tc>
          <w:tcPr>
            <w:tcW w:type="dxa" w:w="35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this is the correct version before use: </w:t>
      </w:r>
      <w:r>
        <w:rPr>
          <w:rFonts w:ascii="TimesNewRomanPS" w:hAnsi="TimesNewRomanPS" w:eastAsia="TimesNewRomanPS"/>
          <w:b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https://nodis3.gsfc.nasa.gov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. </w:t>
      </w:r>
    </w:p>
    <w:sectPr w:rsidR="00FC693F" w:rsidRPr="0006063C" w:rsidSect="00034616">
      <w:pgSz w:w="12240" w:h="15840"/>
      <w:pgMar w:top="80" w:right="810" w:bottom="180" w:left="8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