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  <w:p>
      <w:pPr>
        <w:autoSpaceDN w:val="0"/>
        <w:autoSpaceDE w:val="0"/>
        <w:widowControl/>
        <w:spacing w:line="269" w:lineRule="auto" w:before="144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This directive defines the roles and responsibilities for managing and overseeing NASA’s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nuclear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flight safety activities. It provides the requirements to implement NASA’s policy to protect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public, NASA workforce, high-value equipment and property, and the environment from potential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harm as a result of NASA activities and operations, by factoring safety as an integral feature of </w:t>
      </w:r>
      <w:r>
        <w:rPr>
          <w:rFonts w:ascii="Arial" w:hAnsi="Arial" w:eastAsia="Arial"/>
          <w:b w:val="0"/>
          <w:i w:val="0"/>
          <w:color w:val="000000"/>
          <w:sz w:val="22"/>
        </w:rPr>
        <w:t>programs, projects, technologies, operations, and facilities.</w:t>
      </w:r>
    </w:p>
    <w:p>
      <w:pPr>
        <w:autoSpaceDN w:val="0"/>
        <w:autoSpaceDE w:val="0"/>
        <w:widowControl/>
        <w:spacing w:line="271" w:lineRule="auto" w:before="44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b. This directive also describes NASA’s implementation of Federal requirements under National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Security Presidential Memorandum (NSPM)-20, “Presidential Memorandum on Launch of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Spacecraft Containing Space Nuclear Systems,” dated August 20, 2019, radiological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contingency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planning (RCP) as a part of broader NASA emergency management activities (see NPD 8710.1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NPR 8715.2) and other factors, as well as agency-specific activities relating to ensuring safety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mission success for NASA-sponsored payloads containing space nuclear systems (SNS) or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other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radioactive material (note that these terms are defined in Appendix A).</w:t>
      </w:r>
    </w:p>
    <w:p>
      <w:pPr>
        <w:autoSpaceDN w:val="0"/>
        <w:autoSpaceDE w:val="0"/>
        <w:widowControl/>
        <w:spacing w:line="269" w:lineRule="auto" w:before="44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c. This directive establishes a framework where other requirements, guidance, and processes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(e.g.,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 of Energy (DOE) nuclear safety and security requirements, U.S. Air and Space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Force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range safety requirements, NASA payload safety processes) relevant to nuclear flight safety can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be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implemented in to the overall Safety and Mission Assurance (SMA) process.</w:t>
      </w:r>
    </w:p>
    <w:p>
      <w:pPr>
        <w:autoSpaceDN w:val="0"/>
        <w:autoSpaceDE w:val="0"/>
        <w:widowControl/>
        <w:spacing w:line="271" w:lineRule="auto" w:before="4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P.2 Applicability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a. This directive is applicable to NASA Headquarters and NASA Centers, including Component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Facilities and Technical and Service Support Centers. This directive applies to the Jet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Propulsion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Laboratory (a Federally-Funded Research and Development Center), other contractors,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recipients of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grants, cooperative agreements, or other agreements only to the extent specified or referenced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 the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applicable contracts, grants, or agreements.</w:t>
      </w:r>
    </w:p>
    <w:p>
      <w:pPr>
        <w:autoSpaceDN w:val="0"/>
        <w:autoSpaceDE w:val="0"/>
        <w:widowControl/>
        <w:spacing w:line="271" w:lineRule="auto" w:before="4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b. This directive is applicable to activities involving flight of SNS or other radioactive material for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which NASA is the sponsoring agency or that involve the use of NASA personnel and assets for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phases of a flight where the SNS or other radioactive material has the potential to affect Earth’s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biosphere. In some cases, aspects of the NASA nuclear flight safety program may fall under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auspices of another Federal agency, such as in the case of a Federal Aviation Administration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(FAA)-issued license for the launch of NASA-provided radioactive material. If applicability of this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directive is not clear, NASA personnel will consult with the Nuclear Flight Safety Officer (NFSO) </w:t>
      </w:r>
      <w:r>
        <w:rPr>
          <w:rFonts w:ascii="Arial" w:hAnsi="Arial" w:eastAsia="Arial"/>
          <w:b w:val="0"/>
          <w:i w:val="0"/>
          <w:color w:val="000000"/>
          <w:sz w:val="22"/>
        </w:rPr>
        <w:t>and the Office of the General Counsel to confirm responsibilities for nuclear flight safety.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