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7260" w14:textId="4017C5B8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  <w:sz w:val="24"/>
          <w:szCs w:val="24"/>
        </w:rPr>
        <w:t>MYEVIEW Compliance Violation Notice</w:t>
      </w:r>
      <w:r w:rsidRPr="00995370">
        <w:rPr>
          <w:rFonts w:ascii="Arial" w:hAnsi="Arial" w:cs="Arial"/>
          <w:sz w:val="24"/>
          <w:szCs w:val="24"/>
        </w:rPr>
        <w:br/>
      </w:r>
      <w:r w:rsidRPr="00995370">
        <w:rPr>
          <w:rFonts w:ascii="Arial" w:hAnsi="Arial" w:cs="Arial"/>
        </w:rPr>
        <w:t>This turns a simple vulnerability report into a Compliance Violation Notice.</w:t>
      </w:r>
      <w:r w:rsidRPr="00995370">
        <w:rPr>
          <w:rFonts w:ascii="Arial" w:hAnsi="Arial" w:cs="Arial"/>
        </w:rPr>
        <w:br/>
        <w:t>Below is the definitive list of 2026 articles mapped to the specific vulnerabilities MYEVIEW detects.</w:t>
      </w:r>
    </w:p>
    <w:p w14:paraId="3616928F" w14:textId="77777777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1. Infrastructure &amp; Vulnerability Scanning</w:t>
      </w:r>
    </w:p>
    <w:p w14:paraId="1B014EF2" w14:textId="77777777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Concerned findings: Open ports, unpatched software (CVEs), outdated servers.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1545" w:rsidRPr="00995370" w14:paraId="46B06297" w14:textId="77777777">
        <w:tc>
          <w:tcPr>
            <w:tcW w:w="2880" w:type="dxa"/>
          </w:tcPr>
          <w:p w14:paraId="1C3E48F9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Technical Finding</w:t>
            </w:r>
          </w:p>
        </w:tc>
        <w:tc>
          <w:tcPr>
            <w:tcW w:w="2880" w:type="dxa"/>
          </w:tcPr>
          <w:p w14:paraId="1C822EA2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Regulatory Relevance</w:t>
            </w:r>
          </w:p>
        </w:tc>
        <w:tc>
          <w:tcPr>
            <w:tcW w:w="2880" w:type="dxa"/>
          </w:tcPr>
          <w:p w14:paraId="4943BCD7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The Mandated State</w:t>
            </w:r>
          </w:p>
        </w:tc>
      </w:tr>
      <w:tr w:rsidR="00CC1545" w:rsidRPr="00995370" w14:paraId="4E546804" w14:textId="77777777">
        <w:tc>
          <w:tcPr>
            <w:tcW w:w="2880" w:type="dxa"/>
          </w:tcPr>
          <w:p w14:paraId="77C31691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Exposed Services / Open Ports</w:t>
            </w:r>
          </w:p>
        </w:tc>
        <w:tc>
          <w:tcPr>
            <w:tcW w:w="2880" w:type="dxa"/>
          </w:tcPr>
          <w:p w14:paraId="12459F1B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non-alignment with ANTIC Law No. 2010/012 (Art. 7)</w:t>
            </w:r>
          </w:p>
        </w:tc>
        <w:tc>
          <w:tcPr>
            <w:tcW w:w="2880" w:type="dxa"/>
          </w:tcPr>
          <w:p w14:paraId="13F58DFA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Mandates that institutions implement recommendations from security bulletins issued by the CIRT to correct vulnerabilities inherent in systems.</w:t>
            </w:r>
          </w:p>
        </w:tc>
      </w:tr>
      <w:tr w:rsidR="00CC1545" w:rsidRPr="00995370" w14:paraId="5841F3FE" w14:textId="77777777">
        <w:tc>
          <w:tcPr>
            <w:tcW w:w="2880" w:type="dxa"/>
          </w:tcPr>
          <w:p w14:paraId="17274423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Critical CVEs / Unpatched OS</w:t>
            </w:r>
          </w:p>
        </w:tc>
        <w:tc>
          <w:tcPr>
            <w:tcW w:w="2880" w:type="dxa"/>
          </w:tcPr>
          <w:p w14:paraId="586DAEA8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non-alignment with COBAC R-2025/02 (Cyber Resilience)</w:t>
            </w:r>
          </w:p>
        </w:tc>
        <w:tc>
          <w:tcPr>
            <w:tcW w:w="2880" w:type="dxa"/>
          </w:tcPr>
          <w:p w14:paraId="02D248DD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Requires banks and MFIs to maintain system and infrastructure standards that ensure data integrity and prevent unauthorized access.</w:t>
            </w:r>
          </w:p>
        </w:tc>
      </w:tr>
      <w:tr w:rsidR="00CC1545" w:rsidRPr="00995370" w14:paraId="5BA1C0CA" w14:textId="77777777">
        <w:tc>
          <w:tcPr>
            <w:tcW w:w="2880" w:type="dxa"/>
          </w:tcPr>
          <w:p w14:paraId="753A2978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Insecure Remote Access (RDP/SSH)</w:t>
            </w:r>
          </w:p>
        </w:tc>
        <w:tc>
          <w:tcPr>
            <w:tcW w:w="2880" w:type="dxa"/>
          </w:tcPr>
          <w:p w14:paraId="5355DB66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non-alignment with COBAC Circular No. 000002 (System Standards)</w:t>
            </w:r>
          </w:p>
        </w:tc>
        <w:tc>
          <w:tcPr>
            <w:tcW w:w="2880" w:type="dxa"/>
          </w:tcPr>
          <w:p w14:paraId="1FCECD2B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Mandates that payment systems meet technical standards for access controls and uptime to ensure the safety of financial flows.</w:t>
            </w:r>
          </w:p>
        </w:tc>
      </w:tr>
    </w:tbl>
    <w:p w14:paraId="676DDAE0" w14:textId="4D716C1C" w:rsidR="00CC1545" w:rsidRPr="00995370" w:rsidRDefault="00CC1545">
      <w:pPr>
        <w:rPr>
          <w:rFonts w:ascii="Arial" w:hAnsi="Arial" w:cs="Arial"/>
        </w:rPr>
      </w:pPr>
    </w:p>
    <w:p w14:paraId="7C72A6E0" w14:textId="77777777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2. Digital Perimeter &amp; Data Integrity</w:t>
      </w:r>
    </w:p>
    <w:p w14:paraId="5578E7F8" w14:textId="77777777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Concerned findings: Expired SSL certificates, DNS hijacking risks, missing DNSSEC.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1545" w:rsidRPr="00995370" w14:paraId="1021EC0F" w14:textId="77777777">
        <w:tc>
          <w:tcPr>
            <w:tcW w:w="2880" w:type="dxa"/>
          </w:tcPr>
          <w:p w14:paraId="1A67F408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Technical Finding</w:t>
            </w:r>
          </w:p>
        </w:tc>
        <w:tc>
          <w:tcPr>
            <w:tcW w:w="2880" w:type="dxa"/>
          </w:tcPr>
          <w:p w14:paraId="21098FB4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Regulatory Relevance</w:t>
            </w:r>
          </w:p>
        </w:tc>
        <w:tc>
          <w:tcPr>
            <w:tcW w:w="2880" w:type="dxa"/>
          </w:tcPr>
          <w:p w14:paraId="06DABA18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The Mandated State</w:t>
            </w:r>
          </w:p>
        </w:tc>
      </w:tr>
      <w:tr w:rsidR="00CC1545" w:rsidRPr="00995370" w14:paraId="45DC853E" w14:textId="77777777">
        <w:tc>
          <w:tcPr>
            <w:tcW w:w="2880" w:type="dxa"/>
          </w:tcPr>
          <w:p w14:paraId="0069BDEA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Expired/Weak SSL Certificates</w:t>
            </w:r>
          </w:p>
        </w:tc>
        <w:tc>
          <w:tcPr>
            <w:tcW w:w="2880" w:type="dxa"/>
          </w:tcPr>
          <w:p w14:paraId="73A771E7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non-alignment with COBAC Circular No. 000002 (Encryption)</w:t>
            </w:r>
          </w:p>
        </w:tc>
        <w:tc>
          <w:tcPr>
            <w:tcW w:w="2880" w:type="dxa"/>
          </w:tcPr>
          <w:p w14:paraId="79C99816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Explicitly mandates minimum technical standards for data integrity and encryption for dematerialized financial transactions.</w:t>
            </w:r>
          </w:p>
        </w:tc>
      </w:tr>
      <w:tr w:rsidR="00CC1545" w:rsidRPr="00995370" w14:paraId="11E470E4" w14:textId="77777777">
        <w:tc>
          <w:tcPr>
            <w:tcW w:w="2880" w:type="dxa"/>
          </w:tcPr>
          <w:p w14:paraId="37F0821A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lastRenderedPageBreak/>
              <w:t>DNS Misconfigurations</w:t>
            </w:r>
          </w:p>
        </w:tc>
        <w:tc>
          <w:tcPr>
            <w:tcW w:w="2880" w:type="dxa"/>
          </w:tcPr>
          <w:p w14:paraId="20BBEC79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regulatory exposure under ANTIC CIRT Surveillance Mandate</w:t>
            </w:r>
          </w:p>
        </w:tc>
        <w:tc>
          <w:tcPr>
            <w:tcW w:w="2880" w:type="dxa"/>
          </w:tcPr>
          <w:p w14:paraId="646BAD4E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ANTIC identifies critical national cyberspace infrastructure and monitors incidents threatening .cm domain stability.</w:t>
            </w:r>
          </w:p>
        </w:tc>
      </w:tr>
      <w:tr w:rsidR="00CC1545" w:rsidRPr="00995370" w14:paraId="10CA55F7" w14:textId="77777777">
        <w:tc>
          <w:tcPr>
            <w:tcW w:w="2880" w:type="dxa"/>
          </w:tcPr>
          <w:p w14:paraId="03CB8F5B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Missing Real-Time Logging</w:t>
            </w:r>
          </w:p>
        </w:tc>
        <w:tc>
          <w:tcPr>
            <w:tcW w:w="2880" w:type="dxa"/>
          </w:tcPr>
          <w:p w14:paraId="33475633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non-alignment with Finance Law 2026 (Real-Time E-Invoicing)</w:t>
            </w:r>
          </w:p>
        </w:tc>
        <w:tc>
          <w:tcPr>
            <w:tcW w:w="2880" w:type="dxa"/>
          </w:tcPr>
          <w:p w14:paraId="52C2A896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Requires transaction-level visibility and automated tax control. Inability to provide logs may create tax compliance exposure.</w:t>
            </w:r>
          </w:p>
        </w:tc>
      </w:tr>
    </w:tbl>
    <w:p w14:paraId="3D50A58B" w14:textId="3CC05D4A" w:rsidR="00CC1545" w:rsidRPr="00995370" w:rsidRDefault="00CC1545">
      <w:pPr>
        <w:rPr>
          <w:rFonts w:ascii="Arial" w:hAnsi="Arial" w:cs="Arial"/>
        </w:rPr>
      </w:pPr>
    </w:p>
    <w:p w14:paraId="59EBA3E8" w14:textId="77777777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3. Third-Party &amp; Ecosystem Risk</w:t>
      </w:r>
    </w:p>
    <w:p w14:paraId="3FFBD007" w14:textId="77777777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Concerned findings: Insecure vendor portals, non-resident shadow IT, partner data leaks.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1545" w:rsidRPr="00995370" w14:paraId="085390EB" w14:textId="77777777">
        <w:tc>
          <w:tcPr>
            <w:tcW w:w="2880" w:type="dxa"/>
          </w:tcPr>
          <w:p w14:paraId="3A6860BA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Technical Finding</w:t>
            </w:r>
          </w:p>
        </w:tc>
        <w:tc>
          <w:tcPr>
            <w:tcW w:w="2880" w:type="dxa"/>
          </w:tcPr>
          <w:p w14:paraId="5153A4A6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Regulatory Relevance</w:t>
            </w:r>
          </w:p>
        </w:tc>
        <w:tc>
          <w:tcPr>
            <w:tcW w:w="2880" w:type="dxa"/>
          </w:tcPr>
          <w:p w14:paraId="10E04F6C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The Mandated State</w:t>
            </w:r>
          </w:p>
        </w:tc>
      </w:tr>
      <w:tr w:rsidR="00CC1545" w:rsidRPr="00995370" w14:paraId="0757EAAC" w14:textId="77777777">
        <w:tc>
          <w:tcPr>
            <w:tcW w:w="2880" w:type="dxa"/>
          </w:tcPr>
          <w:p w14:paraId="08EB4112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Vulnerable Partner API</w:t>
            </w:r>
          </w:p>
        </w:tc>
        <w:tc>
          <w:tcPr>
            <w:tcW w:w="2880" w:type="dxa"/>
          </w:tcPr>
          <w:p w14:paraId="442BFDC5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non-alignment with COBAC R-2025/02 (Vendor Due Diligence)</w:t>
            </w:r>
          </w:p>
        </w:tc>
        <w:tc>
          <w:tcPr>
            <w:tcW w:w="2880" w:type="dxa"/>
          </w:tcPr>
          <w:p w14:paraId="66B34B2D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Banks are expected to manage third-party digital risk. Failure to monitor vendors may trigger remediation requirements or audit findings.</w:t>
            </w:r>
          </w:p>
        </w:tc>
      </w:tr>
      <w:tr w:rsidR="00CC1545" w:rsidRPr="00995370" w14:paraId="2FFA08D3" w14:textId="77777777">
        <w:tc>
          <w:tcPr>
            <w:tcW w:w="2880" w:type="dxa"/>
          </w:tcPr>
          <w:p w14:paraId="52D27C7C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Non-Resident SaaS Usage</w:t>
            </w:r>
          </w:p>
        </w:tc>
        <w:tc>
          <w:tcPr>
            <w:tcW w:w="2880" w:type="dxa"/>
          </w:tcPr>
          <w:p w14:paraId="6FFE7D22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relevance under Article 17c - Finance Law 2026</w:t>
            </w:r>
          </w:p>
        </w:tc>
        <w:tc>
          <w:tcPr>
            <w:tcW w:w="2880" w:type="dxa"/>
          </w:tcPr>
          <w:p w14:paraId="11136443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Establishes Significant Economic Presence tax considerations for non-resident platforms.</w:t>
            </w:r>
          </w:p>
        </w:tc>
      </w:tr>
      <w:tr w:rsidR="00CC1545" w:rsidRPr="00995370" w14:paraId="07E2FD0D" w14:textId="77777777">
        <w:tc>
          <w:tcPr>
            <w:tcW w:w="2880" w:type="dxa"/>
          </w:tcPr>
          <w:p w14:paraId="2631601E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Shadow IT / Unmapped Assets</w:t>
            </w:r>
          </w:p>
        </w:tc>
        <w:tc>
          <w:tcPr>
            <w:tcW w:w="2880" w:type="dxa"/>
          </w:tcPr>
          <w:p w14:paraId="4F413417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Potential non-alignment with COBAC Audit Trail Obligations</w:t>
            </w:r>
          </w:p>
        </w:tc>
        <w:tc>
          <w:tcPr>
            <w:tcW w:w="2880" w:type="dxa"/>
          </w:tcPr>
          <w:p w14:paraId="1378445A" w14:textId="77777777" w:rsidR="00CC1545" w:rsidRPr="00995370" w:rsidRDefault="00000000">
            <w:pPr>
              <w:rPr>
                <w:rFonts w:ascii="Arial" w:hAnsi="Arial" w:cs="Arial"/>
              </w:rPr>
            </w:pPr>
            <w:r w:rsidRPr="00995370">
              <w:rPr>
                <w:rFonts w:ascii="Arial" w:hAnsi="Arial" w:cs="Arial"/>
              </w:rPr>
              <w:t>Mandates comprehensive, tamper-evident digital audit trails for transactions. You cannot audit what you cannot see.</w:t>
            </w:r>
          </w:p>
        </w:tc>
      </w:tr>
    </w:tbl>
    <w:p w14:paraId="2A1292B9" w14:textId="3ADFCA4E" w:rsidR="00CC1545" w:rsidRPr="00995370" w:rsidRDefault="00CC1545">
      <w:pPr>
        <w:rPr>
          <w:rFonts w:ascii="Arial" w:hAnsi="Arial" w:cs="Arial"/>
        </w:rPr>
      </w:pPr>
    </w:p>
    <w:p w14:paraId="2593831F" w14:textId="3660EC40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The Sentinel Outcome for our Backend</w:t>
      </w:r>
    </w:p>
    <w:p w14:paraId="2E759921" w14:textId="4EE060E6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>When our scanner finds a vulnerability, the Mye-Score should not just drop; it should trigger a Regulatory Penalty Alert:</w:t>
      </w:r>
      <w:r w:rsidRPr="00995370">
        <w:rPr>
          <w:rFonts w:ascii="Arial" w:hAnsi="Arial" w:cs="Arial"/>
        </w:rPr>
        <w:br/>
      </w:r>
      <w:r w:rsidRPr="00995370">
        <w:rPr>
          <w:rFonts w:ascii="Arial" w:hAnsi="Arial" w:cs="Arial"/>
        </w:rPr>
        <w:br/>
        <w:t>CRITICAL ALERT: An expired SSL certificate was found on portal.mfi-bank.cm.</w:t>
      </w:r>
      <w:r w:rsidRPr="00995370">
        <w:rPr>
          <w:rFonts w:ascii="Arial" w:hAnsi="Arial" w:cs="Arial"/>
        </w:rPr>
        <w:br/>
      </w:r>
      <w:r w:rsidRPr="00995370">
        <w:rPr>
          <w:rFonts w:ascii="Arial" w:hAnsi="Arial" w:cs="Arial"/>
        </w:rPr>
        <w:br/>
      </w:r>
      <w:r w:rsidRPr="00995370">
        <w:rPr>
          <w:rFonts w:ascii="Arial" w:hAnsi="Arial" w:cs="Arial"/>
        </w:rPr>
        <w:lastRenderedPageBreak/>
        <w:t>REGULATORY RELEVANCE: Potential non-alignment with COBAC Circular No. 000002 requirements relating to encryption and infrastructure security.</w:t>
      </w:r>
      <w:r w:rsidRPr="00995370">
        <w:rPr>
          <w:rFonts w:ascii="Arial" w:hAnsi="Arial" w:cs="Arial"/>
        </w:rPr>
        <w:br/>
      </w:r>
      <w:r w:rsidRPr="00995370">
        <w:rPr>
          <w:rFonts w:ascii="Arial" w:hAnsi="Arial" w:cs="Arial"/>
        </w:rPr>
        <w:br/>
        <w:t>STAKE: This may increase regulatory scrutiny, remediation obligations, or audit findings under the 2026 fintech compliance framework.</w:t>
      </w:r>
      <w:r w:rsidRPr="00995370">
        <w:rPr>
          <w:rFonts w:ascii="Arial" w:hAnsi="Arial" w:cs="Arial"/>
        </w:rPr>
        <w:br/>
      </w:r>
      <w:r w:rsidRPr="00995370">
        <w:rPr>
          <w:rFonts w:ascii="Arial" w:hAnsi="Arial" w:cs="Arial"/>
        </w:rPr>
        <w:br/>
        <w:t>RECOMMENDED ACTION: Deploy a valid TLS 1.3 certificate within 24 hours to maintain Defensible Risk posture.</w:t>
      </w:r>
    </w:p>
    <w:p w14:paraId="708046AD" w14:textId="5F27023C" w:rsidR="00CC1545" w:rsidRPr="00995370" w:rsidRDefault="009953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Suggestion </w:t>
      </w:r>
      <w:r w:rsidR="00000000" w:rsidRPr="00995370">
        <w:rPr>
          <w:rFonts w:ascii="Arial" w:hAnsi="Arial" w:cs="Arial"/>
        </w:rPr>
        <w:t>Formatting for our Database Schema</w:t>
      </w:r>
    </w:p>
    <w:p w14:paraId="042443D4" w14:textId="52E1E987" w:rsidR="00CC1545" w:rsidRPr="00995370" w:rsidRDefault="00000000">
      <w:pPr>
        <w:rPr>
          <w:rFonts w:ascii="Arial" w:hAnsi="Arial" w:cs="Arial"/>
        </w:rPr>
      </w:pPr>
      <w:r w:rsidRPr="00995370">
        <w:rPr>
          <w:rFonts w:ascii="Arial" w:hAnsi="Arial" w:cs="Arial"/>
        </w:rPr>
        <w:t xml:space="preserve">Ensure our backend tables use these Primary Keys for the laws so that as COBAC or ANTIC updates their bulletins, </w:t>
      </w:r>
      <w:r w:rsidR="00995370">
        <w:rPr>
          <w:rFonts w:ascii="Arial" w:hAnsi="Arial" w:cs="Arial"/>
        </w:rPr>
        <w:t>we</w:t>
      </w:r>
      <w:r w:rsidRPr="00995370">
        <w:rPr>
          <w:rFonts w:ascii="Arial" w:hAnsi="Arial" w:cs="Arial"/>
        </w:rPr>
        <w:t xml:space="preserve"> only have to update one table to change the logic across all user dashboards.</w:t>
      </w:r>
      <w:r w:rsidRPr="00995370">
        <w:rPr>
          <w:rFonts w:ascii="Arial" w:hAnsi="Arial" w:cs="Arial"/>
        </w:rPr>
        <w:br/>
      </w:r>
      <w:r w:rsidRPr="00995370">
        <w:rPr>
          <w:rFonts w:ascii="Arial" w:hAnsi="Arial" w:cs="Arial"/>
        </w:rPr>
        <w:br/>
        <w:t>COBAC_CIRC_000002_2026</w:t>
      </w:r>
      <w:r w:rsidRPr="00995370">
        <w:rPr>
          <w:rFonts w:ascii="Arial" w:hAnsi="Arial" w:cs="Arial"/>
        </w:rPr>
        <w:br/>
        <w:t>ANTIC_LAW_2010_012</w:t>
      </w:r>
      <w:r w:rsidRPr="00995370">
        <w:rPr>
          <w:rFonts w:ascii="Arial" w:hAnsi="Arial" w:cs="Arial"/>
        </w:rPr>
        <w:br/>
        <w:t>FINANCE_LAW_2026_ART17C</w:t>
      </w:r>
    </w:p>
    <w:sectPr w:rsidR="00CC1545" w:rsidRPr="009953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441781">
    <w:abstractNumId w:val="8"/>
  </w:num>
  <w:num w:numId="2" w16cid:durableId="1767313111">
    <w:abstractNumId w:val="6"/>
  </w:num>
  <w:num w:numId="3" w16cid:durableId="356388699">
    <w:abstractNumId w:val="5"/>
  </w:num>
  <w:num w:numId="4" w16cid:durableId="389309959">
    <w:abstractNumId w:val="4"/>
  </w:num>
  <w:num w:numId="5" w16cid:durableId="1984964186">
    <w:abstractNumId w:val="7"/>
  </w:num>
  <w:num w:numId="6" w16cid:durableId="1356226460">
    <w:abstractNumId w:val="3"/>
  </w:num>
  <w:num w:numId="7" w16cid:durableId="1376080693">
    <w:abstractNumId w:val="2"/>
  </w:num>
  <w:num w:numId="8" w16cid:durableId="601651415">
    <w:abstractNumId w:val="1"/>
  </w:num>
  <w:num w:numId="9" w16cid:durableId="8731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E97"/>
    <w:rsid w:val="00326F90"/>
    <w:rsid w:val="00995370"/>
    <w:rsid w:val="00A2040F"/>
    <w:rsid w:val="00AA1D8D"/>
    <w:rsid w:val="00B47730"/>
    <w:rsid w:val="00CB0664"/>
    <w:rsid w:val="00CC1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C6320"/>
  <w14:defaultImageDpi w14:val="300"/>
  <w15:docId w15:val="{4D76A5EA-F90E-439C-96A8-6F38A839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Edison Ategha</cp:lastModifiedBy>
  <cp:revision>3</cp:revision>
  <dcterms:created xsi:type="dcterms:W3CDTF">2013-12-23T23:15:00Z</dcterms:created>
  <dcterms:modified xsi:type="dcterms:W3CDTF">2026-05-08T14:20:00Z</dcterms:modified>
  <cp:category/>
</cp:coreProperties>
</file>