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第一章 对象导论</w:t>
      </w:r>
    </w:p>
    <w:p>
      <w:pPr>
        <w:pStyle w:val="3"/>
        <w:rPr>
          <w:rFonts w:hint="eastAsia"/>
          <w:lang w:val="en-US" w:eastAsia="zh-CN"/>
        </w:rPr>
      </w:pPr>
      <w:r>
        <w:rPr>
          <w:rFonts w:hint="default"/>
          <w:lang w:val="en-US" w:eastAsia="zh-CN"/>
        </w:rPr>
        <w:t>1.1</w:t>
      </w:r>
      <w:r>
        <w:rPr>
          <w:rFonts w:hint="eastAsia"/>
          <w:lang w:val="en-US" w:eastAsia="zh-CN"/>
        </w:rPr>
        <w:t>抽象过程</w:t>
      </w:r>
    </w:p>
    <w:p>
      <w:pPr>
        <w:numPr>
          <w:ilvl w:val="0"/>
          <w:numId w:val="0"/>
        </w:numPr>
        <w:rPr>
          <w:rFonts w:hint="eastAsia"/>
          <w:lang w:val="en-US" w:eastAsia="zh-CN"/>
        </w:rPr>
      </w:pPr>
      <w:r>
        <w:rPr>
          <w:rFonts w:hint="eastAsia"/>
          <w:lang w:val="en-US" w:eastAsia="zh-CN"/>
        </w:rPr>
        <w:t>纯粹的面向对象程序设计方式</w:t>
      </w:r>
    </w:p>
    <w:p>
      <w:pPr>
        <w:numPr>
          <w:ilvl w:val="0"/>
          <w:numId w:val="1"/>
        </w:numPr>
        <w:rPr>
          <w:rFonts w:hint="eastAsia"/>
          <w:lang w:val="en-US" w:eastAsia="zh-CN"/>
        </w:rPr>
      </w:pPr>
      <w:r>
        <w:rPr>
          <w:rFonts w:hint="eastAsia"/>
          <w:lang w:val="en-US" w:eastAsia="zh-CN"/>
        </w:rPr>
        <w:t>万物皆为对象</w:t>
      </w:r>
    </w:p>
    <w:p>
      <w:pPr>
        <w:numPr>
          <w:ilvl w:val="0"/>
          <w:numId w:val="1"/>
        </w:numPr>
        <w:rPr>
          <w:rFonts w:hint="eastAsia"/>
          <w:lang w:val="en-US" w:eastAsia="zh-CN"/>
        </w:rPr>
      </w:pPr>
      <w:r>
        <w:rPr>
          <w:rFonts w:hint="eastAsia"/>
          <w:lang w:val="en-US" w:eastAsia="zh-CN"/>
        </w:rPr>
        <w:t>程序是对象的集合，它们通过发送消息来告知彼此所要做的</w:t>
      </w:r>
    </w:p>
    <w:p>
      <w:pPr>
        <w:numPr>
          <w:ilvl w:val="0"/>
          <w:numId w:val="1"/>
        </w:numPr>
        <w:rPr>
          <w:rFonts w:hint="eastAsia"/>
          <w:lang w:val="en-US" w:eastAsia="zh-CN"/>
        </w:rPr>
      </w:pPr>
      <w:r>
        <w:rPr>
          <w:rFonts w:hint="eastAsia"/>
          <w:lang w:val="en-US" w:eastAsia="zh-CN"/>
        </w:rPr>
        <w:t>美个对象都有自己的有其他对象构成的存储</w:t>
      </w:r>
    </w:p>
    <w:p>
      <w:pPr>
        <w:numPr>
          <w:ilvl w:val="0"/>
          <w:numId w:val="1"/>
        </w:numPr>
        <w:rPr>
          <w:rFonts w:hint="eastAsia"/>
          <w:lang w:val="en-US" w:eastAsia="zh-CN"/>
        </w:rPr>
      </w:pPr>
      <w:r>
        <w:rPr>
          <w:rFonts w:hint="eastAsia"/>
          <w:lang w:val="en-US" w:eastAsia="zh-CN"/>
        </w:rPr>
        <w:t>每个对象都拥有其类型</w:t>
      </w:r>
    </w:p>
    <w:p>
      <w:pPr>
        <w:numPr>
          <w:ilvl w:val="0"/>
          <w:numId w:val="1"/>
        </w:numPr>
        <w:rPr>
          <w:rFonts w:hint="eastAsia"/>
          <w:lang w:val="en-US" w:eastAsia="zh-CN"/>
        </w:rPr>
      </w:pPr>
      <w:r>
        <w:rPr>
          <w:rFonts w:hint="eastAsia"/>
          <w:lang w:val="en-US" w:eastAsia="zh-CN"/>
        </w:rPr>
        <w:t>某一个特定类型的所有对象都可以接受同样的消息</w:t>
      </w:r>
    </w:p>
    <w:p>
      <w:pPr>
        <w:pStyle w:val="3"/>
        <w:rPr>
          <w:rFonts w:hint="eastAsia"/>
          <w:szCs w:val="22"/>
          <w:lang w:val="en-US" w:eastAsia="zh-CN"/>
        </w:rPr>
      </w:pPr>
      <w:r>
        <w:rPr>
          <w:rFonts w:hint="eastAsia"/>
          <w:szCs w:val="22"/>
          <w:lang w:val="en-US" w:eastAsia="zh-CN"/>
        </w:rPr>
        <w:t>1.2每个对象都有一个接口</w:t>
      </w:r>
    </w:p>
    <w:p>
      <w:pPr>
        <w:pStyle w:val="3"/>
        <w:rPr>
          <w:rFonts w:hint="eastAsia"/>
          <w:szCs w:val="22"/>
          <w:lang w:val="en-US" w:eastAsia="zh-CN"/>
        </w:rPr>
      </w:pPr>
      <w:r>
        <w:rPr>
          <w:rFonts w:hint="eastAsia"/>
          <w:szCs w:val="22"/>
          <w:lang w:val="en-US" w:eastAsia="zh-CN"/>
        </w:rPr>
        <w:t>1.3每个对象都提供服务</w:t>
      </w:r>
    </w:p>
    <w:p>
      <w:pPr>
        <w:pStyle w:val="2"/>
        <w:rPr>
          <w:rFonts w:hint="eastAsia"/>
          <w:lang w:val="en-US" w:eastAsia="zh-CN"/>
        </w:rPr>
      </w:pPr>
      <w:r>
        <w:rPr>
          <w:rFonts w:hint="eastAsia"/>
          <w:lang w:val="en-US" w:eastAsia="zh-CN"/>
        </w:rPr>
        <w:t>第二章一切都是对象</w:t>
      </w:r>
    </w:p>
    <w:p>
      <w:pPr>
        <w:pStyle w:val="3"/>
        <w:rPr>
          <w:rFonts w:hint="eastAsia"/>
          <w:szCs w:val="22"/>
          <w:lang w:val="en-US" w:eastAsia="zh-CN"/>
        </w:rPr>
      </w:pPr>
      <w:r>
        <w:rPr>
          <w:rFonts w:hint="eastAsia"/>
          <w:szCs w:val="22"/>
          <w:lang w:val="en-US" w:eastAsia="zh-CN"/>
        </w:rPr>
        <w:t>2.1 用引用操纵对象</w:t>
      </w:r>
    </w:p>
    <w:p>
      <w:pPr>
        <w:pStyle w:val="3"/>
        <w:rPr>
          <w:rFonts w:hint="eastAsia"/>
          <w:szCs w:val="22"/>
          <w:lang w:val="en-US" w:eastAsia="zh-CN"/>
        </w:rPr>
      </w:pPr>
      <w:r>
        <w:rPr>
          <w:rFonts w:hint="eastAsia"/>
          <w:szCs w:val="22"/>
          <w:lang w:val="en-US" w:eastAsia="zh-CN"/>
        </w:rPr>
        <w:t>2.2 必须由你创建所有对象</w:t>
      </w:r>
    </w:p>
    <w:p>
      <w:pPr>
        <w:pStyle w:val="4"/>
        <w:rPr>
          <w:rFonts w:hint="eastAsia"/>
          <w:lang w:val="en-US" w:eastAsia="zh-CN"/>
        </w:rPr>
      </w:pPr>
      <w:r>
        <w:rPr>
          <w:rFonts w:hint="eastAsia"/>
          <w:lang w:val="en-US" w:eastAsia="zh-CN"/>
        </w:rPr>
        <w:t>2.2.1 存储到什么地方</w:t>
      </w:r>
    </w:p>
    <w:p>
      <w:pPr>
        <w:numPr>
          <w:ilvl w:val="0"/>
          <w:numId w:val="2"/>
        </w:numPr>
        <w:rPr>
          <w:rFonts w:hint="eastAsia"/>
          <w:lang w:val="en-US" w:eastAsia="zh-CN"/>
        </w:rPr>
      </w:pPr>
      <w:r>
        <w:rPr>
          <w:rFonts w:hint="eastAsia"/>
          <w:lang w:val="en-US" w:eastAsia="zh-CN"/>
        </w:rPr>
        <w:t>寄存器</w:t>
      </w:r>
    </w:p>
    <w:p>
      <w:pPr>
        <w:numPr>
          <w:numId w:val="0"/>
        </w:numPr>
        <w:ind w:firstLine="420" w:firstLineChars="0"/>
        <w:rPr>
          <w:rFonts w:hint="eastAsia"/>
          <w:lang w:val="en-US" w:eastAsia="zh-CN"/>
        </w:rPr>
      </w:pPr>
      <w:r>
        <w:rPr>
          <w:rFonts w:hint="eastAsia"/>
          <w:lang w:val="en-US" w:eastAsia="zh-CN"/>
        </w:rPr>
        <w:t>这是最快的存储区，因为它位于不同于其它存储区的地方--处理器内部。但是寄存器的数量极其有限，所以寄存器根据需求进行分配。你不能直接控制，也不能在程序中感觉到寄存器存在的任何迹象（另一方面，C和C++允许您向编译器建议寄存器的分配方式）。</w:t>
      </w:r>
    </w:p>
    <w:p>
      <w:pPr>
        <w:numPr>
          <w:ilvl w:val="0"/>
          <w:numId w:val="2"/>
        </w:numPr>
        <w:rPr>
          <w:rFonts w:hint="eastAsia"/>
          <w:lang w:val="en-US" w:eastAsia="zh-CN"/>
        </w:rPr>
      </w:pPr>
      <w:r>
        <w:rPr>
          <w:rFonts w:hint="eastAsia"/>
          <w:lang w:val="en-US" w:eastAsia="zh-CN"/>
        </w:rPr>
        <w:t>堆栈</w:t>
      </w:r>
    </w:p>
    <w:p>
      <w:pPr>
        <w:numPr>
          <w:numId w:val="0"/>
        </w:numPr>
        <w:ind w:firstLine="420" w:firstLineChars="0"/>
        <w:rPr>
          <w:rFonts w:hint="eastAsia"/>
          <w:lang w:val="en-US" w:eastAsia="zh-CN"/>
        </w:rPr>
      </w:pPr>
      <w:r>
        <w:rPr>
          <w:rFonts w:hint="eastAsia"/>
          <w:lang w:val="en-US" w:eastAsia="zh-CN"/>
        </w:rPr>
        <w:t>位于通用RAM中，但通过栈堆栈指针可以从处理器那里获得直接支持。堆栈指针若向下移动，则分配新的内存；若向上移动，则释放那些内存。这是一种快速有效的分配存储方法，仅次于寄存器。创建程序时，Java系统必须知道存储在堆栈内所有项的确切生命周期，以便于上下移动堆栈指针。这一约束限制了程序的灵活性，所以虽然某些Java数据存储于对战中-特别是对象引用，但是Java对象并不存储于其中。</w:t>
      </w:r>
    </w:p>
    <w:p>
      <w:pPr>
        <w:numPr>
          <w:ilvl w:val="0"/>
          <w:numId w:val="2"/>
        </w:numPr>
        <w:rPr>
          <w:rFonts w:hint="eastAsia"/>
          <w:lang w:val="en-US" w:eastAsia="zh-CN"/>
        </w:rPr>
      </w:pPr>
      <w:r>
        <w:rPr>
          <w:rFonts w:hint="eastAsia"/>
          <w:lang w:val="en-US" w:eastAsia="zh-CN"/>
        </w:rPr>
        <w:t>堆</w:t>
      </w:r>
    </w:p>
    <w:p>
      <w:pPr>
        <w:numPr>
          <w:numId w:val="0"/>
        </w:numPr>
        <w:ind w:firstLine="420" w:firstLineChars="0"/>
        <w:rPr>
          <w:rFonts w:hint="eastAsia"/>
          <w:lang w:val="en-US" w:eastAsia="zh-CN"/>
        </w:rPr>
      </w:pPr>
      <w:r>
        <w:rPr>
          <w:rFonts w:hint="eastAsia"/>
          <w:lang w:val="en-US" w:eastAsia="zh-CN"/>
        </w:rPr>
        <w:t>一种通用的内存池（也位于RAM区），用于存放所有的Java对象。堆不同于堆栈的好处：编译器不需要知道存储的数据在堆里存活多长时间。因此，在堆里分配存储有很大的灵活性。当需要一个对象时，只需要new写一行简单代码，当执行这行代码时，会主动在堆里进行存储分配。当然，为这种灵活性必须付出代价：用堆进行分配和清理可能比用堆栈进行存储分配需要更多的时间（如果确实可以再Java中像C++中一样在栈中创建对象）。</w:t>
      </w:r>
    </w:p>
    <w:p>
      <w:pPr>
        <w:numPr>
          <w:ilvl w:val="0"/>
          <w:numId w:val="2"/>
        </w:numPr>
        <w:rPr>
          <w:rFonts w:hint="eastAsia"/>
          <w:lang w:val="en-US" w:eastAsia="zh-CN"/>
        </w:rPr>
      </w:pPr>
      <w:r>
        <w:rPr>
          <w:rFonts w:hint="eastAsia"/>
          <w:lang w:val="en-US" w:eastAsia="zh-CN"/>
        </w:rPr>
        <w:t>常量存储</w:t>
      </w:r>
    </w:p>
    <w:p>
      <w:pPr>
        <w:numPr>
          <w:numId w:val="0"/>
        </w:numPr>
        <w:ind w:firstLine="420" w:firstLineChars="0"/>
        <w:rPr>
          <w:rFonts w:hint="eastAsia"/>
          <w:lang w:val="en-US" w:eastAsia="zh-CN"/>
        </w:rPr>
      </w:pPr>
      <w:r>
        <w:rPr>
          <w:rFonts w:hint="eastAsia"/>
          <w:lang w:val="en-US" w:eastAsia="zh-CN"/>
        </w:rPr>
        <w:t>常量值通常直接存放在程序代码内部，这样做是安全的，因为它们永远不会被改变。有时，在嵌入式系统中，常量本身会与其它部分隔离开，所以在这种情况下，可以选择将其存放在ROM（只读存储器）中。</w:t>
      </w:r>
    </w:p>
    <w:p>
      <w:pPr>
        <w:numPr>
          <w:ilvl w:val="0"/>
          <w:numId w:val="2"/>
        </w:numPr>
        <w:rPr>
          <w:rFonts w:hint="eastAsia"/>
          <w:lang w:val="en-US" w:eastAsia="zh-CN"/>
        </w:rPr>
      </w:pPr>
      <w:r>
        <w:rPr>
          <w:rFonts w:hint="eastAsia"/>
          <w:lang w:val="en-US" w:eastAsia="zh-CN"/>
        </w:rPr>
        <w:t>非RAM存储</w:t>
      </w:r>
    </w:p>
    <w:p>
      <w:pPr>
        <w:numPr>
          <w:numId w:val="0"/>
        </w:numPr>
        <w:ind w:firstLine="420" w:firstLineChars="0"/>
        <w:rPr>
          <w:rFonts w:hint="eastAsia"/>
          <w:lang w:val="en-US" w:eastAsia="zh-CN"/>
        </w:rPr>
      </w:pPr>
      <w:r>
        <w:rPr>
          <w:rFonts w:hint="eastAsia"/>
          <w:lang w:val="en-US" w:eastAsia="zh-CN"/>
        </w:rPr>
        <w:t>如果数据完全存活于程序之外，那么它可以不受程序的任何控制，在程序没有运行时也可以存在。其中两个基本的例子是流对象和持久化对象。在流对象中，对象转化成字节流，通常被发送到另一台机器。在“持久化对象”中，对象呗存放于磁盘，因此，即使程序终止，他们仍可以保持自己的状态。这种存储方式的技巧在于：把对象转化成可以存放在其它媒介上的事务，在需要时可恢复成常规的、基于RAM的对象。Java提供了对轻量级持久化的支持，而诸如JDBC和Hibernate这样的机制提供了更加复杂的对在数据库中存储和读取对象信息的支持。</w:t>
      </w:r>
    </w:p>
    <w:p>
      <w:pPr>
        <w:numPr>
          <w:numId w:val="0"/>
        </w:numPr>
        <w:rPr>
          <w:rFonts w:hint="eastAsia"/>
          <w:lang w:val="en-US" w:eastAsia="zh-CN"/>
        </w:rPr>
      </w:pPr>
    </w:p>
    <w:p>
      <w:pPr>
        <w:pStyle w:val="4"/>
        <w:rPr>
          <w:rFonts w:hint="eastAsia"/>
          <w:lang w:val="en-US" w:eastAsia="zh-CN"/>
        </w:rPr>
      </w:pPr>
      <w:r>
        <w:rPr>
          <w:rFonts w:hint="eastAsia"/>
          <w:lang w:val="en-US" w:eastAsia="zh-CN"/>
        </w:rPr>
        <w:t>2.2.2 特例：基本类型</w:t>
      </w:r>
    </w:p>
    <w:p>
      <w:pPr>
        <w:ind w:firstLine="420" w:firstLineChars="0"/>
        <w:rPr>
          <w:rFonts w:hint="eastAsia"/>
          <w:lang w:val="en-US" w:eastAsia="zh-CN"/>
        </w:rPr>
      </w:pPr>
      <w:r>
        <w:rPr>
          <w:rFonts w:hint="eastAsia"/>
          <w:lang w:val="en-US" w:eastAsia="zh-CN"/>
        </w:rPr>
        <w:t>在程序设计经常用到一系列类型，他们需要特殊对待。可以把它们想象成基本类型。之所以特殊对象，是因为new将对象存储在堆里，故用new创建一个对象--特别是小的、简单的变量，往往不是很有效。因此，对于这些类型，Java才去与C和C++相同的方法。也就是说，不用new来创建变量，而是创建一个并非是引用的自动变量。这个变量直接存储“值”，并置于堆栈中，因此更加高效。</w:t>
      </w:r>
    </w:p>
    <w:p>
      <w:pPr>
        <w:ind w:firstLine="420" w:firstLineChars="0"/>
        <w:rPr>
          <w:rFonts w:hint="eastAsia"/>
          <w:lang w:val="en-US" w:eastAsia="zh-CN"/>
        </w:rPr>
      </w:pPr>
      <w:r>
        <w:rPr>
          <w:rFonts w:hint="eastAsia"/>
          <w:lang w:val="en-US" w:eastAsia="zh-CN"/>
        </w:rPr>
        <w:t>Java要确定每种基本类型所占存储空间的大小。它们并不像其他大多数语言那样随机器硬件架构的变化而变化。这种所占存储空间大小而定不变性是Java程序比用其他大多属于盐编写的程序更具有可移植性的原因之一。</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eastAsia"/>
                <w:lang w:val="en-US" w:eastAsia="zh-CN"/>
              </w:rPr>
              <w:t>基本类型</w:t>
            </w:r>
          </w:p>
        </w:tc>
        <w:tc>
          <w:tcPr>
            <w:tcW w:w="1704" w:type="dxa"/>
            <w:vAlign w:val="center"/>
          </w:tcPr>
          <w:p>
            <w:pPr>
              <w:rPr>
                <w:rFonts w:hint="eastAsia"/>
                <w:vertAlign w:val="baseline"/>
                <w:lang w:val="en-US" w:eastAsia="zh-CN"/>
              </w:rPr>
            </w:pPr>
            <w:r>
              <w:rPr>
                <w:rFonts w:hint="eastAsia"/>
                <w:vertAlign w:val="baseline"/>
                <w:lang w:val="en-US" w:eastAsia="zh-CN"/>
              </w:rPr>
              <w:t>大小</w:t>
            </w:r>
          </w:p>
        </w:tc>
        <w:tc>
          <w:tcPr>
            <w:tcW w:w="1704" w:type="dxa"/>
            <w:vAlign w:val="center"/>
          </w:tcPr>
          <w:p>
            <w:pPr>
              <w:rPr>
                <w:rFonts w:hint="eastAsia"/>
                <w:vertAlign w:val="baseline"/>
                <w:lang w:val="en-US" w:eastAsia="zh-CN"/>
              </w:rPr>
            </w:pPr>
            <w:r>
              <w:rPr>
                <w:rFonts w:hint="eastAsia"/>
                <w:vertAlign w:val="baseline"/>
                <w:lang w:val="en-US" w:eastAsia="zh-CN"/>
              </w:rPr>
              <w:t>最小值</w:t>
            </w:r>
          </w:p>
        </w:tc>
        <w:tc>
          <w:tcPr>
            <w:tcW w:w="1705" w:type="dxa"/>
            <w:vAlign w:val="center"/>
          </w:tcPr>
          <w:p>
            <w:pPr>
              <w:rPr>
                <w:rFonts w:hint="eastAsia"/>
                <w:vertAlign w:val="baseline"/>
                <w:lang w:val="en-US" w:eastAsia="zh-CN"/>
              </w:rPr>
            </w:pPr>
            <w:r>
              <w:rPr>
                <w:rFonts w:hint="eastAsia"/>
                <w:vertAlign w:val="baseline"/>
                <w:lang w:val="en-US" w:eastAsia="zh-CN"/>
              </w:rPr>
              <w:t>最大自</w:t>
            </w:r>
          </w:p>
        </w:tc>
        <w:tc>
          <w:tcPr>
            <w:tcW w:w="1705" w:type="dxa"/>
            <w:vAlign w:val="center"/>
          </w:tcPr>
          <w:p>
            <w:pPr>
              <w:rPr>
                <w:rFonts w:hint="eastAsia"/>
                <w:vertAlign w:val="baseline"/>
                <w:lang w:val="en-US" w:eastAsia="zh-CN"/>
              </w:rPr>
            </w:pPr>
            <w:r>
              <w:rPr>
                <w:rFonts w:hint="eastAsia"/>
                <w:vertAlign w:val="baseline"/>
                <w:lang w:val="en-US" w:eastAsia="zh-CN"/>
              </w:rPr>
              <w:t>包装器类型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eastAsia"/>
                <w:vertAlign w:val="baseline"/>
                <w:lang w:val="en-US" w:eastAsia="zh-CN"/>
              </w:rPr>
              <w:t>boolean</w:t>
            </w:r>
          </w:p>
        </w:tc>
        <w:tc>
          <w:tcPr>
            <w:tcW w:w="1704" w:type="dxa"/>
            <w:vAlign w:val="center"/>
          </w:tcPr>
          <w:p>
            <w:pPr>
              <w:rPr>
                <w:rFonts w:hint="eastAsia"/>
                <w:vertAlign w:val="baseline"/>
                <w:lang w:val="en-US" w:eastAsia="zh-CN"/>
              </w:rPr>
            </w:pPr>
            <w:r>
              <w:rPr>
                <w:rFonts w:hint="default"/>
                <w:vertAlign w:val="baseline"/>
                <w:lang w:val="en-US" w:eastAsia="zh-CN"/>
              </w:rPr>
              <w:t>-</w:t>
            </w:r>
          </w:p>
        </w:tc>
        <w:tc>
          <w:tcPr>
            <w:tcW w:w="1704" w:type="dxa"/>
            <w:vAlign w:val="center"/>
          </w:tcPr>
          <w:p>
            <w:pPr>
              <w:rPr>
                <w:rFonts w:hint="eastAsia"/>
                <w:vertAlign w:val="baseline"/>
                <w:lang w:val="en-US" w:eastAsia="zh-CN"/>
              </w:rPr>
            </w:pPr>
            <w:r>
              <w:rPr>
                <w:rFonts w:hint="default"/>
                <w:vertAlign w:val="baseline"/>
                <w:lang w:val="en-US" w:eastAsia="zh-CN"/>
              </w:rPr>
              <w:t>-</w:t>
            </w:r>
          </w:p>
        </w:tc>
        <w:tc>
          <w:tcPr>
            <w:tcW w:w="1705" w:type="dxa"/>
            <w:vAlign w:val="center"/>
          </w:tcPr>
          <w:p>
            <w:pPr>
              <w:rPr>
                <w:rFonts w:hint="eastAsia"/>
                <w:vertAlign w:val="baseline"/>
                <w:lang w:val="en-US" w:eastAsia="zh-CN"/>
              </w:rPr>
            </w:pPr>
            <w:r>
              <w:rPr>
                <w:rFonts w:hint="default"/>
                <w:vertAlign w:val="baseline"/>
                <w:lang w:val="en-US" w:eastAsia="zh-CN"/>
              </w:rPr>
              <w:t>-</w:t>
            </w:r>
          </w:p>
        </w:tc>
        <w:tc>
          <w:tcPr>
            <w:tcW w:w="1705" w:type="dxa"/>
            <w:vAlign w:val="center"/>
          </w:tcPr>
          <w:p>
            <w:pPr>
              <w:rPr>
                <w:rFonts w:hint="eastAsia"/>
                <w:vertAlign w:val="baseline"/>
                <w:lang w:val="en-US" w:eastAsia="zh-CN"/>
              </w:rPr>
            </w:pPr>
            <w:r>
              <w:rPr>
                <w:rFonts w:hint="default"/>
                <w:vertAlign w:val="baseline"/>
                <w:lang w:val="en-US" w:eastAsia="zh-CN"/>
              </w:rPr>
              <w:t>Boolean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default"/>
                <w:vertAlign w:val="baseline"/>
                <w:lang w:val="en-US" w:eastAsia="zh-CN"/>
              </w:rPr>
              <w:t>char</w:t>
            </w:r>
          </w:p>
        </w:tc>
        <w:tc>
          <w:tcPr>
            <w:tcW w:w="1704" w:type="dxa"/>
            <w:vAlign w:val="center"/>
          </w:tcPr>
          <w:p>
            <w:pPr>
              <w:rPr>
                <w:rFonts w:hint="eastAsia"/>
                <w:vertAlign w:val="baseline"/>
                <w:lang w:val="en-US" w:eastAsia="zh-CN"/>
              </w:rPr>
            </w:pPr>
            <w:r>
              <w:rPr>
                <w:rFonts w:hint="default"/>
                <w:vertAlign w:val="baseline"/>
                <w:lang w:val="en-US" w:eastAsia="zh-CN"/>
              </w:rPr>
              <w:t>16-bit</w:t>
            </w:r>
          </w:p>
        </w:tc>
        <w:tc>
          <w:tcPr>
            <w:tcW w:w="1704" w:type="dxa"/>
            <w:vAlign w:val="center"/>
          </w:tcPr>
          <w:p>
            <w:pPr>
              <w:rPr>
                <w:rFonts w:hint="eastAsia"/>
                <w:vertAlign w:val="baseline"/>
                <w:lang w:val="en-US" w:eastAsia="zh-CN"/>
              </w:rPr>
            </w:pPr>
            <w:r>
              <w:rPr>
                <w:rFonts w:hint="default"/>
                <w:vertAlign w:val="baseline"/>
                <w:lang w:val="en-US" w:eastAsia="zh-CN"/>
              </w:rPr>
              <w:t>Unicode 0</w:t>
            </w:r>
          </w:p>
        </w:tc>
        <w:tc>
          <w:tcPr>
            <w:tcW w:w="1705" w:type="dxa"/>
            <w:vAlign w:val="center"/>
          </w:tcPr>
          <w:p>
            <w:pPr>
              <w:rPr>
                <w:rFonts w:hint="eastAsia"/>
                <w:vertAlign w:val="baseline"/>
                <w:lang w:val="en-US" w:eastAsia="zh-CN"/>
              </w:rPr>
            </w:pPr>
            <w:r>
              <w:rPr>
                <w:rFonts w:hint="default"/>
                <w:vertAlign w:val="baseline"/>
                <w:lang w:val="en-US" w:eastAsia="zh-CN"/>
              </w:rPr>
              <w:t>Unicode2</w:t>
            </w:r>
            <w:r>
              <w:rPr>
                <w:rFonts w:hint="eastAsia"/>
                <w:vertAlign w:val="superscript"/>
                <w:lang w:val="en-US" w:eastAsia="zh-CN"/>
              </w:rPr>
              <w:t>16</w:t>
            </w:r>
            <w:r>
              <w:rPr>
                <w:rFonts w:hint="eastAsia"/>
                <w:vertAlign w:val="baseline"/>
                <w:lang w:val="en-US" w:eastAsia="zh-CN"/>
              </w:rPr>
              <w:t>-1</w:t>
            </w:r>
          </w:p>
        </w:tc>
        <w:tc>
          <w:tcPr>
            <w:tcW w:w="1705" w:type="dxa"/>
            <w:vAlign w:val="center"/>
          </w:tcPr>
          <w:p>
            <w:pPr>
              <w:rPr>
                <w:rFonts w:hint="eastAsia"/>
                <w:vertAlign w:val="baseline"/>
                <w:lang w:val="en-US" w:eastAsia="zh-CN"/>
              </w:rPr>
            </w:pPr>
            <w:r>
              <w:rPr>
                <w:rFonts w:hint="eastAsia"/>
                <w:vertAlign w:val="baseline"/>
                <w:lang w:val="en-US" w:eastAsia="zh-CN"/>
              </w:rPr>
              <w:t>Char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eastAsia"/>
                <w:vertAlign w:val="baseline"/>
                <w:lang w:val="en-US" w:eastAsia="zh-CN"/>
              </w:rPr>
              <w:t>byte</w:t>
            </w:r>
          </w:p>
        </w:tc>
        <w:tc>
          <w:tcPr>
            <w:tcW w:w="1704" w:type="dxa"/>
            <w:vAlign w:val="center"/>
          </w:tcPr>
          <w:p>
            <w:pPr>
              <w:rPr>
                <w:rFonts w:hint="eastAsia"/>
                <w:vertAlign w:val="baseline"/>
                <w:lang w:val="en-US" w:eastAsia="zh-CN"/>
              </w:rPr>
            </w:pPr>
            <w:r>
              <w:rPr>
                <w:rFonts w:hint="eastAsia"/>
                <w:vertAlign w:val="baseline"/>
                <w:lang w:val="en-US" w:eastAsia="zh-CN"/>
              </w:rPr>
              <w:t>8 bits</w:t>
            </w:r>
          </w:p>
        </w:tc>
        <w:tc>
          <w:tcPr>
            <w:tcW w:w="1704" w:type="dxa"/>
            <w:vAlign w:val="center"/>
          </w:tcPr>
          <w:p>
            <w:pPr>
              <w:rPr>
                <w:rFonts w:hint="eastAsia"/>
                <w:vertAlign w:val="baseline"/>
                <w:lang w:val="en-US" w:eastAsia="zh-CN"/>
              </w:rPr>
            </w:pPr>
            <w:r>
              <w:rPr>
                <w:rFonts w:hint="eastAsia"/>
                <w:vertAlign w:val="baseline"/>
                <w:lang w:val="en-US" w:eastAsia="zh-CN"/>
              </w:rPr>
              <w:t>-2</w:t>
            </w:r>
            <w:r>
              <w:rPr>
                <w:rFonts w:hint="default"/>
                <w:vertAlign w:val="baseline"/>
                <w:lang w:val="en-US" w:eastAsia="zh-CN"/>
              </w:rPr>
              <w:t>7</w:t>
            </w:r>
          </w:p>
        </w:tc>
        <w:tc>
          <w:tcPr>
            <w:tcW w:w="1705" w:type="dxa"/>
            <w:vAlign w:val="center"/>
          </w:tcPr>
          <w:p>
            <w:pPr>
              <w:rPr>
                <w:rFonts w:hint="eastAsia"/>
                <w:vertAlign w:val="baseline"/>
                <w:lang w:val="en-US" w:eastAsia="zh-CN"/>
              </w:rPr>
            </w:pPr>
            <w:r>
              <w:rPr>
                <w:rFonts w:hint="eastAsia"/>
                <w:vertAlign w:val="baseline"/>
                <w:lang w:val="en-US" w:eastAsia="zh-CN"/>
              </w:rPr>
              <w:t>2</w:t>
            </w:r>
            <w:r>
              <w:rPr>
                <w:rFonts w:hint="default"/>
                <w:vertAlign w:val="superscript"/>
                <w:lang w:val="en-US" w:eastAsia="zh-CN"/>
              </w:rPr>
              <w:t>7</w:t>
            </w:r>
            <w:r>
              <w:rPr>
                <w:rFonts w:hint="eastAsia"/>
                <w:vertAlign w:val="baseline"/>
                <w:lang w:val="en-US" w:eastAsia="zh-CN"/>
              </w:rPr>
              <w:t>-1</w:t>
            </w:r>
          </w:p>
        </w:tc>
        <w:tc>
          <w:tcPr>
            <w:tcW w:w="1705" w:type="dxa"/>
            <w:vAlign w:val="center"/>
          </w:tcPr>
          <w:p>
            <w:pPr>
              <w:rPr>
                <w:rFonts w:hint="eastAsia"/>
                <w:vertAlign w:val="baseline"/>
                <w:lang w:val="en-US" w:eastAsia="zh-CN"/>
              </w:rPr>
            </w:pPr>
            <w:r>
              <w:rPr>
                <w:rFonts w:hint="eastAsia"/>
                <w:vertAlign w:val="baseline"/>
                <w:lang w:val="en-US" w:eastAsia="zh-CN"/>
              </w:rPr>
              <w:t>Byte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eastAsia"/>
                <w:vertAlign w:val="baseline"/>
                <w:lang w:val="en-US" w:eastAsia="zh-CN"/>
              </w:rPr>
              <w:t>short</w:t>
            </w:r>
          </w:p>
        </w:tc>
        <w:tc>
          <w:tcPr>
            <w:tcW w:w="1704" w:type="dxa"/>
            <w:vAlign w:val="center"/>
          </w:tcPr>
          <w:p>
            <w:pPr>
              <w:rPr>
                <w:rFonts w:hint="eastAsia"/>
                <w:vertAlign w:val="baseline"/>
                <w:lang w:val="en-US" w:eastAsia="zh-CN"/>
              </w:rPr>
            </w:pPr>
            <w:r>
              <w:rPr>
                <w:rFonts w:hint="eastAsia"/>
                <w:vertAlign w:val="baseline"/>
                <w:lang w:val="en-US" w:eastAsia="zh-CN"/>
              </w:rPr>
              <w:t>16 bits</w:t>
            </w:r>
          </w:p>
        </w:tc>
        <w:tc>
          <w:tcPr>
            <w:tcW w:w="1704" w:type="dxa"/>
            <w:vAlign w:val="center"/>
          </w:tcPr>
          <w:p>
            <w:pPr>
              <w:rPr>
                <w:rFonts w:hint="eastAsia"/>
                <w:vertAlign w:val="baseline"/>
                <w:lang w:val="en-US" w:eastAsia="zh-CN"/>
              </w:rPr>
            </w:pPr>
            <w:r>
              <w:rPr>
                <w:rFonts w:hint="eastAsia"/>
                <w:vertAlign w:val="baseline"/>
                <w:lang w:val="en-US" w:eastAsia="zh-CN"/>
              </w:rPr>
              <w:t>-2</w:t>
            </w:r>
            <w:r>
              <w:rPr>
                <w:rFonts w:hint="eastAsia"/>
                <w:vertAlign w:val="superscript"/>
                <w:lang w:val="en-US" w:eastAsia="zh-CN"/>
              </w:rPr>
              <w:t>1</w:t>
            </w:r>
            <w:r>
              <w:rPr>
                <w:rFonts w:hint="default"/>
                <w:vertAlign w:val="superscript"/>
                <w:lang w:val="en-US" w:eastAsia="zh-CN"/>
              </w:rPr>
              <w:t>5</w:t>
            </w:r>
          </w:p>
        </w:tc>
        <w:tc>
          <w:tcPr>
            <w:tcW w:w="1705" w:type="dxa"/>
            <w:vAlign w:val="center"/>
          </w:tcPr>
          <w:p>
            <w:pPr>
              <w:rPr>
                <w:rFonts w:hint="eastAsia"/>
                <w:vertAlign w:val="baseline"/>
                <w:lang w:val="en-US" w:eastAsia="zh-CN"/>
              </w:rPr>
            </w:pPr>
            <w:r>
              <w:rPr>
                <w:rFonts w:hint="default"/>
                <w:vertAlign w:val="baseline"/>
                <w:lang w:val="en-US" w:eastAsia="zh-CN"/>
              </w:rPr>
              <w:t>2</w:t>
            </w:r>
            <w:r>
              <w:rPr>
                <w:rFonts w:hint="default"/>
                <w:vertAlign w:val="superscript"/>
                <w:lang w:val="en-US" w:eastAsia="zh-CN"/>
              </w:rPr>
              <w:t>15</w:t>
            </w:r>
            <w:r>
              <w:rPr>
                <w:rFonts w:hint="default"/>
                <w:vertAlign w:val="baseline"/>
                <w:lang w:val="en-US" w:eastAsia="zh-CN"/>
              </w:rPr>
              <w:t>-1</w:t>
            </w:r>
          </w:p>
        </w:tc>
        <w:tc>
          <w:tcPr>
            <w:tcW w:w="1705" w:type="dxa"/>
            <w:vAlign w:val="center"/>
          </w:tcPr>
          <w:p>
            <w:pPr>
              <w:rPr>
                <w:rFonts w:hint="eastAsia"/>
                <w:vertAlign w:val="baseline"/>
                <w:lang w:val="en-US" w:eastAsia="zh-CN"/>
              </w:rPr>
            </w:pPr>
            <w:r>
              <w:rPr>
                <w:rFonts w:hint="default"/>
                <w:vertAlign w:val="baseline"/>
                <w:lang w:val="en-US" w:eastAsia="zh-CN"/>
              </w:rPr>
              <w:t>Short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eastAsia"/>
                <w:vertAlign w:val="baseline"/>
                <w:lang w:val="en-US" w:eastAsia="zh-CN"/>
              </w:rPr>
              <w:t>int</w:t>
            </w:r>
          </w:p>
        </w:tc>
        <w:tc>
          <w:tcPr>
            <w:tcW w:w="1704" w:type="dxa"/>
            <w:vAlign w:val="center"/>
          </w:tcPr>
          <w:p>
            <w:pPr>
              <w:rPr>
                <w:rFonts w:hint="eastAsia"/>
                <w:vertAlign w:val="baseline"/>
                <w:lang w:val="en-US" w:eastAsia="zh-CN"/>
              </w:rPr>
            </w:pPr>
            <w:r>
              <w:rPr>
                <w:rFonts w:hint="eastAsia"/>
                <w:vertAlign w:val="baseline"/>
                <w:lang w:val="en-US" w:eastAsia="zh-CN"/>
              </w:rPr>
              <w:t>32 bits</w:t>
            </w:r>
          </w:p>
        </w:tc>
        <w:tc>
          <w:tcPr>
            <w:tcW w:w="1704" w:type="dxa"/>
            <w:vAlign w:val="center"/>
          </w:tcPr>
          <w:p>
            <w:pPr>
              <w:rPr>
                <w:rFonts w:hint="eastAsia"/>
                <w:vertAlign w:val="baseline"/>
                <w:lang w:val="en-US" w:eastAsia="zh-CN"/>
              </w:rPr>
            </w:pPr>
            <w:r>
              <w:rPr>
                <w:rFonts w:hint="default"/>
                <w:vertAlign w:val="baseline"/>
                <w:lang w:val="en-US" w:eastAsia="zh-CN"/>
              </w:rPr>
              <w:t>-2</w:t>
            </w:r>
            <w:r>
              <w:rPr>
                <w:rFonts w:hint="default"/>
                <w:vertAlign w:val="superscript"/>
                <w:lang w:val="en-US" w:eastAsia="zh-CN"/>
              </w:rPr>
              <w:t>31</w:t>
            </w:r>
          </w:p>
        </w:tc>
        <w:tc>
          <w:tcPr>
            <w:tcW w:w="1705" w:type="dxa"/>
            <w:vAlign w:val="center"/>
          </w:tcPr>
          <w:p>
            <w:pPr>
              <w:rPr>
                <w:rFonts w:hint="eastAsia"/>
                <w:vertAlign w:val="baseline"/>
                <w:lang w:val="en-US" w:eastAsia="zh-CN"/>
              </w:rPr>
            </w:pPr>
            <w:r>
              <w:rPr>
                <w:rFonts w:hint="default"/>
                <w:vertAlign w:val="baseline"/>
                <w:lang w:val="en-US" w:eastAsia="zh-CN"/>
              </w:rPr>
              <w:t>2</w:t>
            </w:r>
            <w:r>
              <w:rPr>
                <w:rFonts w:hint="default"/>
                <w:vertAlign w:val="superscript"/>
                <w:lang w:val="en-US" w:eastAsia="zh-CN"/>
              </w:rPr>
              <w:t>31</w:t>
            </w:r>
            <w:r>
              <w:rPr>
                <w:rFonts w:hint="default"/>
                <w:vertAlign w:val="baseline"/>
                <w:lang w:val="en-US" w:eastAsia="zh-CN"/>
              </w:rPr>
              <w:t>-1</w:t>
            </w:r>
          </w:p>
        </w:tc>
        <w:tc>
          <w:tcPr>
            <w:tcW w:w="1705" w:type="dxa"/>
            <w:vAlign w:val="center"/>
          </w:tcPr>
          <w:p>
            <w:pPr>
              <w:rPr>
                <w:rFonts w:hint="eastAsia"/>
                <w:vertAlign w:val="baseline"/>
                <w:lang w:val="en-US" w:eastAsia="zh-CN"/>
              </w:rPr>
            </w:pPr>
            <w:r>
              <w:rPr>
                <w:rFonts w:hint="default"/>
                <w:vertAlign w:val="baseline"/>
                <w:lang w:val="en-US" w:eastAsia="zh-CN"/>
              </w:rPr>
              <w:t>Integer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eastAsia"/>
                <w:vertAlign w:val="baseline"/>
                <w:lang w:val="en-US" w:eastAsia="zh-CN"/>
              </w:rPr>
              <w:t>long</w:t>
            </w:r>
          </w:p>
        </w:tc>
        <w:tc>
          <w:tcPr>
            <w:tcW w:w="1704" w:type="dxa"/>
            <w:vAlign w:val="center"/>
          </w:tcPr>
          <w:p>
            <w:pPr>
              <w:rPr>
                <w:rFonts w:hint="eastAsia"/>
                <w:vertAlign w:val="baseline"/>
                <w:lang w:val="en-US" w:eastAsia="zh-CN"/>
              </w:rPr>
            </w:pPr>
            <w:r>
              <w:rPr>
                <w:rFonts w:hint="eastAsia"/>
                <w:vertAlign w:val="baseline"/>
                <w:lang w:val="en-US" w:eastAsia="zh-CN"/>
              </w:rPr>
              <w:t>64 bits</w:t>
            </w:r>
          </w:p>
        </w:tc>
        <w:tc>
          <w:tcPr>
            <w:tcW w:w="1704" w:type="dxa"/>
            <w:vAlign w:val="center"/>
          </w:tcPr>
          <w:p>
            <w:pPr>
              <w:rPr>
                <w:rFonts w:hint="eastAsia"/>
                <w:vertAlign w:val="baseline"/>
                <w:lang w:val="en-US" w:eastAsia="zh-CN"/>
              </w:rPr>
            </w:pPr>
            <w:r>
              <w:rPr>
                <w:rFonts w:hint="default"/>
                <w:vertAlign w:val="baseline"/>
                <w:lang w:val="en-US" w:eastAsia="zh-CN"/>
              </w:rPr>
              <w:t>-2</w:t>
            </w:r>
            <w:r>
              <w:rPr>
                <w:rFonts w:hint="default"/>
                <w:vertAlign w:val="superscript"/>
                <w:lang w:val="en-US" w:eastAsia="zh-CN"/>
              </w:rPr>
              <w:t>63</w:t>
            </w:r>
          </w:p>
        </w:tc>
        <w:tc>
          <w:tcPr>
            <w:tcW w:w="1705" w:type="dxa"/>
            <w:vAlign w:val="center"/>
          </w:tcPr>
          <w:p>
            <w:pPr>
              <w:rPr>
                <w:rFonts w:hint="eastAsia"/>
                <w:vertAlign w:val="baseline"/>
                <w:lang w:val="en-US" w:eastAsia="zh-CN"/>
              </w:rPr>
            </w:pPr>
            <w:r>
              <w:rPr>
                <w:rFonts w:hint="default"/>
                <w:vertAlign w:val="baseline"/>
                <w:lang w:val="en-US" w:eastAsia="zh-CN"/>
              </w:rPr>
              <w:t>2</w:t>
            </w:r>
            <w:r>
              <w:rPr>
                <w:rFonts w:hint="default"/>
                <w:vertAlign w:val="superscript"/>
                <w:lang w:val="en-US" w:eastAsia="zh-CN"/>
              </w:rPr>
              <w:t>63</w:t>
            </w:r>
            <w:r>
              <w:rPr>
                <w:rFonts w:hint="default"/>
                <w:vertAlign w:val="baseline"/>
                <w:lang w:val="en-US" w:eastAsia="zh-CN"/>
              </w:rPr>
              <w:t>-1</w:t>
            </w:r>
          </w:p>
        </w:tc>
        <w:tc>
          <w:tcPr>
            <w:tcW w:w="1705" w:type="dxa"/>
            <w:vAlign w:val="center"/>
          </w:tcPr>
          <w:p>
            <w:pPr>
              <w:rPr>
                <w:rFonts w:hint="eastAsia"/>
                <w:vertAlign w:val="baseline"/>
                <w:lang w:val="en-US" w:eastAsia="zh-CN"/>
              </w:rPr>
            </w:pPr>
            <w:r>
              <w:rPr>
                <w:rFonts w:hint="default"/>
                <w:vertAlign w:val="baseline"/>
                <w:lang w:val="en-US" w:eastAsia="zh-CN"/>
              </w:rPr>
              <w:t>Long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eastAsia"/>
                <w:vertAlign w:val="baseline"/>
                <w:lang w:val="en-US" w:eastAsia="zh-CN"/>
              </w:rPr>
              <w:t>float</w:t>
            </w:r>
          </w:p>
        </w:tc>
        <w:tc>
          <w:tcPr>
            <w:tcW w:w="1704" w:type="dxa"/>
            <w:vAlign w:val="center"/>
          </w:tcPr>
          <w:p>
            <w:pPr>
              <w:rPr>
                <w:rFonts w:hint="eastAsia"/>
                <w:vertAlign w:val="baseline"/>
                <w:lang w:val="en-US" w:eastAsia="zh-CN"/>
              </w:rPr>
            </w:pPr>
            <w:r>
              <w:rPr>
                <w:rFonts w:hint="eastAsia"/>
                <w:vertAlign w:val="baseline"/>
                <w:lang w:val="en-US" w:eastAsia="zh-CN"/>
              </w:rPr>
              <w:t>32 bits</w:t>
            </w:r>
          </w:p>
        </w:tc>
        <w:tc>
          <w:tcPr>
            <w:tcW w:w="1704" w:type="dxa"/>
            <w:vAlign w:val="center"/>
          </w:tcPr>
          <w:p>
            <w:pPr>
              <w:rPr>
                <w:rFonts w:hint="eastAsia"/>
                <w:vertAlign w:val="baseline"/>
                <w:lang w:val="en-US" w:eastAsia="zh-CN"/>
              </w:rPr>
            </w:pPr>
            <w:r>
              <w:rPr>
                <w:rFonts w:hint="default"/>
                <w:vertAlign w:val="baseline"/>
                <w:lang w:val="en-US" w:eastAsia="zh-CN"/>
              </w:rPr>
              <w:t>IEEE754</w:t>
            </w:r>
          </w:p>
        </w:tc>
        <w:tc>
          <w:tcPr>
            <w:tcW w:w="1705" w:type="dxa"/>
            <w:vAlign w:val="center"/>
          </w:tcPr>
          <w:p>
            <w:pPr>
              <w:rPr>
                <w:rFonts w:hint="eastAsia"/>
                <w:vertAlign w:val="baseline"/>
                <w:lang w:val="en-US" w:eastAsia="zh-CN"/>
              </w:rPr>
            </w:pPr>
            <w:r>
              <w:rPr>
                <w:rFonts w:hint="default"/>
                <w:vertAlign w:val="baseline"/>
                <w:lang w:val="en-US" w:eastAsia="zh-CN"/>
              </w:rPr>
              <w:t>IEEE754</w:t>
            </w:r>
          </w:p>
        </w:tc>
        <w:tc>
          <w:tcPr>
            <w:tcW w:w="1705" w:type="dxa"/>
            <w:vAlign w:val="center"/>
          </w:tcPr>
          <w:p>
            <w:pPr>
              <w:rPr>
                <w:rFonts w:hint="eastAsia"/>
                <w:vertAlign w:val="baseline"/>
                <w:lang w:val="en-US" w:eastAsia="zh-CN"/>
              </w:rPr>
            </w:pPr>
            <w:r>
              <w:rPr>
                <w:rFonts w:hint="default"/>
                <w:vertAlign w:val="baseline"/>
                <w:lang w:val="en-US" w:eastAsia="zh-CN"/>
              </w:rPr>
              <w:t>Float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eastAsia"/>
                <w:vertAlign w:val="baseline"/>
                <w:lang w:val="en-US" w:eastAsia="zh-CN"/>
              </w:rPr>
              <w:t>double</w:t>
            </w:r>
          </w:p>
        </w:tc>
        <w:tc>
          <w:tcPr>
            <w:tcW w:w="1704" w:type="dxa"/>
            <w:vAlign w:val="center"/>
          </w:tcPr>
          <w:p>
            <w:pPr>
              <w:rPr>
                <w:rFonts w:hint="eastAsia"/>
                <w:vertAlign w:val="baseline"/>
                <w:lang w:val="en-US" w:eastAsia="zh-CN"/>
              </w:rPr>
            </w:pPr>
            <w:r>
              <w:rPr>
                <w:rFonts w:hint="eastAsia"/>
                <w:vertAlign w:val="baseline"/>
                <w:lang w:val="en-US" w:eastAsia="zh-CN"/>
              </w:rPr>
              <w:t>64 bits</w:t>
            </w:r>
          </w:p>
        </w:tc>
        <w:tc>
          <w:tcPr>
            <w:tcW w:w="1704" w:type="dxa"/>
            <w:vAlign w:val="center"/>
          </w:tcPr>
          <w:p>
            <w:pPr>
              <w:rPr>
                <w:rFonts w:hint="eastAsia"/>
                <w:vertAlign w:val="baseline"/>
                <w:lang w:val="en-US" w:eastAsia="zh-CN"/>
              </w:rPr>
            </w:pPr>
            <w:r>
              <w:rPr>
                <w:rFonts w:hint="default"/>
                <w:vertAlign w:val="baseline"/>
                <w:lang w:val="en-US" w:eastAsia="zh-CN"/>
              </w:rPr>
              <w:t>IEEE754</w:t>
            </w:r>
          </w:p>
        </w:tc>
        <w:tc>
          <w:tcPr>
            <w:tcW w:w="1705" w:type="dxa"/>
            <w:vAlign w:val="center"/>
          </w:tcPr>
          <w:p>
            <w:pPr>
              <w:rPr>
                <w:rFonts w:hint="eastAsia"/>
                <w:vertAlign w:val="baseline"/>
                <w:lang w:val="en-US" w:eastAsia="zh-CN"/>
              </w:rPr>
            </w:pPr>
            <w:r>
              <w:rPr>
                <w:rFonts w:hint="default"/>
                <w:vertAlign w:val="baseline"/>
                <w:lang w:val="en-US" w:eastAsia="zh-CN"/>
              </w:rPr>
              <w:t>IEEE754</w:t>
            </w:r>
          </w:p>
        </w:tc>
        <w:tc>
          <w:tcPr>
            <w:tcW w:w="1705" w:type="dxa"/>
            <w:vAlign w:val="center"/>
          </w:tcPr>
          <w:p>
            <w:pPr>
              <w:rPr>
                <w:rFonts w:hint="eastAsia"/>
                <w:vertAlign w:val="baseline"/>
                <w:lang w:val="en-US" w:eastAsia="zh-CN"/>
              </w:rPr>
            </w:pPr>
            <w:r>
              <w:rPr>
                <w:rFonts w:hint="default"/>
                <w:vertAlign w:val="baseline"/>
                <w:lang w:val="en-US" w:eastAsia="zh-CN"/>
              </w:rPr>
              <w:t>Double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0" w:hRule="atLeast"/>
        </w:trPr>
        <w:tc>
          <w:tcPr>
            <w:tcW w:w="1704" w:type="dxa"/>
            <w:vAlign w:val="center"/>
          </w:tcPr>
          <w:p>
            <w:pPr>
              <w:rPr>
                <w:rFonts w:hint="eastAsia"/>
                <w:vertAlign w:val="baseline"/>
                <w:lang w:val="en-US" w:eastAsia="zh-CN"/>
              </w:rPr>
            </w:pPr>
            <w:r>
              <w:rPr>
                <w:rFonts w:hint="eastAsia"/>
                <w:vertAlign w:val="baseline"/>
                <w:lang w:val="en-US" w:eastAsia="zh-CN"/>
              </w:rPr>
              <w:t>void</w:t>
            </w:r>
          </w:p>
        </w:tc>
        <w:tc>
          <w:tcPr>
            <w:tcW w:w="1704" w:type="dxa"/>
            <w:vAlign w:val="center"/>
          </w:tcPr>
          <w:p>
            <w:pPr>
              <w:rPr>
                <w:rFonts w:hint="eastAsia"/>
                <w:vertAlign w:val="baseline"/>
                <w:lang w:val="en-US" w:eastAsia="zh-CN"/>
              </w:rPr>
            </w:pPr>
            <w:r>
              <w:rPr>
                <w:rFonts w:hint="eastAsia"/>
                <w:vertAlign w:val="baseline"/>
                <w:lang w:val="en-US" w:eastAsia="zh-CN"/>
              </w:rPr>
              <w:t>-</w:t>
            </w:r>
          </w:p>
        </w:tc>
        <w:tc>
          <w:tcPr>
            <w:tcW w:w="1704" w:type="dxa"/>
            <w:vAlign w:val="center"/>
          </w:tcPr>
          <w:p>
            <w:pPr>
              <w:rPr>
                <w:rFonts w:hint="eastAsia"/>
                <w:vertAlign w:val="baseline"/>
                <w:lang w:val="en-US" w:eastAsia="zh-CN"/>
              </w:rPr>
            </w:pPr>
            <w:r>
              <w:rPr>
                <w:rFonts w:hint="default"/>
                <w:vertAlign w:val="baseline"/>
                <w:lang w:val="en-US" w:eastAsia="zh-CN"/>
              </w:rPr>
              <w:t>-</w:t>
            </w:r>
          </w:p>
        </w:tc>
        <w:tc>
          <w:tcPr>
            <w:tcW w:w="1705" w:type="dxa"/>
            <w:vAlign w:val="center"/>
          </w:tcPr>
          <w:p>
            <w:pPr>
              <w:rPr>
                <w:rFonts w:hint="eastAsia"/>
                <w:vertAlign w:val="baseline"/>
                <w:lang w:val="en-US" w:eastAsia="zh-CN"/>
              </w:rPr>
            </w:pPr>
            <w:r>
              <w:rPr>
                <w:rFonts w:hint="default"/>
                <w:vertAlign w:val="baseline"/>
                <w:lang w:val="en-US" w:eastAsia="zh-CN"/>
              </w:rPr>
              <w:t>-</w:t>
            </w:r>
          </w:p>
        </w:tc>
        <w:tc>
          <w:tcPr>
            <w:tcW w:w="1705" w:type="dxa"/>
            <w:vAlign w:val="center"/>
          </w:tcPr>
          <w:p>
            <w:pPr>
              <w:rPr>
                <w:rFonts w:hint="eastAsia"/>
                <w:vertAlign w:val="baseline"/>
                <w:lang w:val="en-US" w:eastAsia="zh-CN"/>
              </w:rPr>
            </w:pPr>
            <w:r>
              <w:rPr>
                <w:rFonts w:hint="default"/>
                <w:vertAlign w:val="baseline"/>
                <w:lang w:val="en-US" w:eastAsia="zh-CN"/>
              </w:rPr>
              <w:t>Void</w:t>
            </w:r>
          </w:p>
        </w:tc>
      </w:tr>
    </w:tbl>
    <w:p>
      <w:pPr>
        <w:ind w:firstLine="420" w:firstLineChars="0"/>
        <w:rPr>
          <w:rFonts w:hint="eastAsia" w:eastAsia="宋体"/>
          <w:lang w:val="en-US" w:eastAsia="zh-CN"/>
        </w:rPr>
      </w:pPr>
      <w:r>
        <w:rPr>
          <w:rFonts w:hint="eastAsia" w:eastAsia="宋体"/>
          <w:lang w:val="en-US" w:eastAsia="zh-CN"/>
        </w:rPr>
        <w:t>所有数值类型都有正负号，所以不要去寻找无符号的数值类型。</w:t>
      </w:r>
    </w:p>
    <w:p>
      <w:pPr>
        <w:ind w:firstLine="420" w:firstLineChars="0"/>
        <w:rPr>
          <w:rFonts w:hint="eastAsia" w:eastAsia="宋体"/>
          <w:lang w:val="en-US" w:eastAsia="zh-CN"/>
        </w:rPr>
      </w:pPr>
      <w:r>
        <w:rPr>
          <w:rFonts w:hint="eastAsia" w:eastAsia="宋体"/>
          <w:lang w:val="en-US" w:eastAsia="zh-CN"/>
        </w:rPr>
        <w:t>boolean类型所占存储空间的大小并没有明确指定，仅定义为能够去字面值true或false</w:t>
      </w:r>
    </w:p>
    <w:p>
      <w:pPr>
        <w:ind w:firstLine="420" w:firstLineChars="0"/>
        <w:rPr>
          <w:rFonts w:hint="eastAsia" w:eastAsia="宋体"/>
          <w:lang w:val="en-US" w:eastAsia="zh-CN"/>
        </w:rPr>
      </w:pPr>
      <w:r>
        <w:rPr>
          <w:rFonts w:hint="eastAsia" w:eastAsia="宋体"/>
          <w:lang w:val="en-US" w:eastAsia="zh-CN"/>
        </w:rPr>
        <w:t>基本类型具有的包装器类</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Times New Roman"/>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232AE"/>
    <w:multiLevelType w:val="singleLevel"/>
    <w:tmpl w:val="585232AE"/>
    <w:lvl w:ilvl="0" w:tentative="0">
      <w:start w:val="1"/>
      <w:numFmt w:val="decimal"/>
      <w:suff w:val="nothing"/>
      <w:lvlText w:val="%1）"/>
      <w:lvlJc w:val="left"/>
    </w:lvl>
  </w:abstractNum>
  <w:abstractNum w:abstractNumId="1">
    <w:nsid w:val="59643CCB"/>
    <w:multiLevelType w:val="singleLevel"/>
    <w:tmpl w:val="59643CCB"/>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D2501"/>
    <w:rsid w:val="01D563BD"/>
    <w:rsid w:val="02950D94"/>
    <w:rsid w:val="04182BAF"/>
    <w:rsid w:val="05230534"/>
    <w:rsid w:val="059C42B8"/>
    <w:rsid w:val="075A2551"/>
    <w:rsid w:val="07C60F4F"/>
    <w:rsid w:val="08FC4853"/>
    <w:rsid w:val="0B0901C3"/>
    <w:rsid w:val="0FF30D1D"/>
    <w:rsid w:val="1221665F"/>
    <w:rsid w:val="14B57F55"/>
    <w:rsid w:val="152749F3"/>
    <w:rsid w:val="167470EE"/>
    <w:rsid w:val="16A96D9D"/>
    <w:rsid w:val="18316649"/>
    <w:rsid w:val="1B71064E"/>
    <w:rsid w:val="1BEF34AD"/>
    <w:rsid w:val="1BFA368F"/>
    <w:rsid w:val="1E041795"/>
    <w:rsid w:val="224A3AD0"/>
    <w:rsid w:val="233B70CE"/>
    <w:rsid w:val="27850A21"/>
    <w:rsid w:val="28287D0E"/>
    <w:rsid w:val="29A44728"/>
    <w:rsid w:val="2AB831C0"/>
    <w:rsid w:val="2ECB2E8E"/>
    <w:rsid w:val="31765FA9"/>
    <w:rsid w:val="318C173A"/>
    <w:rsid w:val="33E40DE1"/>
    <w:rsid w:val="351A7F64"/>
    <w:rsid w:val="371B552D"/>
    <w:rsid w:val="3A5E4489"/>
    <w:rsid w:val="410E1341"/>
    <w:rsid w:val="456F70A0"/>
    <w:rsid w:val="478652B9"/>
    <w:rsid w:val="48906176"/>
    <w:rsid w:val="4C1E2E9C"/>
    <w:rsid w:val="4DBA525F"/>
    <w:rsid w:val="4DBE4A2D"/>
    <w:rsid w:val="4F9505C9"/>
    <w:rsid w:val="4FEE502E"/>
    <w:rsid w:val="540C316A"/>
    <w:rsid w:val="54780C27"/>
    <w:rsid w:val="55105976"/>
    <w:rsid w:val="5CDE2A6F"/>
    <w:rsid w:val="5DA84D6C"/>
    <w:rsid w:val="5EC556BE"/>
    <w:rsid w:val="60666481"/>
    <w:rsid w:val="606F7BD0"/>
    <w:rsid w:val="61025AAA"/>
    <w:rsid w:val="6124253E"/>
    <w:rsid w:val="62345028"/>
    <w:rsid w:val="62B74ED3"/>
    <w:rsid w:val="63104589"/>
    <w:rsid w:val="63A456AF"/>
    <w:rsid w:val="66163D82"/>
    <w:rsid w:val="67103C72"/>
    <w:rsid w:val="67C46A73"/>
    <w:rsid w:val="69A30E2D"/>
    <w:rsid w:val="6DF12DF1"/>
    <w:rsid w:val="727C4745"/>
    <w:rsid w:val="7A633544"/>
    <w:rsid w:val="7B163F1E"/>
    <w:rsid w:val="7B6B40FF"/>
    <w:rsid w:val="7D0D4A50"/>
    <w:rsid w:val="7D827AA8"/>
    <w:rsid w:val="7E4A4C26"/>
    <w:rsid w:val="7E54301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8"/>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3 Char"/>
    <w:link w:val="4"/>
    <w:uiPriority w:val="0"/>
    <w:rPr>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Mtime</dc:creator>
  <cp:lastModifiedBy>Mtime</cp:lastModifiedBy>
  <dcterms:modified xsi:type="dcterms:W3CDTF">2017-07-11T03:55:03Z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