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Pr="00366B92" w:rsidRDefault="006054A2" w:rsidP="00366B92">
      <w:pPr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  <w:r w:rsidRPr="00366B92">
        <w:rPr>
          <w:rFonts w:cs="Times New Roman"/>
          <w:szCs w:val="28"/>
          <w:shd w:val="clear" w:color="auto" w:fill="FFFFFF"/>
        </w:rPr>
        <w:t>"Части речи в русском языке: проблема определения и классификации"</w:t>
      </w:r>
      <w:r w:rsidRPr="00366B92">
        <w:rPr>
          <w:rStyle w:val="apple-converted-space"/>
          <w:rFonts w:cs="Times New Roman"/>
          <w:color w:val="000000"/>
          <w:szCs w:val="28"/>
          <w:shd w:val="clear" w:color="auto" w:fill="FFFFFF"/>
        </w:rPr>
        <w:t xml:space="preserve">  </w:t>
      </w:r>
    </w:p>
    <w:p w:rsidR="006054A2" w:rsidRPr="00366B92" w:rsidRDefault="006054A2" w:rsidP="00366B92">
      <w:pPr>
        <w:rPr>
          <w:rStyle w:val="apple-converted-space"/>
          <w:rFonts w:cs="Times New Roman"/>
          <w:color w:val="000000"/>
          <w:szCs w:val="28"/>
          <w:shd w:val="clear" w:color="auto" w:fill="FFFFFF"/>
        </w:rPr>
      </w:pPr>
    </w:p>
    <w:p w:rsidR="006054A2" w:rsidRPr="00366B92" w:rsidRDefault="006054A2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Части речи обычно выделяются на основании сразу нескольких критериев – морфологического, синтаксического, семантического. В русском языке, где большинство слов является изменяемыми, наиболее однозначные результаты дает морфологический критерий – различие грамматических морфологических признаков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прототипических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элементов соответствующих классов. Так, наделенные некоторой морфологической структурой, набором грамматических значений и определённым образом изменяющиеся слова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краснеть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и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осиротеть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относятся к глаголам, а иначе устроенные с этой точки зрения слова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краснота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и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сирота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– к существительным. Синтаксический, семантический и иные критерии не всегда дают тот же результат, что и морфологический</w:t>
      </w:r>
      <w:r w:rsidRPr="00366B92">
        <w:rPr>
          <w:rFonts w:eastAsia="Times New Roman" w:cs="Times New Roman"/>
          <w:color w:val="000000"/>
          <w:szCs w:val="28"/>
          <w:highlight w:val="yellow"/>
          <w:lang w:eastAsia="ru-RU"/>
        </w:rPr>
        <w:t>. В связи с этим разные авторы решают по-разному такие вопросы, как количество частей речи в русском языке, их состав и распределение тех или иных конкретных лексем по частям речи.</w:t>
      </w:r>
    </w:p>
    <w:p w:rsidR="006054A2" w:rsidRPr="00366B92" w:rsidRDefault="006054A2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Наиболее распространённая трактовка выделяет в русском языке 10 частей речи: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5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имя существительное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человек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кошка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солнце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прогресс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6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имя прилагательное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красный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морской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папин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7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местоимение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она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свой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который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8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числительное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(или имя числительное: 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два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тринадцатый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,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 семеро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9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глагол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говорить, принадлежать, крикнуть, пустовать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0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наречие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сильно, зверски, вразнобой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1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предлог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к, благодаря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2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союз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а, однако, что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3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частица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же, точно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);</w:t>
      </w:r>
    </w:p>
    <w:p w:rsidR="006054A2" w:rsidRPr="00366B92" w:rsidRDefault="0017767C" w:rsidP="00366B92">
      <w:pPr>
        <w:rPr>
          <w:rFonts w:eastAsia="Times New Roman" w:cs="Times New Roman"/>
          <w:color w:val="000000"/>
          <w:szCs w:val="28"/>
          <w:lang w:eastAsia="ru-RU"/>
        </w:rPr>
      </w:pPr>
      <w:hyperlink r:id="rId14" w:history="1">
        <w:r w:rsidR="006054A2" w:rsidRPr="00366B92">
          <w:rPr>
            <w:rFonts w:eastAsia="Times New Roman" w:cs="Times New Roman"/>
            <w:b/>
            <w:bCs/>
            <w:color w:val="336699"/>
            <w:szCs w:val="28"/>
            <w:lang w:eastAsia="ru-RU"/>
          </w:rPr>
          <w:t>междометие</w:t>
        </w:r>
      </w:hyperlink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 (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эх, батюшки</w:t>
      </w:r>
      <w:r w:rsidR="006054A2" w:rsidRPr="00366B92">
        <w:rPr>
          <w:rFonts w:eastAsia="Times New Roman" w:cs="Times New Roman"/>
          <w:color w:val="000000"/>
          <w:szCs w:val="28"/>
          <w:lang w:eastAsia="ru-RU"/>
        </w:rPr>
        <w:t>)</w:t>
      </w:r>
      <w:r w:rsidR="006054A2"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.</w:t>
      </w:r>
    </w:p>
    <w:p w:rsidR="006054A2" w:rsidRPr="00366B92" w:rsidRDefault="006054A2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highlight w:val="yellow"/>
          <w:lang w:eastAsia="ru-RU"/>
        </w:rPr>
        <w:t>При выделении частей речи возникает множество проблемных мест, связанных с морфологической и семантической разнородностью традиционных и интуитивно выделяемых классов.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В ряде трактовок выделяются как части речи, не включенные в данный список и дополняющие его (вводное слово, различные подклассы местоимений и местоименных слов, 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 w:rsidRPr="00366B92">
        <w:rPr>
          <w:rFonts w:eastAsia="Times New Roman" w:cs="Times New Roman"/>
          <w:color w:val="000000"/>
          <w:szCs w:val="28"/>
          <w:lang w:eastAsia="ru-RU"/>
        </w:rPr>
        <w:instrText xml:space="preserve"> HYPERLINK "http://rusgram.ru/%D0%9F%D1%80%D0%B5%D0%B4%D0%B8%D0%BA%D0%B0%D1%82%D0%B8%D0%B2" </w:instrText>
      </w:r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 w:rsidRPr="00366B92">
        <w:rPr>
          <w:rFonts w:eastAsia="Times New Roman" w:cs="Times New Roman"/>
          <w:b/>
          <w:bCs/>
          <w:color w:val="336699"/>
          <w:szCs w:val="28"/>
          <w:lang w:eastAsia="ru-RU"/>
        </w:rPr>
        <w:t>предикатив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end"/>
      </w:r>
      <w:r w:rsidRPr="00366B92">
        <w:rPr>
          <w:rFonts w:eastAsia="Times New Roman" w:cs="Times New Roman"/>
          <w:color w:val="000000"/>
          <w:szCs w:val="28"/>
          <w:lang w:eastAsia="ru-RU"/>
        </w:rPr>
        <w:t>, причастие), так и объединяющие несколько частей речи из данного списка в одну (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адъектив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, субстантив, неизменяемые слова и т. п.).</w:t>
      </w:r>
    </w:p>
    <w:p w:rsidR="006054A2" w:rsidRPr="00366B92" w:rsidRDefault="006054A2" w:rsidP="00366B92">
      <w:pPr>
        <w:rPr>
          <w:rFonts w:cs="Times New Roman"/>
          <w:szCs w:val="28"/>
        </w:rPr>
      </w:pPr>
    </w:p>
    <w:p w:rsidR="00A95A1D" w:rsidRPr="00366B92" w:rsidRDefault="00A95A1D" w:rsidP="00366B92">
      <w:pPr>
        <w:rPr>
          <w:rFonts w:cs="Times New Roman"/>
          <w:szCs w:val="28"/>
        </w:rPr>
      </w:pPr>
    </w:p>
    <w:p w:rsidR="00A95A1D" w:rsidRPr="00366B92" w:rsidRDefault="00A95A1D" w:rsidP="00366B92">
      <w:pPr>
        <w:rPr>
          <w:rFonts w:eastAsia="Times New Roman" w:cs="Times New Roman"/>
          <w:color w:val="323292"/>
          <w:kern w:val="36"/>
          <w:szCs w:val="28"/>
          <w:lang w:eastAsia="ru-RU"/>
        </w:rPr>
      </w:pPr>
      <w:r w:rsidRPr="00366B92">
        <w:rPr>
          <w:rFonts w:eastAsia="Times New Roman" w:cs="Times New Roman"/>
          <w:color w:val="323292"/>
          <w:kern w:val="36"/>
          <w:szCs w:val="28"/>
          <w:lang w:eastAsia="ru-RU"/>
        </w:rPr>
        <w:t>2 Подходы к выделению частей речи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Основными подходами при выделении частей речи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являются </w:t>
      </w:r>
      <w:hyperlink r:id="rId15" w:anchor="21" w:history="1">
        <w:r w:rsidRPr="00FE3453">
          <w:rPr>
            <w:rFonts w:eastAsia="Times New Roman" w:cs="Times New Roman"/>
            <w:b/>
            <w:bCs/>
            <w:color w:val="336699"/>
            <w:szCs w:val="28"/>
            <w:highlight w:val="yellow"/>
            <w:u w:val="single"/>
            <w:lang w:eastAsia="ru-RU"/>
          </w:rPr>
          <w:t>морфологический</w:t>
        </w:r>
      </w:hyperlink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 и </w:t>
      </w:r>
      <w:hyperlink r:id="rId16" w:anchor="22" w:history="1">
        <w:r w:rsidRPr="00FE3453">
          <w:rPr>
            <w:rFonts w:eastAsia="Times New Roman" w:cs="Times New Roman"/>
            <w:b/>
            <w:bCs/>
            <w:color w:val="336699"/>
            <w:szCs w:val="28"/>
            <w:highlight w:val="yellow"/>
            <w:u w:val="single"/>
            <w:lang w:eastAsia="ru-RU"/>
          </w:rPr>
          <w:t>лексико-грамматический</w:t>
        </w:r>
      </w:hyperlink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Существуют также </w:t>
      </w:r>
      <w:hyperlink r:id="rId17" w:anchor="23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многоуровневые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 подходы, применяющие на разных этапах несколько критериев и связанные прежде всего не с описанием конкретного языка, а с типологическим сравнением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частеречной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классификации в языках разной структуры.</w:t>
      </w:r>
    </w:p>
    <w:p w:rsidR="00A95A1D" w:rsidRPr="00366B92" w:rsidRDefault="00A95A1D" w:rsidP="00366B92">
      <w:pPr>
        <w:rPr>
          <w:rFonts w:eastAsia="Times New Roman" w:cs="Times New Roman"/>
          <w:color w:val="AAAAAA"/>
          <w:szCs w:val="28"/>
          <w:lang w:eastAsia="ru-RU"/>
        </w:rPr>
      </w:pPr>
      <w:bookmarkStart w:id="0" w:name="21"/>
      <w:bookmarkEnd w:id="0"/>
      <w:r w:rsidRPr="00366B92">
        <w:rPr>
          <w:rFonts w:eastAsia="Times New Roman" w:cs="Times New Roman"/>
          <w:color w:val="AAAAAA"/>
          <w:szCs w:val="28"/>
          <w:lang w:eastAsia="ru-RU"/>
        </w:rPr>
        <w:t>2.1 Морфологический подход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Морфологический подход к выделению частей речи в русской лингвистической традиции связан прежде всего с «московской школой» Ф.Ф. Фортунатова (который называл части речи «формальными классами») и структурализмом (женевским и пражским). Наиболее известные классификации в рамках этого подхода предлагали Н.Н. Дурново, А.М.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Пешковский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, из современных исследователей — П. Гард [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Garde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1981], А.К. Поливанова и др.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Данный подход использует при выделении частей речи прежде всего </w:t>
      </w:r>
      <w:r w:rsidRPr="00FE3453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грамматический критерий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 (см. ниже)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, то есть учитывает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lastRenderedPageBreak/>
        <w:t>наличие у лексемы различных словоизменительных категорий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. Продолжавший традиции московской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фортунатовской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школы П.С. Кузнецов писал: «Части речи представляют собой классы слов, разграничиваемые по определенным морфологическим признакам, по наличию у них тех или иных форм словоизменения» [Кузнецов 1961:63]. </w:t>
      </w:r>
      <w:r w:rsidRPr="00FE3453">
        <w:rPr>
          <w:rFonts w:eastAsia="Times New Roman" w:cs="Times New Roman"/>
          <w:color w:val="000000"/>
          <w:szCs w:val="28"/>
          <w:highlight w:val="yellow"/>
          <w:lang w:eastAsia="ru-RU"/>
        </w:rPr>
        <w:t>Морфологический подход не является типологически универсальным, однако применим к русскому языку как к языку с богатой морфологией.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067403">
        <w:rPr>
          <w:rFonts w:eastAsia="Times New Roman" w:cs="Times New Roman"/>
          <w:color w:val="000000"/>
          <w:szCs w:val="28"/>
          <w:highlight w:val="yellow"/>
          <w:lang w:eastAsia="ru-RU"/>
        </w:rPr>
        <w:t>При таком подходе аргументом за выделение той или иной части речи является наличие у неё определенного набора грамматических характеристик. Так, в русском языке только глаголы способны изменяться по лицам.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При морфологическом подходе в русском языке выделяется более широкий, чем в традиционной классификации класс </w:t>
      </w:r>
      <w:proofErr w:type="spellStart"/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адъективов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 (прилагательные в широком смысле, включая местоимения-прилагательные, порядковые числительные, многие местоимения), которые имеют согласуемые категории числа, рода и падежа). </w:t>
      </w:r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Полнозначным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частям речи (имеющим различные наборы грамматических показателей) противопоставляются </w:t>
      </w:r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служебные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как неспособные присоединять грамматические показатели вообще (за исключением наречий на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-о/-е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 которые либо считаются изменяемыми и имеющими степень сравнения, либо примыкают к формам прилагательного).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ПРИМЕЧАНИЕ. Некоторые исследователи апеллировали также и к морфемной структуре слова, так, только для местоимений и служебных частей речи характерен основной алломорф корня из одной фонемы (</w:t>
      </w:r>
      <w:proofErr w:type="gramStart"/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к-ому</w:t>
      </w:r>
      <w:proofErr w:type="gramEnd"/>
      <w:r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) и т. п.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067403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Грамматический критерий</w:t>
      </w:r>
      <w:r w:rsidRPr="00067403">
        <w:rPr>
          <w:rFonts w:eastAsia="Times New Roman" w:cs="Times New Roman"/>
          <w:color w:val="000000"/>
          <w:szCs w:val="28"/>
          <w:highlight w:val="yellow"/>
          <w:lang w:eastAsia="ru-RU"/>
        </w:rPr>
        <w:t>: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обособляет причастия и деепричастия от финитных форм глагола (поскольку они имеют иной набор грамматических характеристик – причастия не спрягаются, а склоняются, деепричастия маркированы только по виду и времени);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lastRenderedPageBreak/>
        <w:t>не сводит в единую категорию местоимения и числительные (ввиду морфологической гетерогенности этих классов, см. </w:t>
      </w:r>
      <w:hyperlink r:id="rId18" w:anchor="4113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 xml:space="preserve">п. </w:t>
        </w:r>
        <w:proofErr w:type="gramStart"/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4.1.1.3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 )</w:t>
      </w:r>
      <w:proofErr w:type="gramEnd"/>
      <w:r w:rsidRPr="00366B92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не проводит различия внутри неизменяемых служебных частей речи – предлогов, союзов и частиц, </w:t>
      </w:r>
      <w:hyperlink r:id="rId19" w:anchor="515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см. п. 5.1.5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 (иногда присоединяя их даже к наречиям, трактуя эти последние как неизменяемые, ср. ниже о 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 w:rsidRPr="00366B92">
        <w:rPr>
          <w:rFonts w:eastAsia="Times New Roman" w:cs="Times New Roman"/>
          <w:color w:val="000000"/>
          <w:szCs w:val="28"/>
          <w:lang w:eastAsia="ru-RU"/>
        </w:rPr>
        <w:instrText xml:space="preserve"> HYPERLINK "http://rusgram.ru/%D0%9A%D0%BE%D0%BC%D0%BF%D0%B0%D1%80%D0%B0%D1%82%D0%B8%D0%B2" </w:instrText>
      </w:r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 w:rsidRPr="00366B92">
        <w:rPr>
          <w:rFonts w:eastAsia="Times New Roman" w:cs="Times New Roman"/>
          <w:b/>
          <w:bCs/>
          <w:color w:val="336699"/>
          <w:szCs w:val="28"/>
          <w:u w:val="single"/>
          <w:lang w:eastAsia="ru-RU"/>
        </w:rPr>
        <w:t>компаративе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fldChar w:fldCharType="end"/>
      </w:r>
      <w:r w:rsidRPr="00366B92">
        <w:rPr>
          <w:rFonts w:eastAsia="Times New Roman" w:cs="Times New Roman"/>
          <w:color w:val="000000"/>
          <w:szCs w:val="28"/>
          <w:lang w:eastAsia="ru-RU"/>
        </w:rPr>
        <w:t> (см. </w:t>
      </w:r>
      <w:hyperlink r:id="rId20" w:anchor="514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п. 5.1.4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)).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Подробнее об инвентарях частей речи при морфологическом подходе см. </w:t>
      </w:r>
      <w:hyperlink r:id="rId21" w:anchor="5" w:history="1">
        <w:r w:rsidRPr="00366B92">
          <w:rPr>
            <w:rFonts w:eastAsia="Times New Roman" w:cs="Times New Roman"/>
            <w:b/>
            <w:bCs/>
            <w:color w:val="336699"/>
            <w:szCs w:val="28"/>
            <w:u w:val="single"/>
            <w:lang w:eastAsia="ru-RU"/>
          </w:rPr>
          <w:t>п. 5. Состав частей речи в различных теориях</w:t>
        </w:r>
      </w:hyperlink>
      <w:r w:rsidRPr="00366B92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240E0C">
        <w:rPr>
          <w:rFonts w:eastAsia="Times New Roman" w:cs="Times New Roman"/>
          <w:color w:val="000000"/>
          <w:szCs w:val="28"/>
          <w:highlight w:val="yellow"/>
          <w:lang w:eastAsia="ru-RU"/>
        </w:rPr>
        <w:t>К недостаткам морфологического подхода к частям речи относится несоответствие выделяемых на основании грамматического критерия классов слов интуитивным ощущениям единства частей речи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 xml:space="preserve">Так, критикуя </w:t>
      </w:r>
      <w:proofErr w:type="spellStart"/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>фортунатовский</w:t>
      </w:r>
      <w:proofErr w:type="spellEnd"/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 xml:space="preserve"> подход, Л.В. Щерба [Щерба 1928] указал на то, что при последовательно морфологическом подходе краткие формы прилагательных и причастий формально объединяются с прошедшим временем глагола (отсутствие падежа, согласование по роду и числу), а числительные – с вещественными существительными типа </w:t>
      </w:r>
      <w:r w:rsidRPr="00240E0C">
        <w:rPr>
          <w:rFonts w:eastAsia="Times New Roman" w:cs="Times New Roman"/>
          <w:i/>
          <w:iCs/>
          <w:color w:val="000000"/>
          <w:szCs w:val="28"/>
          <w:highlight w:val="cyan"/>
          <w:lang w:eastAsia="ru-RU"/>
        </w:rPr>
        <w:t>молоко</w:t>
      </w:r>
      <w:r w:rsidRPr="00240E0C">
        <w:rPr>
          <w:rFonts w:eastAsia="Times New Roman" w:cs="Times New Roman"/>
          <w:color w:val="000000"/>
          <w:szCs w:val="28"/>
          <w:highlight w:val="cyan"/>
          <w:lang w:eastAsia="ru-RU"/>
        </w:rPr>
        <w:t> (отсутствие числа).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Ср. параллельные примеры синонимичных форм краткого прилагательного и прошедшего времени глагола, имеющих категории числа и рода: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Он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расположен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самом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сердце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Сочи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среди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пышной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зелени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деревьев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благоухания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южных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цветов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. [«Туризм и образование» (2001)] (расположена, расположено, расположены)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Он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b/>
          <w:bCs/>
          <w:i/>
          <w:iCs/>
          <w:color w:val="000000"/>
          <w:szCs w:val="28"/>
          <w:lang w:eastAsia="ru-RU"/>
        </w:rPr>
        <w:t>находился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самом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лучшем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и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красивейшем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уголке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Одессы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но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это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его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мало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трогало</w:t>
      </w:r>
      <w:r w:rsidRPr="00366B92">
        <w:rPr>
          <w:rFonts w:eastAsia="Times New Roman" w:cs="Times New Roman"/>
          <w:color w:val="000000"/>
          <w:szCs w:val="28"/>
          <w:lang w:eastAsia="ru-RU"/>
        </w:rPr>
        <w:t>. [А. И. Свирский. Рыжик (1901)] (находилась, находилось, находились)</w:t>
      </w:r>
    </w:p>
    <w:p w:rsidR="00A95A1D" w:rsidRPr="00366B92" w:rsidRDefault="00A95A1D" w:rsidP="00366B92">
      <w:pPr>
        <w:rPr>
          <w:rFonts w:eastAsia="Times New Roman" w:cs="Times New Roman"/>
          <w:color w:val="AAAAAA"/>
          <w:szCs w:val="28"/>
          <w:lang w:eastAsia="ru-RU"/>
        </w:rPr>
      </w:pPr>
      <w:bookmarkStart w:id="1" w:name="22"/>
      <w:bookmarkEnd w:id="1"/>
      <w:r w:rsidRPr="00240E0C">
        <w:rPr>
          <w:rFonts w:eastAsia="Times New Roman" w:cs="Times New Roman"/>
          <w:color w:val="AAAAAA"/>
          <w:szCs w:val="28"/>
          <w:highlight w:val="yellow"/>
          <w:lang w:eastAsia="ru-RU"/>
        </w:rPr>
        <w:t xml:space="preserve">2.2 </w:t>
      </w:r>
      <w:proofErr w:type="spellStart"/>
      <w:r w:rsidRPr="00240E0C">
        <w:rPr>
          <w:rFonts w:eastAsia="Times New Roman" w:cs="Times New Roman"/>
          <w:color w:val="AAAAAA"/>
          <w:szCs w:val="28"/>
          <w:highlight w:val="yellow"/>
          <w:lang w:eastAsia="ru-RU"/>
        </w:rPr>
        <w:t>Многопризнаковый</w:t>
      </w:r>
      <w:proofErr w:type="spellEnd"/>
      <w:r w:rsidRPr="00240E0C">
        <w:rPr>
          <w:rFonts w:eastAsia="Times New Roman" w:cs="Times New Roman"/>
          <w:color w:val="AAAAAA"/>
          <w:szCs w:val="28"/>
          <w:highlight w:val="yellow"/>
          <w:lang w:eastAsia="ru-RU"/>
        </w:rPr>
        <w:t xml:space="preserve"> (лексико-грамматический) подход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240E0C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Подход, в русистике связанный прежде всего с именем В.В. Виноградова [Виноградов 1947] и его школой (предшественником его был Л.В. Щерба </w:t>
      </w:r>
      <w:r w:rsidRPr="00240E0C">
        <w:rPr>
          <w:rFonts w:eastAsia="Times New Roman" w:cs="Times New Roman"/>
          <w:color w:val="000000"/>
          <w:szCs w:val="28"/>
          <w:highlight w:val="yellow"/>
          <w:lang w:eastAsia="ru-RU"/>
        </w:rPr>
        <w:lastRenderedPageBreak/>
        <w:t>[Щерба 1928]),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не игнорируя морфологических параметров, учитывает при выделении частей речи также синтаксические свойства сочетаемость и лексические (семантические) характеристики (как самостоятельные критерии, а не просто как свойство класса, выделяемого по морфологическим критериям), а часть </w:t>
      </w:r>
      <w:r w:rsidRPr="00701D71">
        <w:rPr>
          <w:rFonts w:eastAsia="Times New Roman" w:cs="Times New Roman"/>
          <w:color w:val="000000"/>
          <w:szCs w:val="28"/>
          <w:highlight w:val="yellow"/>
          <w:lang w:eastAsia="ru-RU"/>
        </w:rPr>
        <w:t>речи рассматривает как </w:t>
      </w:r>
      <w:r w:rsidRPr="00701D71">
        <w:rPr>
          <w:rFonts w:eastAsia="Times New Roman" w:cs="Times New Roman"/>
          <w:i/>
          <w:iCs/>
          <w:color w:val="000000"/>
          <w:szCs w:val="28"/>
          <w:highlight w:val="yellow"/>
          <w:lang w:eastAsia="ru-RU"/>
        </w:rPr>
        <w:t>лексико-грамматический класс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701D71">
        <w:rPr>
          <w:rFonts w:eastAsia="Times New Roman" w:cs="Times New Roman"/>
          <w:color w:val="000000"/>
          <w:szCs w:val="28"/>
          <w:highlight w:val="yellow"/>
          <w:lang w:eastAsia="ru-RU"/>
        </w:rPr>
        <w:t>При таком подходе часть речи задаётся сочетанием нескольких признаков и носит «многомерный» характер.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Так, «прилагательное» – это класс слов, которые: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обозначают признак предмета, не связанный с изменением во времени (в отличие от глагола, обозначающего динамическую ситуацию);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>имеют словоизменительные грамматические категории рода, числа и падежа;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имеют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прототипическую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синтаксическую функцию согласуемого определения при существительном (в школьной формулировке,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отвечает на вопрос «какой?»</w:t>
      </w:r>
      <w:r w:rsidRPr="00366B92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В рамках этого подхода по синтаксическому признаку удается провести границу между неизменяемыми служебными частями речи (союзы, частицы, предлоги), по семантическому признаку – выделить в отдельные классы местоимения и числительные в широком понимании (включающем местоимения-прилагательные и порядковые числительные) и т. п.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Многопризнаковый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подход допускает неоднозначный статус (</w:t>
      </w:r>
      <w:proofErr w:type="spellStart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полифункциональность</w:t>
      </w:r>
      <w:proofErr w:type="spellEnd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) слов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(например,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весело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– краткое прилагательное, наречие и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предикатив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; </w:t>
      </w:r>
      <w:r w:rsidRPr="00366B92">
        <w:rPr>
          <w:rFonts w:eastAsia="Times New Roman" w:cs="Times New Roman"/>
          <w:i/>
          <w:iCs/>
          <w:color w:val="000000"/>
          <w:szCs w:val="28"/>
          <w:lang w:eastAsia="ru-RU"/>
        </w:rPr>
        <w:t>вот – </w:t>
      </w:r>
      <w:r w:rsidRPr="00366B92">
        <w:rPr>
          <w:rFonts w:eastAsia="Times New Roman" w:cs="Times New Roman"/>
          <w:color w:val="000000"/>
          <w:szCs w:val="28"/>
          <w:lang w:eastAsia="ru-RU"/>
        </w:rPr>
        <w:t>наречие и частица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). У некоторых авторов (Л.В. Щерба, В.Н. Сидоров) допускается существование слов, не подпадающих под </w:t>
      </w:r>
      <w:proofErr w:type="spellStart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частеречную</w:t>
      </w:r>
      <w:proofErr w:type="spellEnd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 классификацию (</w:t>
      </w:r>
      <w:r w:rsidRPr="00ED1A53">
        <w:rPr>
          <w:rFonts w:eastAsia="Times New Roman" w:cs="Times New Roman"/>
          <w:i/>
          <w:iCs/>
          <w:color w:val="000000"/>
          <w:szCs w:val="28"/>
          <w:highlight w:val="yellow"/>
          <w:lang w:eastAsia="ru-RU"/>
        </w:rPr>
        <w:t>да, нет, 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вводные слова), хотя в целом эта позиция не получила поддержки в русистике [Князев 2001].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При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многопризнаковом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подходе различные критерии в разной степени применимы к традиционно выделяемым частям речи, что приводит к неоднозначности и непоследовательности классификации: одни части речи </w:t>
      </w:r>
      <w:r w:rsidRPr="00366B92">
        <w:rPr>
          <w:rFonts w:eastAsia="Times New Roman" w:cs="Times New Roman"/>
          <w:color w:val="000000"/>
          <w:szCs w:val="28"/>
          <w:lang w:eastAsia="ru-RU"/>
        </w:rPr>
        <w:lastRenderedPageBreak/>
        <w:t>являются внутренне гетерогенными по тому или иному признаку, другие по ряду признаков слабо отделены от других (см. </w:t>
      </w:r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п. 4 Применимость </w:t>
      </w:r>
      <w:proofErr w:type="spellStart"/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>частеречных</w:t>
      </w:r>
      <w:proofErr w:type="spellEnd"/>
      <w:r w:rsidRPr="00366B92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критериев</w:t>
      </w:r>
      <w:r w:rsidRPr="00366B92">
        <w:rPr>
          <w:rFonts w:eastAsia="Times New Roman" w:cs="Times New Roman"/>
          <w:color w:val="000000"/>
          <w:szCs w:val="28"/>
          <w:lang w:eastAsia="ru-RU"/>
        </w:rPr>
        <w:t>, [Князев 2001], [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Евтюхин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2008]). Кроме того, синтаксические функции всех основных частей речи, хотя среди них и можно выделить базовые, достаточно разнообразны и не подчиняются жёстким ограничениям.</w:t>
      </w:r>
    </w:p>
    <w:p w:rsidR="00A95A1D" w:rsidRPr="00366B92" w:rsidRDefault="00A95A1D" w:rsidP="00366B92">
      <w:pPr>
        <w:rPr>
          <w:rFonts w:eastAsia="Times New Roman" w:cs="Times New Roman"/>
          <w:color w:val="AAAAAA"/>
          <w:szCs w:val="28"/>
          <w:lang w:eastAsia="ru-RU"/>
        </w:rPr>
      </w:pPr>
      <w:bookmarkStart w:id="2" w:name="23"/>
      <w:bookmarkEnd w:id="2"/>
      <w:r w:rsidRPr="00ED1A53">
        <w:rPr>
          <w:rFonts w:eastAsia="Times New Roman" w:cs="Times New Roman"/>
          <w:color w:val="AAAAAA"/>
          <w:szCs w:val="28"/>
          <w:highlight w:val="yellow"/>
          <w:lang w:eastAsia="ru-RU"/>
        </w:rPr>
        <w:t>2.3 Другие подходы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Другие подходы к выделению частей речи связаны прежде всего с типологическим анализом. Так, обзор различных подходов к типологическому выделению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частеречных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категорий содержится в работах В.М. Алпатова [Алпатов 1990] и П. Фогель и Б.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Комри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[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Vogel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Comrie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2000].</w:t>
      </w:r>
    </w:p>
    <w:p w:rsidR="00A95A1D" w:rsidRPr="00366B92" w:rsidRDefault="00A95A1D" w:rsidP="00366B92">
      <w:pPr>
        <w:rPr>
          <w:rFonts w:eastAsia="Times New Roman" w:cs="Times New Roman"/>
          <w:color w:val="000000"/>
          <w:szCs w:val="28"/>
          <w:lang w:eastAsia="ru-RU"/>
        </w:rPr>
      </w:pP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 xml:space="preserve">По В.А. </w:t>
      </w:r>
      <w:proofErr w:type="spellStart"/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Плунгяну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>, с типологической точки зрения выделение частей речи может быть представлено в виде упорядоченной «концентрической» последовательности операций – сперва применяется критерий грамматической внутрисловной сочетаемости, затем аналитических показателей, затем синтаксический [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Плунгян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2011: 103 и след.]. На первых двух этапах во многих языках мира (прежде всего изолирующих) частей речи выделить не удастся. </w:t>
      </w:r>
      <w:r w:rsidRPr="00ED1A53">
        <w:rPr>
          <w:rFonts w:eastAsia="Times New Roman" w:cs="Times New Roman"/>
          <w:color w:val="000000"/>
          <w:szCs w:val="28"/>
          <w:highlight w:val="yellow"/>
          <w:lang w:eastAsia="ru-RU"/>
        </w:rPr>
        <w:t>Схожий типологический анализ предлагает В.М. Живов в статье «Части речи»</w:t>
      </w:r>
      <w:bookmarkStart w:id="3" w:name="_GoBack"/>
      <w:bookmarkEnd w:id="3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в </w:t>
      </w:r>
      <w:proofErr w:type="spellStart"/>
      <w:r w:rsidRPr="00366B92">
        <w:rPr>
          <w:rFonts w:eastAsia="Times New Roman" w:cs="Times New Roman"/>
          <w:color w:val="000000"/>
          <w:szCs w:val="28"/>
          <w:lang w:eastAsia="ru-RU"/>
        </w:rPr>
        <w:t>Лигвистическом</w:t>
      </w:r>
      <w:proofErr w:type="spellEnd"/>
      <w:r w:rsidRPr="00366B92">
        <w:rPr>
          <w:rFonts w:eastAsia="Times New Roman" w:cs="Times New Roman"/>
          <w:color w:val="000000"/>
          <w:szCs w:val="28"/>
          <w:lang w:eastAsia="ru-RU"/>
        </w:rPr>
        <w:t xml:space="preserve"> энциклопедическом словаре: «классы слов языка, выделяемые на основании общности их синтаксических, морфологических и семантических свойств». Типологически универсальными он считает синтаксические признаки; семантические — дополнительными [Живов и др. 1990].</w:t>
      </w:r>
    </w:p>
    <w:p w:rsidR="00A95A1D" w:rsidRPr="00366B92" w:rsidRDefault="00A95A1D" w:rsidP="00366B92">
      <w:pPr>
        <w:rPr>
          <w:rFonts w:cs="Times New Roman"/>
          <w:szCs w:val="28"/>
        </w:rPr>
      </w:pPr>
    </w:p>
    <w:sectPr w:rsidR="00A95A1D" w:rsidRPr="0036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04442"/>
    <w:multiLevelType w:val="multilevel"/>
    <w:tmpl w:val="C29E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7711C1"/>
    <w:multiLevelType w:val="multilevel"/>
    <w:tmpl w:val="986E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C66A9"/>
    <w:multiLevelType w:val="multilevel"/>
    <w:tmpl w:val="4128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B0972"/>
    <w:multiLevelType w:val="multilevel"/>
    <w:tmpl w:val="FD9E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A2"/>
    <w:rsid w:val="00067403"/>
    <w:rsid w:val="0014181B"/>
    <w:rsid w:val="0017767C"/>
    <w:rsid w:val="00240E0C"/>
    <w:rsid w:val="00271822"/>
    <w:rsid w:val="00366B92"/>
    <w:rsid w:val="0057777A"/>
    <w:rsid w:val="006054A2"/>
    <w:rsid w:val="00701D71"/>
    <w:rsid w:val="009A445D"/>
    <w:rsid w:val="00A95A1D"/>
    <w:rsid w:val="00CD2B83"/>
    <w:rsid w:val="00E03887"/>
    <w:rsid w:val="00ED1A53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4542D-9BCC-40DD-94E0-6E7E7E28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95A1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95A1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6054A2"/>
  </w:style>
  <w:style w:type="paragraph" w:styleId="a4">
    <w:name w:val="Normal (Web)"/>
    <w:basedOn w:val="a"/>
    <w:uiPriority w:val="99"/>
    <w:semiHidden/>
    <w:unhideWhenUsed/>
    <w:rsid w:val="006054A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054A2"/>
    <w:rPr>
      <w:i/>
      <w:iCs/>
    </w:rPr>
  </w:style>
  <w:style w:type="character" w:styleId="a6">
    <w:name w:val="Hyperlink"/>
    <w:basedOn w:val="a0"/>
    <w:uiPriority w:val="99"/>
    <w:semiHidden/>
    <w:unhideWhenUsed/>
    <w:rsid w:val="006054A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5A1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95A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A95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sgram.ru/%D0%A7%D0%B8%D1%81%D0%BB%D0%B8%D1%82%D0%B5%D0%BB%D1%8C%D0%BD%D0%BE%D0%B5" TargetMode="External"/><Relationship Id="rId13" Type="http://schemas.openxmlformats.org/officeDocument/2006/relationships/hyperlink" Target="http://rusgram.ru/%D0%A7%D0%B0%D1%81%D1%82%D0%B8%D1%86%D0%B0" TargetMode="External"/><Relationship Id="rId18" Type="http://schemas.openxmlformats.org/officeDocument/2006/relationships/hyperlink" Target="http://rusgram.ru/%D0%A7%D0%B0%D1%81%D1%82%D0%B8_%D1%80%D0%B5%D1%87%D0%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sgram.ru/%D0%A7%D0%B0%D1%81%D1%82%D0%B8_%D1%80%D0%B5%D1%87%D0%B8" TargetMode="External"/><Relationship Id="rId7" Type="http://schemas.openxmlformats.org/officeDocument/2006/relationships/hyperlink" Target="http://rusgram.ru/%D0%9C%D0%B5%D1%81%D1%82%D0%BE%D0%B8%D0%BC%D0%B5%D0%BD%D0%B8%D0%B5" TargetMode="External"/><Relationship Id="rId12" Type="http://schemas.openxmlformats.org/officeDocument/2006/relationships/hyperlink" Target="http://rusgram.ru/%D0%A1%D0%BE%D1%8E%D0%B7" TargetMode="External"/><Relationship Id="rId17" Type="http://schemas.openxmlformats.org/officeDocument/2006/relationships/hyperlink" Target="http://rusgram.ru/%D0%A7%D0%B0%D1%81%D1%82%D0%B8_%D1%80%D0%B5%D1%87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://rusgram.ru/%D0%A7%D0%B0%D1%81%D1%82%D0%B8_%D1%80%D0%B5%D1%87%D0%B8" TargetMode="External"/><Relationship Id="rId20" Type="http://schemas.openxmlformats.org/officeDocument/2006/relationships/hyperlink" Target="http://rusgram.ru/%D0%A7%D0%B0%D1%81%D1%82%D0%B8_%D1%80%D0%B5%D1%87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sgram.ru/%D0%9F%D1%80%D0%B8%D0%BB%D0%B0%D0%B3%D0%B0%D1%82%D0%B5%D0%BB%D1%8C%D0%BD%D0%BE%D0%B5" TargetMode="External"/><Relationship Id="rId11" Type="http://schemas.openxmlformats.org/officeDocument/2006/relationships/hyperlink" Target="http://rusgram.ru/%D0%9F%D1%80%D0%B5%D0%B4%D0%BB%D0%BE%D0%B3" TargetMode="External"/><Relationship Id="rId5" Type="http://schemas.openxmlformats.org/officeDocument/2006/relationships/hyperlink" Target="http://rusgram.ru/%D0%A1%D1%83%D1%89%D0%B5%D1%81%D1%82%D0%B2%D0%B8%D1%82%D0%B5%D0%BB%D1%8C%D0%BD%D0%BE%D0%B5" TargetMode="External"/><Relationship Id="rId15" Type="http://schemas.openxmlformats.org/officeDocument/2006/relationships/hyperlink" Target="http://rusgram.ru/%D0%A7%D0%B0%D1%81%D1%82%D0%B8_%D1%80%D0%B5%D1%87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rusgram.ru/%D0%9D%D0%B0%D1%80%D0%B5%D1%87%D0%B8%D0%B5" TargetMode="External"/><Relationship Id="rId19" Type="http://schemas.openxmlformats.org/officeDocument/2006/relationships/hyperlink" Target="http://rusgram.ru/%D0%A7%D0%B0%D1%81%D1%82%D0%B8_%D1%80%D0%B5%D1%87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sgram.ru/%D0%93%D0%BB%D0%B0%D0%B3%D0%BE%D0%BB" TargetMode="External"/><Relationship Id="rId14" Type="http://schemas.openxmlformats.org/officeDocument/2006/relationships/hyperlink" Target="http://rusgram.ru/%D0%9C%D0%B5%D0%B6%D0%B4%D0%BE%D0%BC%D0%B5%D1%82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2016-05-03T16:44:00Z</dcterms:created>
  <dcterms:modified xsi:type="dcterms:W3CDTF">2016-05-03T22:12:00Z</dcterms:modified>
</cp:coreProperties>
</file>