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56412">
        <w:rPr>
          <w:rFonts w:eastAsia="Times New Roman" w:cs="Times New Roman"/>
          <w:szCs w:val="28"/>
          <w:lang w:val="ru-RU"/>
        </w:rPr>
        <w:t>Поэзия и прагматика, на первый взгляд, – взаимоисключающие понятия. Прагматика в обыденном понимании – целесообразность, направленность на результат, выгодность действия. Поэзия – возвышенное, образное мироощущение, оторванность от реальности, гармония ради гармонии. Тем не менее, появились исследования, пытающиеся интегрировать лингвистическую прагматику и поэтику [5; 19; 20; 23], создавая предпосылки для становления новой пограничной</w:t>
      </w:r>
      <w:r w:rsidR="003D4363">
        <w:rPr>
          <w:rFonts w:eastAsia="Times New Roman" w:cs="Times New Roman"/>
          <w:szCs w:val="28"/>
          <w:lang w:val="ru-RU"/>
        </w:rPr>
        <w:t xml:space="preserve"> </w:t>
      </w:r>
      <w:r w:rsidR="003D4363" w:rsidRPr="003D4363">
        <w:rPr>
          <w:rFonts w:eastAsia="Times New Roman" w:cs="Times New Roman"/>
          <w:szCs w:val="28"/>
          <w:lang w:val="ru-RU"/>
        </w:rPr>
        <w:t xml:space="preserve">дисциплины – </w:t>
      </w:r>
      <w:proofErr w:type="spellStart"/>
      <w:r w:rsidR="003D4363" w:rsidRPr="003D4363">
        <w:rPr>
          <w:rFonts w:eastAsia="Times New Roman" w:cs="Times New Roman"/>
          <w:szCs w:val="28"/>
          <w:lang w:val="ru-RU"/>
        </w:rPr>
        <w:t>прагмапоэтики</w:t>
      </w:r>
      <w:proofErr w:type="spellEnd"/>
      <w:r w:rsidR="003D4363" w:rsidRPr="003D4363">
        <w:rPr>
          <w:rFonts w:eastAsia="Times New Roman" w:cs="Times New Roman"/>
          <w:szCs w:val="28"/>
          <w:lang w:val="ru-RU"/>
        </w:rPr>
        <w:t>.</w:t>
      </w:r>
      <w:r w:rsidRPr="00656412">
        <w:rPr>
          <w:rFonts w:eastAsia="Times New Roman" w:cs="Times New Roman"/>
          <w:szCs w:val="28"/>
          <w:lang w:val="ru-RU"/>
        </w:rPr>
        <w:t xml:space="preserve"> *Безуглая</w:t>
      </w:r>
      <w:r w:rsidR="00B020F9">
        <w:rPr>
          <w:rFonts w:eastAsia="Times New Roman" w:cs="Times New Roman"/>
          <w:szCs w:val="28"/>
          <w:lang w:val="ru-RU"/>
        </w:rPr>
        <w:t xml:space="preserve">. </w:t>
      </w:r>
      <w:proofErr w:type="spellStart"/>
      <w:r w:rsidR="00B020F9">
        <w:rPr>
          <w:rFonts w:eastAsia="Times New Roman" w:cs="Times New Roman"/>
          <w:szCs w:val="28"/>
          <w:lang w:val="ru-RU"/>
        </w:rPr>
        <w:t>Прагмопоэтика</w:t>
      </w:r>
      <w:proofErr w:type="spellEnd"/>
      <w:r w:rsidR="00B020F9">
        <w:rPr>
          <w:rFonts w:eastAsia="Times New Roman" w:cs="Times New Roman"/>
          <w:szCs w:val="28"/>
          <w:lang w:val="ru-RU"/>
        </w:rPr>
        <w:t xml:space="preserve"> в когнитивном </w:t>
      </w:r>
      <w:r w:rsidR="006606D5">
        <w:rPr>
          <w:rFonts w:eastAsia="Times New Roman" w:cs="Times New Roman"/>
          <w:szCs w:val="28"/>
          <w:lang w:val="ru-RU"/>
        </w:rPr>
        <w:t>измерении</w:t>
      </w:r>
      <w:bookmarkStart w:id="0" w:name="_GoBack"/>
      <w:bookmarkEnd w:id="0"/>
      <w:r w:rsidRPr="00656412">
        <w:rPr>
          <w:rFonts w:eastAsia="Times New Roman" w:cs="Times New Roman"/>
          <w:szCs w:val="28"/>
          <w:lang w:val="ru-RU"/>
        </w:rPr>
        <w:t xml:space="preserve">* </w:t>
      </w: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720004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64347">
        <w:rPr>
          <w:rFonts w:eastAsia="Times New Roman" w:cs="Times New Roman"/>
          <w:szCs w:val="28"/>
          <w:lang w:val="ru-RU"/>
        </w:rPr>
        <w:t xml:space="preserve">Как точно отметила </w:t>
      </w:r>
      <w:proofErr w:type="spellStart"/>
      <w:r w:rsidRPr="00664347">
        <w:rPr>
          <w:rFonts w:eastAsia="Times New Roman" w:cs="Times New Roman"/>
          <w:szCs w:val="28"/>
          <w:lang w:val="ru-RU"/>
        </w:rPr>
        <w:t>О.В.Чернышева</w:t>
      </w:r>
      <w:proofErr w:type="spellEnd"/>
      <w:r w:rsidRPr="00664347">
        <w:rPr>
          <w:rFonts w:eastAsia="Times New Roman" w:cs="Times New Roman"/>
          <w:szCs w:val="28"/>
          <w:lang w:val="ru-RU"/>
        </w:rPr>
        <w:t>, «прочтение творчества В. Маяковского в каком-либо одном ключе существенно обедняет истинный масштаб дарования и значимости поэта в культурном контексте эпохи»</w:t>
      </w:r>
      <w:r w:rsidRPr="00656412">
        <w:rPr>
          <w:rStyle w:val="a5"/>
          <w:rFonts w:eastAsia="Times New Roman" w:cs="Times New Roman"/>
          <w:szCs w:val="28"/>
          <w:lang w:val="ru-RU"/>
        </w:rPr>
        <w:footnoteReference w:id="1"/>
      </w:r>
    </w:p>
    <w:p w:rsidR="00664347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664347" w:rsidRPr="00656412" w:rsidRDefault="00DE73FC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t xml:space="preserve">Рекламное творчество,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как и общеизвестное агитационное начало текстов Маяковского, оказывается связанным множеством нитей и с глобальной зад</w:t>
      </w:r>
      <w:r>
        <w:rPr>
          <w:rFonts w:ascii="TimesNewRomanPSMT" w:hAnsi="TimesNewRomanPSMT"/>
          <w:color w:val="000000"/>
          <w:szCs w:val="28"/>
          <w:lang w:val="ru-RU"/>
        </w:rPr>
        <w:t xml:space="preserve">ачей, и с </w:t>
      </w:r>
      <w:proofErr w:type="spellStart"/>
      <w:r>
        <w:rPr>
          <w:rFonts w:ascii="TimesNewRomanPSMT" w:hAnsi="TimesNewRomanPSMT"/>
          <w:color w:val="000000"/>
          <w:szCs w:val="28"/>
          <w:lang w:val="ru-RU"/>
        </w:rPr>
        <w:t>самопозиционированием</w:t>
      </w:r>
      <w:proofErr w:type="spellEnd"/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поэта, и со многим другим.</w:t>
      </w:r>
      <w:r w:rsidR="00D94FFF" w:rsidRPr="00656412">
        <w:rPr>
          <w:rFonts w:ascii="TimesNewRomanPSMT" w:hAnsi="TimesNewRomanPSMT"/>
          <w:color w:val="000000"/>
          <w:szCs w:val="28"/>
          <w:lang w:val="ru-RU"/>
        </w:rPr>
        <w:t xml:space="preserve"> *Матросова, с.8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64347" w:rsidRPr="00656412" w:rsidRDefault="00664347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«Два</w:t>
      </w:r>
      <w:r w:rsidR="00DE73FC">
        <w:rPr>
          <w:rFonts w:ascii="TimesNewRomanPSMT" w:hAnsi="TimesNewRomanPSMT"/>
          <w:color w:val="000000"/>
          <w:szCs w:val="28"/>
          <w:lang w:val="ru-RU"/>
        </w:rPr>
        <w:t xml:space="preserve"> вида деятельности осознавались </w:t>
      </w:r>
      <w:r w:rsidRPr="00656412">
        <w:rPr>
          <w:rFonts w:ascii="TimesNewRomanPSMT" w:hAnsi="TimesNewRomanPSMT"/>
          <w:color w:val="000000"/>
          <w:szCs w:val="28"/>
          <w:lang w:val="ru-RU"/>
        </w:rPr>
        <w:t>Маяковским как единый культурный текст, направленный не только на продвижение советских товаров, но и на созидание нового человека и мира. Пропаганда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лампочек, книг, чая, галош, сосок в качестве атрибутов культуры было для него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важным делом укрепления советского строя и государственности, просвещения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</w: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>России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-«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>подростка». Тем самым В. Маяковский, наряду с товарным, актуализировал социальный дискурс рекламы…»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2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Таких напрашивающихся «выходов» из узко-прагматического ракурса в более широкую и глубокую проблематику множество. Например, отнюдь не просто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о товаре цитируемая Е.Ю. Сафроновой мысль Маяковского: «Реклама – это имя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вещи. Как хороший художник создает себе имя, так создает себе имя и вещь. &lt;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…&gt;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Реклама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должна напоминать бесконечно о каждой, даже чудесной вещи» [</w:t>
      </w:r>
      <w:r w:rsidRPr="00656412">
        <w:rPr>
          <w:rFonts w:ascii="TimesNewRomanPSMT" w:hAnsi="TimesNewRomanPSMT"/>
          <w:color w:val="000000"/>
          <w:szCs w:val="28"/>
        </w:rPr>
        <w:t>XII</w:t>
      </w:r>
      <w:r w:rsidRPr="00656412">
        <w:rPr>
          <w:rFonts w:ascii="TimesNewRomanPSMT" w:hAnsi="TimesNewRomanPSMT"/>
          <w:color w:val="000000"/>
          <w:szCs w:val="28"/>
          <w:lang w:val="ru-RU"/>
        </w:rPr>
        <w:t>, 58].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Здесь явно слышится ключевая для авангарда и Маяковского проблема материализации духовного, авангардный ответ на актуализированную Серебряным веком философскую проблематику имени и вещи. А упоминание о «социальном дискурсе рекламы» заставляет задуматься о глобальности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проекта –ведь, как пишет о 1920-х годах другой исследователь, «в рекламе важны не только рекламируемые товары, но и социальная ситуация их использования, взаимодействующие с ними социальные актеры. Проще говоря, для рекламного конструирования социальной реальности в переломный для страны период были важны не столько новые товары, сколько новые люди, их приобретающие»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3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Такое программное стирание границ между «словом» и «миром» заставляет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рассматривать агитацию, пропаганду и рекламу Маяковского как неотъемлемую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составляющую грандиозного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жизнетворческого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проекта,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выходящего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далеко за рамки отдельных художественных миров и направлений. *Матросова.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С</w:t>
      </w:r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10.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П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риеры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текстов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см.выше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>Ни рекламное, ни агитационное начало в творчестве Маяковского не оторваны от собственно поэтического, и это создает сложную, внутренне конфликтную художественную систему, упрощать которую непродуктивно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 любой стороны (отрывая ли рекламное начало от сущностного или игнорируя роковое несовпадение «газетчика» и романтического поэта; позиция самого Маяковского по последнему вопросу дает еще один уровень сложности и конфликтности, а не означает простого решения) *Матросова с. 12* </w:t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Уровень же интерпретации агитации и рекламы в творчестве поэта еще и сегодня нередко вот такой: «Владимир Маяковский – талантливейший пропагандист, искренне веривший в Революцию, готовый до конца биться и убеждать других в своей правде. Он – один из основателей российской социальной рекламы, мастер короткого агитационного лозунга»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4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«Убедительное решение данной проблемы &lt;…&gt; предложено исследователями творчества В.В. Маяковского как феномена утопического сознания (И. Иванюшина, С. Семенова и др.). Эстетическая утопия, определившая специфику понимания поэтом задач нового искусства, воплотилась в поэтической идеологии В.В. Маяковского» (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Ю. Р. Поэтическая идеология В.В. Маяковского: автореферат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дисс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… канд.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филол</w:t>
      </w:r>
      <w:proofErr w:type="spellEnd"/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. наук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</w:t>
      </w:r>
      <w:r w:rsidR="006606D5">
        <w:rPr>
          <w:rFonts w:ascii="TimesNewRomanPSMT" w:hAnsi="TimesNewRomanPSMT"/>
          <w:color w:val="000000"/>
          <w:szCs w:val="28"/>
          <w:lang w:val="ru-RU"/>
        </w:rPr>
        <w:t>Саратов, 2009. С. 3.)</w:t>
      </w: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Дискурсивные практики жизнетворчества, обусловленные в футуризме неоромантическим культом гениальности и отчасти возрожденческим комплексом культуры, закономерно приводили к эксцессам отрицания авторитетной традиции…»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5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656412" w:rsidRDefault="006E2C20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 xml:space="preserve">Как пишет Ю. Р.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, «единство творчества В.В. Маяковского определяется константами его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поэтиче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>-</w:t>
      </w:r>
    </w:p>
    <w:sectPr w:rsidR="006E2C20" w:rsidRPr="006564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899" w:rsidRDefault="00C83899" w:rsidP="00664347">
      <w:pPr>
        <w:spacing w:after="0" w:line="240" w:lineRule="auto"/>
      </w:pPr>
      <w:r>
        <w:separator/>
      </w:r>
    </w:p>
  </w:endnote>
  <w:endnote w:type="continuationSeparator" w:id="0">
    <w:p w:rsidR="00C83899" w:rsidRDefault="00C83899" w:rsidP="0066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899" w:rsidRDefault="00C83899" w:rsidP="00664347">
      <w:pPr>
        <w:spacing w:after="0" w:line="240" w:lineRule="auto"/>
      </w:pPr>
      <w:r>
        <w:separator/>
      </w:r>
    </w:p>
  </w:footnote>
  <w:footnote w:type="continuationSeparator" w:id="0">
    <w:p w:rsidR="00C83899" w:rsidRDefault="00C83899" w:rsidP="00664347">
      <w:pPr>
        <w:spacing w:after="0" w:line="240" w:lineRule="auto"/>
      </w:pPr>
      <w:r>
        <w:continuationSeparator/>
      </w:r>
    </w:p>
  </w:footnote>
  <w:footnote w:id="1">
    <w:p w:rsidR="00664347" w:rsidRPr="00D94FFF" w:rsidRDefault="00664347" w:rsidP="00D94FFF">
      <w:pPr>
        <w:rPr>
          <w:rFonts w:ascii="Arial" w:eastAsia="Times New Roman" w:hAnsi="Arial" w:cs="Arial"/>
          <w:szCs w:val="28"/>
          <w:lang w:val="ru-RU"/>
        </w:rPr>
      </w:pPr>
      <w:r>
        <w:rPr>
          <w:rStyle w:val="a5"/>
        </w:rPr>
        <w:footnoteRef/>
      </w:r>
      <w:r w:rsidRPr="00664347">
        <w:rPr>
          <w:lang w:val="ru-RU"/>
        </w:rPr>
        <w:t xml:space="preserve"> </w:t>
      </w:r>
      <w:r w:rsidRPr="00664347">
        <w:rPr>
          <w:rFonts w:ascii="Arial" w:eastAsia="Times New Roman" w:hAnsi="Arial" w:cs="Arial"/>
          <w:szCs w:val="28"/>
          <w:lang w:val="ru-RU"/>
        </w:rPr>
        <w:t>Чернышева О. В. Творчество ран</w:t>
      </w:r>
      <w:r>
        <w:rPr>
          <w:rFonts w:ascii="Arial" w:eastAsia="Times New Roman" w:hAnsi="Arial" w:cs="Arial"/>
          <w:szCs w:val="28"/>
          <w:lang w:val="ru-RU"/>
        </w:rPr>
        <w:t xml:space="preserve">него В. Маяковского в контексте </w:t>
      </w:r>
      <w:r w:rsidRPr="00664347">
        <w:rPr>
          <w:rFonts w:ascii="Arial" w:eastAsia="Times New Roman" w:hAnsi="Arial" w:cs="Arial"/>
          <w:szCs w:val="28"/>
          <w:lang w:val="ru-RU"/>
        </w:rPr>
        <w:t xml:space="preserve">русского авангарда: </w:t>
      </w:r>
      <w:proofErr w:type="spellStart"/>
      <w:proofErr w:type="gramStart"/>
      <w:r w:rsidRPr="00664347">
        <w:rPr>
          <w:rFonts w:ascii="Arial" w:eastAsia="Times New Roman" w:hAnsi="Arial" w:cs="Arial"/>
          <w:szCs w:val="28"/>
          <w:lang w:val="ru-RU"/>
        </w:rPr>
        <w:t>дисс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....</w:t>
      </w:r>
      <w:proofErr w:type="gramEnd"/>
      <w:r w:rsidRPr="00664347">
        <w:rPr>
          <w:rFonts w:ascii="Arial" w:eastAsia="Times New Roman" w:hAnsi="Arial" w:cs="Arial"/>
          <w:szCs w:val="28"/>
          <w:lang w:val="ru-RU"/>
        </w:rPr>
        <w:t xml:space="preserve"> канд. </w:t>
      </w:r>
      <w:proofErr w:type="spellStart"/>
      <w:r w:rsidRPr="00664347">
        <w:rPr>
          <w:rFonts w:ascii="Arial" w:eastAsia="Times New Roman" w:hAnsi="Arial" w:cs="Arial"/>
          <w:szCs w:val="28"/>
          <w:lang w:val="ru-RU"/>
        </w:rPr>
        <w:t>филол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 наук. Магнитогорск, 2003. С.3</w:t>
      </w:r>
    </w:p>
  </w:footnote>
  <w:footnote w:id="2">
    <w:p w:rsidR="00D94FFF" w:rsidRDefault="00D94FFF">
      <w:pPr>
        <w:pStyle w:val="a3"/>
        <w:rPr>
          <w:rFonts w:ascii="TimesNewRomanPSMT" w:hAnsi="TimesNewRomanPSMT"/>
          <w:color w:val="000000"/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Сафронова Е. Ю. Указ. соч. </w:t>
      </w:r>
      <w:r w:rsidRPr="003D4363">
        <w:rPr>
          <w:rFonts w:ascii="TimesNewRomanPSMT" w:hAnsi="TimesNewRomanPSMT"/>
          <w:color w:val="000000"/>
          <w:lang w:val="ru-RU"/>
        </w:rPr>
        <w:t>С. 218</w:t>
      </w:r>
      <w:r>
        <w:rPr>
          <w:rFonts w:ascii="TimesNewRomanPSMT" w:hAnsi="TimesNewRomanPSMT"/>
          <w:color w:val="000000"/>
          <w:lang w:val="ru-RU"/>
        </w:rPr>
        <w:t xml:space="preserve"> </w:t>
      </w:r>
    </w:p>
    <w:p w:rsidR="00D94FFF" w:rsidRPr="00D94FFF" w:rsidRDefault="00D94FFF">
      <w:pPr>
        <w:pStyle w:val="a3"/>
        <w:rPr>
          <w:lang w:val="ru-RU"/>
        </w:rPr>
      </w:pPr>
    </w:p>
  </w:footnote>
  <w:footnote w:id="3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Савельева О. О. Советская реклама 20-х годов как средство агитации и пропаганды // Человек. </w:t>
      </w:r>
      <w:r w:rsidRPr="003D4363">
        <w:rPr>
          <w:rFonts w:ascii="TimesNewRomanPSMT" w:hAnsi="TimesNewRomanPSMT"/>
          <w:color w:val="000000"/>
          <w:lang w:val="ru-RU"/>
        </w:rPr>
        <w:t>2006. № 3. С. 146</w:t>
      </w:r>
    </w:p>
  </w:footnote>
  <w:footnote w:id="4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proofErr w:type="spellStart"/>
      <w:r w:rsidRPr="00D94FFF">
        <w:rPr>
          <w:color w:val="000000"/>
          <w:lang w:val="ru-RU"/>
        </w:rPr>
        <w:t>Козлёнков</w:t>
      </w:r>
      <w:proofErr w:type="spellEnd"/>
      <w:r w:rsidRPr="00D94FFF">
        <w:rPr>
          <w:color w:val="000000"/>
          <w:lang w:val="ru-RU"/>
        </w:rPr>
        <w:t xml:space="preserve"> В. А. Рекламно-агитационные стратегии Владимира Маяковского на рубеже 1910-х – 20-х годов: «Окна РОСТА» // Вестник Костромского государственного университета. </w:t>
      </w:r>
      <w:r>
        <w:rPr>
          <w:color w:val="000000"/>
        </w:rPr>
        <w:t>2011. Т. 17. С. 139</w:t>
      </w:r>
      <w:r>
        <w:rPr>
          <w:color w:val="000000"/>
          <w:lang w:val="ru-RU"/>
        </w:rPr>
        <w:t xml:space="preserve"> </w:t>
      </w:r>
    </w:p>
  </w:footnote>
  <w:footnote w:id="5">
    <w:p w:rsidR="006E2C20" w:rsidRPr="006E2C20" w:rsidRDefault="006E2C20">
      <w:pPr>
        <w:pStyle w:val="a3"/>
        <w:rPr>
          <w:lang w:val="ru-RU"/>
        </w:rPr>
      </w:pPr>
      <w:r>
        <w:rPr>
          <w:rStyle w:val="a5"/>
        </w:rPr>
        <w:footnoteRef/>
      </w:r>
      <w:r w:rsidRPr="006E2C20">
        <w:rPr>
          <w:lang w:val="ru-RU"/>
        </w:rPr>
        <w:t xml:space="preserve">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Шукуров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 Д. Л. Концепция слова в дискурсе русского литературного авангарда первой трети ХХ века: автореферат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дисс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. … доктора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филол</w:t>
      </w:r>
      <w:proofErr w:type="spellEnd"/>
      <w:proofErr w:type="gramStart"/>
      <w:r w:rsidRPr="006E2C20">
        <w:rPr>
          <w:rFonts w:ascii="TimesNewRomanPSMT" w:hAnsi="TimesNewRomanPSMT"/>
          <w:color w:val="000000"/>
          <w:lang w:val="ru-RU"/>
        </w:rPr>
        <w:t>. наук</w:t>
      </w:r>
      <w:proofErr w:type="gramEnd"/>
      <w:r w:rsidRPr="006E2C2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>
        <w:rPr>
          <w:rFonts w:ascii="TimesNewRomanPSMT" w:hAnsi="TimesNewRomanPSMT"/>
          <w:color w:val="000000"/>
        </w:rPr>
        <w:t>Иваново</w:t>
      </w:r>
      <w:proofErr w:type="spellEnd"/>
      <w:r>
        <w:rPr>
          <w:rFonts w:ascii="TimesNewRomanPSMT" w:hAnsi="TimesNewRomanPSMT"/>
          <w:color w:val="000000"/>
        </w:rPr>
        <w:t>, 2007. С.18.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47"/>
    <w:rsid w:val="000071A2"/>
    <w:rsid w:val="003D4363"/>
    <w:rsid w:val="005259C9"/>
    <w:rsid w:val="00656412"/>
    <w:rsid w:val="006606D5"/>
    <w:rsid w:val="00664347"/>
    <w:rsid w:val="006E2C20"/>
    <w:rsid w:val="00720004"/>
    <w:rsid w:val="008A237D"/>
    <w:rsid w:val="00B020F9"/>
    <w:rsid w:val="00BB0F5B"/>
    <w:rsid w:val="00C61C99"/>
    <w:rsid w:val="00C83899"/>
    <w:rsid w:val="00D94FFF"/>
    <w:rsid w:val="00D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F4CA6-1C67-4EBA-BB69-73B1A4AE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6434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64347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64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0BB6-9895-4AEB-AEE7-9EF3DF62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554</Words>
  <Characters>3758</Characters>
  <Application>Microsoft Office Word</Application>
  <DocSecurity>0</DocSecurity>
  <Lines>85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4</cp:revision>
  <dcterms:created xsi:type="dcterms:W3CDTF">2016-06-21T12:52:00Z</dcterms:created>
  <dcterms:modified xsi:type="dcterms:W3CDTF">2016-06-22T18:43:00Z</dcterms:modified>
</cp:coreProperties>
</file>