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74" w:rsidRDefault="00881574" w:rsidP="00881574">
      <w:pPr>
        <w:pStyle w:val="a5"/>
        <w:spacing w:before="48" w:beforeAutospacing="0" w:after="48" w:afterAutospacing="0"/>
        <w:rPr>
          <w:color w:val="000050"/>
          <w:sz w:val="22"/>
          <w:szCs w:val="22"/>
        </w:rPr>
      </w:pPr>
      <w:r>
        <w:rPr>
          <w:rStyle w:val="a6"/>
          <w:i w:val="0"/>
          <w:iCs w:val="0"/>
          <w:color w:val="000050"/>
          <w:spacing w:val="48"/>
          <w:sz w:val="22"/>
          <w:szCs w:val="22"/>
        </w:rPr>
        <w:t>Маяковский В. В.</w:t>
      </w:r>
      <w:r>
        <w:rPr>
          <w:rStyle w:val="apple-converted-space"/>
          <w:color w:val="000050"/>
          <w:spacing w:val="48"/>
          <w:sz w:val="22"/>
          <w:szCs w:val="22"/>
        </w:rPr>
        <w:t> </w:t>
      </w:r>
      <w:r>
        <w:rPr>
          <w:b/>
          <w:bCs/>
          <w:color w:val="000050"/>
          <w:sz w:val="22"/>
          <w:szCs w:val="22"/>
        </w:rPr>
        <w:t>Агитация и реклама</w:t>
      </w:r>
      <w:r>
        <w:rPr>
          <w:rStyle w:val="apple-converted-space"/>
          <w:color w:val="000050"/>
          <w:sz w:val="22"/>
          <w:szCs w:val="22"/>
        </w:rPr>
        <w:t> </w:t>
      </w:r>
      <w:r>
        <w:rPr>
          <w:color w:val="000050"/>
          <w:sz w:val="22"/>
          <w:szCs w:val="22"/>
        </w:rPr>
        <w:t xml:space="preserve">// Маяковский В. В. Полное собрание сочинений: В 13 т. / АН СССР. Ин-т мировой лит. им. А. М. Горького. — М.: </w:t>
      </w:r>
      <w:proofErr w:type="spellStart"/>
      <w:r>
        <w:rPr>
          <w:color w:val="000050"/>
          <w:sz w:val="22"/>
          <w:szCs w:val="22"/>
        </w:rPr>
        <w:t>Худож</w:t>
      </w:r>
      <w:proofErr w:type="spellEnd"/>
      <w:r>
        <w:rPr>
          <w:color w:val="000050"/>
          <w:sz w:val="22"/>
          <w:szCs w:val="22"/>
        </w:rPr>
        <w:t xml:space="preserve">. </w:t>
      </w:r>
      <w:proofErr w:type="gramStart"/>
      <w:r>
        <w:rPr>
          <w:color w:val="000050"/>
          <w:sz w:val="22"/>
          <w:szCs w:val="22"/>
        </w:rPr>
        <w:t>лит.,</w:t>
      </w:r>
      <w:proofErr w:type="gramEnd"/>
      <w:r>
        <w:rPr>
          <w:color w:val="000050"/>
          <w:sz w:val="22"/>
          <w:szCs w:val="22"/>
        </w:rPr>
        <w:t xml:space="preserve"> 1955—1961.</w:t>
      </w:r>
    </w:p>
    <w:p w:rsidR="00881574" w:rsidRDefault="00881574" w:rsidP="00881574">
      <w:pPr>
        <w:pStyle w:val="a5"/>
        <w:spacing w:before="48" w:beforeAutospacing="0" w:after="48" w:afterAutospacing="0"/>
        <w:rPr>
          <w:color w:val="000050"/>
          <w:sz w:val="22"/>
          <w:szCs w:val="22"/>
        </w:rPr>
      </w:pPr>
      <w:r>
        <w:rPr>
          <w:color w:val="000050"/>
          <w:sz w:val="22"/>
          <w:szCs w:val="22"/>
        </w:rPr>
        <w:t>Т. 12. Статьи, заметки и выступления: (Ноябрь 1917 — 1930). —</w:t>
      </w:r>
      <w:r>
        <w:rPr>
          <w:rStyle w:val="apple-converted-space"/>
          <w:color w:val="000050"/>
          <w:sz w:val="22"/>
          <w:szCs w:val="22"/>
        </w:rPr>
        <w:t> </w:t>
      </w:r>
      <w:r>
        <w:rPr>
          <w:b/>
          <w:bCs/>
          <w:color w:val="000050"/>
          <w:sz w:val="22"/>
          <w:szCs w:val="22"/>
        </w:rPr>
        <w:t>1959</w:t>
      </w:r>
      <w:r>
        <w:rPr>
          <w:color w:val="000050"/>
          <w:sz w:val="22"/>
          <w:szCs w:val="22"/>
        </w:rPr>
        <w:t>. — С. 57—58.</w:t>
      </w:r>
    </w:p>
    <w:p w:rsidR="00881574" w:rsidRDefault="00881574" w:rsidP="00881574">
      <w:pPr>
        <w:pStyle w:val="zag"/>
        <w:shd w:val="clear" w:color="auto" w:fill="FEFEFE"/>
        <w:spacing w:before="960" w:beforeAutospacing="0" w:after="48" w:afterAutospacing="0"/>
        <w:jc w:val="center"/>
        <w:rPr>
          <w:rFonts w:ascii="Arial" w:hAnsi="Arial" w:cs="Arial"/>
          <w:spacing w:val="72"/>
          <w:sz w:val="19"/>
          <w:szCs w:val="19"/>
        </w:rPr>
      </w:pPr>
      <w:bookmarkStart w:id="0" w:name="_GoBack"/>
      <w:bookmarkEnd w:id="0"/>
    </w:p>
    <w:p w:rsidR="00881574" w:rsidRPr="00881574" w:rsidRDefault="00881574" w:rsidP="00881574">
      <w:pPr>
        <w:pStyle w:val="zag"/>
        <w:shd w:val="clear" w:color="auto" w:fill="FEFEFE"/>
        <w:spacing w:before="960" w:beforeAutospacing="0" w:after="48" w:afterAutospacing="0"/>
        <w:jc w:val="center"/>
        <w:rPr>
          <w:rFonts w:ascii="Arial" w:hAnsi="Arial" w:cs="Arial"/>
          <w:spacing w:val="72"/>
          <w:sz w:val="19"/>
          <w:szCs w:val="19"/>
        </w:rPr>
      </w:pPr>
      <w:hyperlink r:id="rId4" w:anchor="Статьи_и_заметки.Агитация_и_реклама" w:history="1">
        <w:r w:rsidRPr="00881574">
          <w:rPr>
            <w:rStyle w:val="a4"/>
            <w:rFonts w:ascii="Arial" w:hAnsi="Arial" w:cs="Arial"/>
            <w:color w:val="auto"/>
            <w:spacing w:val="72"/>
            <w:sz w:val="19"/>
            <w:szCs w:val="19"/>
          </w:rPr>
          <w:t>АГИТАЦИЯ И РЕКЛАМА</w:t>
        </w:r>
      </w:hyperlink>
    </w:p>
    <w:p w:rsidR="00881574" w:rsidRPr="00881574" w:rsidRDefault="00881574" w:rsidP="00881574">
      <w:pPr>
        <w:pStyle w:val="text1"/>
        <w:shd w:val="clear" w:color="auto" w:fill="FEFEFE"/>
        <w:spacing w:before="240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Мы знаем прекрасно силу агитации. В каждой военной победе, в каждой хозяйственной удаче на</w:t>
      </w:r>
      <w:r w:rsidRPr="00881574">
        <w:rPr>
          <w:rStyle w:val="apple-converted-space"/>
          <w:sz w:val="27"/>
          <w:szCs w:val="27"/>
        </w:rPr>
        <w:t> </w:t>
      </w:r>
      <w:r w:rsidRPr="00881574">
        <w:rPr>
          <w:vertAlign w:val="superscript"/>
        </w:rPr>
        <w:t>9</w:t>
      </w:r>
      <w:r w:rsidRPr="00881574">
        <w:rPr>
          <w:sz w:val="27"/>
          <w:szCs w:val="27"/>
        </w:rPr>
        <w:t>/</w:t>
      </w:r>
      <w:r w:rsidRPr="00881574">
        <w:rPr>
          <w:vertAlign w:val="subscript"/>
        </w:rPr>
        <w:t>10</w:t>
      </w:r>
      <w:r w:rsidRPr="00881574">
        <w:rPr>
          <w:rStyle w:val="apple-converted-space"/>
          <w:sz w:val="27"/>
          <w:szCs w:val="27"/>
        </w:rPr>
        <w:t> </w:t>
      </w:r>
      <w:r w:rsidRPr="00881574">
        <w:rPr>
          <w:sz w:val="27"/>
          <w:szCs w:val="27"/>
        </w:rPr>
        <w:t>сказывается уменье и сила нашей агитации.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Буржуазия знает силу рекламы. Реклама — промышленная, торговая агитация. Ни одно, даже самое верное дело не двигается без рекламы. Это оружие, поражающее конкуренцию.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Наша агитация выросла в подполье; до нэпа, до прорыва блокады нам не приходилось конкурировать.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Мы идеализировали методы агитации. Мы забросили рекламу, относясь пренебрежительно к этой «буржуазной штучке».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При нэпе надо пользоваться для популяризации государственных, пролетарских организаций, контор, продуктов всеми оружиями, пользуемыми врагами, в том числе и рекламой.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Здесь еще мы щенки. Надо поучиться.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Официально мы уже за рекламу взялись, редкое учреждение не помещает объявлений, не выпускает листовок и т. д.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Но до чего это неумело.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Вот передо мной случайный клочок объявлений из «Известий»: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«Московское коммунальное хозяйство извещает...»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«Правление треста «Обновленное волокно» объявляет...»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«Уполномоченный доводит до сведения...»</w:t>
      </w:r>
    </w:p>
    <w:p w:rsidR="00881574" w:rsidRPr="00881574" w:rsidRDefault="00881574" w:rsidP="00881574">
      <w:pPr>
        <w:pStyle w:val="a5"/>
        <w:shd w:val="clear" w:color="auto" w:fill="FEFEFE"/>
        <w:spacing w:before="0" w:beforeAutospacing="0" w:after="0" w:afterAutospacing="0"/>
        <w:jc w:val="both"/>
        <w:rPr>
          <w:sz w:val="27"/>
          <w:szCs w:val="27"/>
        </w:rPr>
      </w:pPr>
      <w:r w:rsidRPr="00881574">
        <w:rPr>
          <w:rStyle w:val="page"/>
          <w:i/>
          <w:iCs/>
          <w:sz w:val="19"/>
          <w:szCs w:val="19"/>
          <w:bdr w:val="single" w:sz="6" w:space="0" w:color="C1C1C1" w:frame="1"/>
        </w:rPr>
        <w:t>58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«Правление «</w:t>
      </w:r>
      <w:proofErr w:type="spellStart"/>
      <w:r w:rsidRPr="00881574">
        <w:rPr>
          <w:sz w:val="27"/>
          <w:szCs w:val="27"/>
        </w:rPr>
        <w:t>Боркомбинат</w:t>
      </w:r>
      <w:proofErr w:type="spellEnd"/>
      <w:r w:rsidRPr="00881574">
        <w:rPr>
          <w:sz w:val="27"/>
          <w:szCs w:val="27"/>
        </w:rPr>
        <w:t>» извещает», и т. д. и т. д. до бесконечности.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Какая канцелярщина — извещает, доводит до сведения, объявляет!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Кто ж на эти призывы пойдет?!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Надо звать, надо рекламировать, чтоб калеки немедленно исцелялись и бежали покупать, торговать, смотреть!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Вспоминается европейская реклама. Напр., какая-то фирма рекламирует замечательные резины для подтяжек: в Ганновере человек торопится на берлинский поезд и не заметил, как в вокзальной уборной зацепился за гвоздь подтяжками. Доехал до Берлина, вылез, — бац, и он опять в Ганновере, его притянули обратно подтяжки.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Вот это реклама! Такую не забудешь.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lastRenderedPageBreak/>
        <w:t>Обычно думают, что надо рекламировать только дрянь — хорошая вещь и так пойдет.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Это самое неверное мнение.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Реклама — это имя вещи. Как хороший художник создает себе имя, так создает себе имя и вещь. Увидев на обложке журнала «знаменитое» имя, останавливаются купить. Будь та же вещь без фамилии на обложке, сотни рассеянных просто прошли бы мимо.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Реклама должна напоминать бесконечно о каждой, даже чудесной вещи.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Даже «Правда», конечно, не нуждающаяся ни в каких рекомендациях, рекламирует себя все-таки: «Каждый рабочий должен читать свою газету» и т. д. На первой странице «Правды» — ежедневная реклама — объявление о журнале</w:t>
      </w:r>
      <w:r w:rsidRPr="00881574">
        <w:rPr>
          <w:rStyle w:val="apple-converted-space"/>
          <w:sz w:val="27"/>
          <w:szCs w:val="27"/>
        </w:rPr>
        <w:t> </w:t>
      </w:r>
      <w:hyperlink r:id="rId5" w:anchor="Статьи_и_заметки.Агитация_и_реклама.Прожектор" w:history="1">
        <w:r w:rsidRPr="00881574">
          <w:rPr>
            <w:rStyle w:val="a4"/>
            <w:color w:val="auto"/>
            <w:sz w:val="27"/>
            <w:szCs w:val="27"/>
          </w:rPr>
          <w:t>«Прожектор»</w:t>
        </w:r>
      </w:hyperlink>
      <w:r w:rsidRPr="00881574">
        <w:rPr>
          <w:sz w:val="27"/>
          <w:szCs w:val="27"/>
        </w:rPr>
        <w:t>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Конечно, реклама не исчерпывается объявлениями. Объявления — простейший вид. Реклама должна быть разнообразием, выдумкой.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К Всероссийской с.-х.</w:t>
      </w:r>
      <w:r w:rsidRPr="00881574">
        <w:rPr>
          <w:rStyle w:val="apple-converted-space"/>
          <w:sz w:val="27"/>
          <w:szCs w:val="27"/>
        </w:rPr>
        <w:t> </w:t>
      </w:r>
      <w:hyperlink r:id="rId6" w:anchor="Статьи_и_заметки.Агитация_и_реклама.выставке" w:history="1">
        <w:r w:rsidRPr="00881574">
          <w:rPr>
            <w:rStyle w:val="a4"/>
            <w:color w:val="auto"/>
            <w:sz w:val="27"/>
            <w:szCs w:val="27"/>
          </w:rPr>
          <w:t>выставке в Москве</w:t>
        </w:r>
      </w:hyperlink>
      <w:r w:rsidRPr="00881574">
        <w:rPr>
          <w:rStyle w:val="apple-converted-space"/>
          <w:sz w:val="27"/>
          <w:szCs w:val="27"/>
        </w:rPr>
        <w:t> </w:t>
      </w:r>
      <w:r w:rsidRPr="00881574">
        <w:rPr>
          <w:sz w:val="27"/>
          <w:szCs w:val="27"/>
        </w:rPr>
        <w:t>выйдет под редакцией т. Брик специальная книга о рекламе, первая в РСФСР.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 xml:space="preserve">Мы не должны оставить это оружие, эту агитацию торговли в руках </w:t>
      </w:r>
      <w:proofErr w:type="spellStart"/>
      <w:r w:rsidRPr="00881574">
        <w:rPr>
          <w:sz w:val="27"/>
          <w:szCs w:val="27"/>
        </w:rPr>
        <w:t>нэпача</w:t>
      </w:r>
      <w:proofErr w:type="spellEnd"/>
      <w:r w:rsidRPr="00881574">
        <w:rPr>
          <w:sz w:val="27"/>
          <w:szCs w:val="27"/>
        </w:rPr>
        <w:t>, в руках буржуа-иностранца. В СССР всё должно работать на пролетарское благо. Думайте о рекламе!</w:t>
      </w:r>
    </w:p>
    <w:p w:rsidR="00881574" w:rsidRPr="00881574" w:rsidRDefault="00881574" w:rsidP="00881574">
      <w:pPr>
        <w:pStyle w:val="comm21"/>
        <w:shd w:val="clear" w:color="auto" w:fill="FEFEFE"/>
        <w:spacing w:before="240" w:beforeAutospacing="0" w:after="48" w:afterAutospacing="0"/>
        <w:jc w:val="both"/>
        <w:rPr>
          <w:sz w:val="19"/>
          <w:szCs w:val="19"/>
        </w:rPr>
      </w:pPr>
      <w:r w:rsidRPr="00881574">
        <w:rPr>
          <w:sz w:val="19"/>
          <w:szCs w:val="19"/>
        </w:rPr>
        <w:t>[</w:t>
      </w:r>
      <w:r w:rsidRPr="00881574">
        <w:rPr>
          <w:i/>
          <w:iCs/>
          <w:sz w:val="19"/>
          <w:szCs w:val="19"/>
        </w:rPr>
        <w:t>1923</w:t>
      </w:r>
      <w:r w:rsidRPr="00881574">
        <w:rPr>
          <w:sz w:val="19"/>
          <w:szCs w:val="19"/>
        </w:rPr>
        <w:t>]</w:t>
      </w:r>
    </w:p>
    <w:p w:rsidR="00C619E2" w:rsidRPr="00881574" w:rsidRDefault="00881574"/>
    <w:sectPr w:rsidR="00C619E2" w:rsidRPr="00881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74"/>
    <w:rsid w:val="00271822"/>
    <w:rsid w:val="0057777A"/>
    <w:rsid w:val="00881574"/>
    <w:rsid w:val="009A445D"/>
    <w:rsid w:val="00CD2B83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AFCF9-30E0-4DE4-B332-AD847650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zag">
    <w:name w:val="zag"/>
    <w:basedOn w:val="a"/>
    <w:rsid w:val="008815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81574"/>
    <w:rPr>
      <w:color w:val="0000FF"/>
      <w:u w:val="single"/>
    </w:rPr>
  </w:style>
  <w:style w:type="paragraph" w:customStyle="1" w:styleId="text1">
    <w:name w:val="text1"/>
    <w:basedOn w:val="a"/>
    <w:rsid w:val="008815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81574"/>
  </w:style>
  <w:style w:type="paragraph" w:customStyle="1" w:styleId="text">
    <w:name w:val="text"/>
    <w:basedOn w:val="a"/>
    <w:rsid w:val="008815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815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881574"/>
  </w:style>
  <w:style w:type="paragraph" w:customStyle="1" w:styleId="comm21">
    <w:name w:val="comm21"/>
    <w:basedOn w:val="a"/>
    <w:rsid w:val="008815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815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c/msc-535-.htm" TargetMode="External"/><Relationship Id="rId5" Type="http://schemas.openxmlformats.org/officeDocument/2006/relationships/hyperlink" Target="http://feb-web.ru/feb/mayakovsky/texts/ms0/msc/msc-535-.htm" TargetMode="External"/><Relationship Id="rId4" Type="http://schemas.openxmlformats.org/officeDocument/2006/relationships/hyperlink" Target="http://feb-web.ru/feb/mayakovsky/texts/ms0/msc/msc-535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2016-06-05T10:45:00Z</dcterms:created>
  <dcterms:modified xsi:type="dcterms:W3CDTF">2016-06-05T10:47:00Z</dcterms:modified>
</cp:coreProperties>
</file>