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Dodge</w:t>
      </w:r>
      <w:r>
        <w:t xml:space="preserve"> </w:t>
      </w:r>
      <w:r>
        <w:t xml:space="preserve">Creek</w:t>
      </w:r>
      <w:r>
        <w:t xml:space="preserve"> </w:t>
      </w:r>
      <w:r>
        <w:t xml:space="preserve">at</w:t>
      </w:r>
      <w:r>
        <w:t xml:space="preserve"> </w:t>
      </w:r>
      <w:r>
        <w:t xml:space="preserve">Portville,</w:t>
      </w:r>
      <w:r>
        <w:t xml:space="preserve"> </w:t>
      </w:r>
      <w:r>
        <w:t xml:space="preserve">NY</w:t>
      </w:r>
    </w:p>
    <w:p>
      <w:pPr>
        <w:pStyle w:val="Author"/>
      </w:pPr>
      <w:r>
        <w:t xml:space="preserve">NYSDEC</w:t>
      </w:r>
      <w:r>
        <w:t xml:space="preserve"> </w:t>
      </w:r>
      <w:r>
        <w:t xml:space="preserve">SMAS</w:t>
      </w:r>
    </w:p>
    <w:p>
      <w:pPr>
        <w:pStyle w:val="Date"/>
      </w:pPr>
      <w:r>
        <w:t xml:space="preserve">2021-10-01</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1"/>
      </w:pPr>
      <w:bookmarkStart w:id="20" w:name="general"/>
      <w:r>
        <w:t xml:space="preserve">General</w:t>
      </w:r>
      <w:bookmarkEnd w:id="20"/>
    </w:p>
    <w:p>
      <w:pPr>
        <w:pStyle w:val="FirstParagraph"/>
      </w:pPr>
      <w:r>
        <w:t xml:space="preserve">Dodge Creek in Portville, NY receives discharge from the Portville Sewage Treatment Plant (STP). Dodge Creek (PWLID 0201-0065) is a Class C stream in the Allegheny River watershed. The Bureau of Water Resource Management requested that the Stream Monitoring and Assessment Section (SMAS) conduct monitoring to determine if potential impacts to aquatic life and water quality were occurring due to the STP discharge (RAS QAPP, 2021 ). Upstream and downstream sampling locations were selected to isolate impacts to aquatic life and determine whether significant reduction in ammonia limits may be required as part of upgrades to the STP. Biological impairment criteria sampling (Bode et al. 1995) was conducted along with collection of information on physical habitat, substrate information, and water chemistry.,</w:t>
      </w:r>
    </w:p>
    <w:p>
      <w:pPr>
        <w:pStyle w:val="BodyText"/>
      </w:pPr>
      <w:r>
        <w:t xml:space="preserve">The Dodge Creek at Portville, NY site descriptions (Table</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r>
        <w:t xml:space="preserve"> </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includes two sections: I) an overview of the sampling events described above, and II) a site-specific data summary to present all major findings for each site. Additional sections (III, IV) include literature cited and appendices covering all references and additional source material.</w:t>
      </w:r>
    </w:p>
    <w:p>
      <w:pPr>
        <w:pStyle w:val="TableCaption"/>
      </w:pPr>
      <w:r>
        <w:t xml:space="preserve">Table </w:t>
      </w:r>
      <w:bookmarkStart w:id="d50f0da4-5bfd-4bc9-8116-2af29112a0fb"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50f0da4-5bfd-4bc9-8116-2af29112a0fb"/>
      <w:r>
        <w:t xml:space="preserve">: </w:t>
      </w:r>
      <w:r>
        <w:t xml:space="preserve">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48"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02-DODG-0.3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0201-0065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 M BELOW RT. 417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42.036200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-78.339300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02-DODG-0.1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0201-0065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DOWSTREAM OF OUTFALL 50M</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42.035795999999998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-78.34299</w:t>
            </w:r>
          </w:p>
        </w:tc>
      </w:tr>
    </w:tbl>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d9e213c5-d290-4a7d-b82e-97a618792592"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9e213c5-d290-4a7d-b82e-97a618792592"/>
      <w:r>
        <w:t xml:space="preserve">: </w:t>
      </w:r>
      <w:r>
        <w:t xml:space="preserve">Map of sampling locations. Site names reference the Location ID and River Mile.</w:t>
      </w:r>
    </w:p>
    <w:p>
      <w:pPr>
        <w:pStyle w:val="TableCaption"/>
      </w:pPr>
      <w:r>
        <w:t xml:space="preserve">Table </w:t>
      </w:r>
      <w:bookmarkStart w:id="894182a8-9de6-4deb-ad30-2e67345297fe" w:name="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4182a8-9de6-4deb-ad30-2e67345297fe"/>
      <w:r>
        <w:t xml:space="preserve">: </w:t>
      </w:r>
      <w:r>
        <w:t xml:space="preserve">Sampling dates and overall parameters for the study period included in this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591"/>
        <w:tblLook w:firstRow="1" w:lastRow="0" w:firstColumn="0" w:lastColumn="0" w:noHBand="0" w:noVBand="1"/>
      </w:tblPr>
      <w:tblGrid>
        <w:gridCol w:w="1608"/>
        <w:gridCol w:w="1376"/>
        <w:gridCol w:w="1327"/>
        <w:gridCol w:w="228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Chemistry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Macroinvertebrates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02-DODG-0.1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2021-07-01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02-DODG-0.3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2021-07-01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w:t>
            </w:r>
          </w:p>
        </w:tc>
      </w:tr>
    </w:tbl>
    <w:p>
      <w:r>
        <w:br w:type="page"/>
      </w:r>
    </w:p>
    <w:p>
      <w:pPr>
        <w:pStyle w:val="Heading1"/>
      </w:pPr>
      <w:bookmarkStart w:id="21" w:name="benthic-macroinvertebrate-community"/>
      <w:r>
        <w:t xml:space="preserve">Benthic Macroinvertebrate Community</w:t>
      </w:r>
      <w:bookmarkEnd w:id="21"/>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#208-21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BAPfig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SOP #208-21). A final BAP score below 5 suggests that the sampled stream is not achieving its aquatic life use goals. A BAP score above 5 indicates that the sampled stream is attaining its aquatic life use goals (Figure</w:t>
      </w:r>
      <w:r>
        <w:t xml:space="preserve"> </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Expected variability in the results of benthic macroinvertebrate community samples is presented in Smith and Bode (2004).</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2f383c4e-7239-4ea4-a6b0-08445dc20c53" w:name="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f383c4e-7239-4ea4-a6b0-08445dc20c53"/>
      <w:r>
        <w:t xml:space="preserve">: </w:t>
      </w: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64008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e0291061-e69a-4fb3-a88a-423178fb10b7"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0291061-e69a-4fb3-a88a-423178fb10b7"/>
      <w:r>
        <w:t xml:space="preserve">: </w:t>
      </w:r>
      <w:r>
        <w:t xml:space="preserve">Biological Assessment Profile (BAP) Scores and 95% confidence intervals for benthic macroinvertebrate community assessment data for the Survey, 2019. Symbology corresponds with WI/PWL segmentation as indicated in the plot legend.</w:t>
      </w:r>
    </w:p>
    <w:p>
      <w:pPr>
        <w:pStyle w:val="BodyText"/>
      </w:pPr>
      <w:r>
        <w:t xml:space="preserve">On average, Biological Assessment Profile (BAP) scores indicated from slightly ipacted conditions across sites (SOP #208-19). No segments fell below a mean BAP score of 5 for the study period.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None of the segments had a mean BAP score that would suggest inconclusive results.</w:t>
      </w:r>
      <w:r>
        <w:t xml:space="preserve"> </w:t>
      </w:r>
    </w:p>
    <w:p>
      <w:pPr>
        <w:pStyle w:val="Heading1"/>
      </w:pPr>
      <w:bookmarkStart w:id="22" w:name="biological-impairment-criteria"/>
      <w:r>
        <w:t xml:space="preserve">Biological Impairment Criteria</w:t>
      </w:r>
      <w:bookmarkEnd w:id="22"/>
    </w:p>
    <w:p>
      <w:pPr>
        <w:pStyle w:val="FirstParagraph"/>
      </w:pPr>
      <w:r>
        <w:t xml:space="preserve">Biological assessment based on the macroinvertebrate community provide the ability to detect water quality problems that are intermittent, not detected, and/or underestimated by water chemistry sampling. Using biological sampling methods described above (SOP #208-21), criteria have been established for measuring significant biological impairment to resident aquatic life in flowing waters (Bode et al. 1995). Using conditions upstream of a point source rather than reference condition (BAP &gt;5.0) generate site-specific criteria and evaluates potential localized change in the macroinvertebrate community condition.</w:t>
      </w:r>
    </w:p>
    <w:p>
      <w:pPr>
        <w:pStyle w:val="BodyText"/>
      </w:pPr>
      <w:r>
        <w:t xml:space="preserve">To isolate water quality as the driver of potential impact to the macroinvertebrate community, several habitat features must be measured at both sampling locations and fall within documented habitat similarity requirements (Bode et al. 1995). These habitat features are routinely collected as part of macroinvertebrate community sampling (SOP #208-21) and include: substrate particle size (within 3 phi units), along with current speed, embeddedness, and canopy cover (all within 50%).</w:t>
      </w:r>
    </w:p>
    <w:p>
      <w:pPr>
        <w:pStyle w:val="TableCaption"/>
      </w:pPr>
      <w:r>
        <w:t xml:space="preserve">Table </w:t>
      </w:r>
      <w:bookmarkStart w:id="8d096e90-b06a-419b-a931-da2d5094a1f0" w:name="h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d096e90-b06a-419b-a931-da2d5094a1f0"/>
      <w:r>
        <w:t xml:space="preserve">: </w:t>
      </w:r>
      <w:r>
        <w:t xml:space="preserve">Habitat variable information collected at Dodge Creek (July 1, 2021) to evaluate potential influence of physical habitat on the macroinvertebrate community.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456"/>
        <w:tblLook w:firstRow="1" w:lastRow="0" w:firstColumn="0" w:lastColumn="0" w:noHBand="0" w:noVBand="1"/>
      </w:tblPr>
      <w:tblGrid>
        <w:gridCol w:w="3050"/>
        <w:gridCol w:w="1204"/>
        <w:gridCol w:w="1754"/>
        <w:gridCol w:w="2133"/>
        <w:gridCol w:w="131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Phi 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Current (cm/s)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Embeddedness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 Canopy</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02-DODG-0.3 (Upstream)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02-DODG-0.1 (Downstream)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pStyle w:val="BodyText"/>
      </w:pPr>
      <w:r>
        <w:rPr>
          <w:i/>
        </w:rPr>
        <w:t xml:space="preserve">Determination of Significant Biological Impairment</w:t>
      </w:r>
    </w:p>
    <w:p>
      <w:pPr>
        <w:pStyle w:val="BodyText"/>
      </w:pPr>
      <w:r>
        <w:t xml:space="preserve">Significant biological impairment occurs when 1 or more of the biological metrics levels exceed the criteria for impairment designated in Table 4. If the mean of one or more biological metrics exceeds the criteria, a Student’s T test is run to determine statistical significance and confirm significant biological impairment. Biological metrics include Species Richness, Ephemeroptera, Plecoptera, Trichoptera, (EPT) Richness, Biotic Index, Species Dominance, Percent Model Affinity, and BAP. Table 4 indicates no exceedances of biological impairment criteria.</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a7811c86-d028-45cf-82b6-def8e037f2e6" w:name="richnes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7811c86-d028-45cf-82b6-def8e037f2e6"/>
      <w:r>
        <w:t xml:space="preserve">: </w:t>
      </w:r>
      <w:r>
        <w:t xml:space="preserve">Sampling locations, replicate metric values and means, impairment criteria thresholds for means, and indication of biological impairment criteria exceedance.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637"/>
        <w:tblLook w:firstRow="1" w:lastRow="0" w:firstColumn="0" w:lastColumn="0" w:noHBand="0" w:noVBand="1"/>
      </w:tblPr>
      <w:tblGrid>
        <w:gridCol w:w="4518"/>
        <w:gridCol w:w="747"/>
        <w:gridCol w:w="1637"/>
        <w:gridCol w:w="1307"/>
        <w:gridCol w:w="1127"/>
        <w:gridCol w:w="1807"/>
        <w:gridCol w:w="2007"/>
        <w:gridCol w:w="487"/>
      </w:tblGrid>
      <w:tr>
        <w:trPr>
          <w:cantSplit/>
          <w:trHeight w:val="276" w:hRule="auto"/>
          <w:tblHeader/>
        </w:trPr>
        <w:tc>
          <w:tcPr>
            <w:tcBorders>
              <w:bottom w:val="single" w:sz="8" w:space="0" w:color="BEBEBE"/>
              <w:top w:val="single" w:sz="8" w:space="0" w:color="BEBEBE"/>
              <w:left w:val="single" w:sz="8" w:space="0" w:color="BEBEBE"/>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bottom w:val="single" w:sz="8" w:space="0" w:color="BEBEBE"/>
              <w:top w:val="single" w:sz="8" w:space="0" w:color="BEBEBE"/>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Sample</w:t>
            </w:r>
          </w:p>
        </w:tc>
        <w:tc>
          <w:tcPr>
            <w:tcBorders>
              <w:bottom w:val="single" w:sz="8" w:space="0" w:color="BEBEBE"/>
              <w:top w:val="single" w:sz="8" w:space="0" w:color="BEBEBE"/>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Species Richness</w:t>
            </w:r>
          </w:p>
        </w:tc>
        <w:tc>
          <w:tcPr>
            <w:tcBorders>
              <w:bottom w:val="single" w:sz="8" w:space="0" w:color="BEBEBE"/>
              <w:top w:val="single" w:sz="8" w:space="0" w:color="BEBEBE"/>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EPT Richness</w:t>
            </w:r>
          </w:p>
        </w:tc>
        <w:tc>
          <w:tcPr>
            <w:tcBorders>
              <w:bottom w:val="single" w:sz="8" w:space="0" w:color="BEBEBE"/>
              <w:top w:val="single" w:sz="8" w:space="0" w:color="BEBEBE"/>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Biotic Index</w:t>
            </w:r>
          </w:p>
        </w:tc>
        <w:tc>
          <w:tcPr>
            <w:tcBorders>
              <w:bottom w:val="single" w:sz="8" w:space="0" w:color="BEBEBE"/>
              <w:top w:val="single" w:sz="8" w:space="0" w:color="BEBEBE"/>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Species Dominance</w:t>
            </w:r>
          </w:p>
        </w:tc>
        <w:tc>
          <w:tcPr>
            <w:tcBorders>
              <w:bottom w:val="single" w:sz="8" w:space="0" w:color="BEBEBE"/>
              <w:top w:val="single" w:sz="8" w:space="0" w:color="BEBEBE"/>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Percent Model Affinity</w:t>
            </w:r>
          </w:p>
        </w:tc>
        <w:tc>
          <w:tcPr>
            <w:tcBorders>
              <w:bottom w:val="single" w:sz="8" w:space="0" w:color="BEBEBE"/>
              <w:top w:val="single" w:sz="8" w:space="0" w:color="BEBEBE"/>
              <w:right w:val="single" w:sz="8" w:space="0" w:color="BEBEBE"/>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BAP</w:t>
            </w:r>
          </w:p>
        </w:tc>
      </w:tr>
      <w:tr>
        <w:trPr>
          <w:cantSplit/>
          <w:trHeight w:val="276" w:hRule="auto"/>
        </w:trPr>
        <w:tc>
          <w:tcPr>
            <w:tcBorders>
              <w:top w:val="single" w:sz="8" w:space="0" w:color="BEBEBE"/>
              <w:lef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02-DODG-0.3 (Upstream)</w:t>
            </w:r>
          </w:p>
        </w:tc>
        <w:tc>
          <w:tcPr>
            <w:tcBorders>
              <w:top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Rep 1</w:t>
            </w:r>
          </w:p>
        </w:tc>
        <w:tc>
          <w:tcPr>
            <w:tcBorders>
              <w:top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w:t>
            </w:r>
          </w:p>
        </w:tc>
        <w:tc>
          <w:tcPr>
            <w:tcBorders>
              <w:top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top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4.82</w:t>
            </w:r>
          </w:p>
        </w:tc>
        <w:tc>
          <w:tcPr>
            <w:tcBorders>
              <w:top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top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89</w:t>
            </w:r>
          </w:p>
        </w:tc>
        <w:tc>
          <w:tcPr>
            <w:tcBorders>
              <w:top w:val="single" w:sz="8" w:space="0" w:color="BEBEBE"/>
              <w:righ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r>
      <w:tr>
        <w:trPr>
          <w:cantSplit/>
          <w:trHeight w:val="272" w:hRule="auto"/>
        </w:trPr>
        <w:tc>
          <w:tcPr>
            <w:tcBorders>
              <w:lef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Rep 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w:t>
            </w:r>
          </w:p>
        </w:tc>
        <w:tc>
          <w:tcPr>
            <w:tcBorders>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6.53</w:t>
            </w:r>
          </w:p>
        </w:tc>
      </w:tr>
      <w:tr>
        <w:trPr>
          <w:cantSplit/>
          <w:trHeight w:val="272" w:hRule="auto"/>
        </w:trPr>
        <w:tc>
          <w:tcPr>
            <w:tcBorders>
              <w:lef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Rep 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5.01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77</w:t>
            </w:r>
          </w:p>
        </w:tc>
        <w:tc>
          <w:tcPr>
            <w:tcBorders>
              <w:righ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6.65</w:t>
            </w:r>
          </w:p>
        </w:tc>
      </w:tr>
      <w:tr>
        <w:trPr>
          <w:cantSplit/>
          <w:trHeight w:val="238" w:hRule="auto"/>
        </w:trPr>
        <w:tc>
          <w:tcPr>
            <w:tcBorders>
              <w:left w:val="single" w:sz="8" w:space="0" w:color="BEBEBE"/>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Mean</w:t>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24.7</w:t>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5.11</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12.7</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w:t>
            </w:r>
          </w:p>
        </w:tc>
        <w:tc>
          <w:tcPr>
            <w:tcBorders>
              <w:right w:val="single" w:sz="8" w:space="0" w:color="BEBEBE"/>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6.59</w:t>
            </w:r>
          </w:p>
        </w:tc>
      </w:tr>
      <w:tr>
        <w:trPr>
          <w:cantSplit/>
          <w:trHeight w:val="276" w:hRule="auto"/>
        </w:trPr>
        <w:tc>
          <w:tcPr>
            <w:tcBorders>
              <w:lef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02-DODG-0.1 (Downstream)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Rep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77</w:t>
            </w:r>
          </w:p>
        </w:tc>
        <w:tc>
          <w:tcPr>
            <w:tcBorders>
              <w:righ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7.12</w:t>
            </w:r>
          </w:p>
        </w:tc>
      </w:tr>
      <w:tr>
        <w:trPr>
          <w:cantSplit/>
          <w:trHeight w:val="272" w:hRule="auto"/>
        </w:trPr>
        <w:tc>
          <w:tcPr>
            <w:tcBorders>
              <w:lef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Rep 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4.35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w:t>
            </w:r>
          </w:p>
        </w:tc>
        <w:tc>
          <w:tcPr>
            <w:tcBorders>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6.51</w:t>
            </w:r>
          </w:p>
        </w:tc>
      </w:tr>
      <w:tr>
        <w:trPr>
          <w:cantSplit/>
          <w:trHeight w:val="272" w:hRule="auto"/>
        </w:trPr>
        <w:tc>
          <w:tcPr>
            <w:tcBorders>
              <w:lef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Rep 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w:t>
            </w:r>
          </w:p>
        </w:tc>
        <w:tc>
          <w:tcPr>
            <w:tcBorders>
              <w:righ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7.11</w:t>
            </w:r>
          </w:p>
        </w:tc>
      </w:tr>
      <w:tr>
        <w:trPr>
          <w:cantSplit/>
          <w:trHeight w:val="238" w:hRule="auto"/>
        </w:trPr>
        <w:tc>
          <w:tcPr>
            <w:tcBorders>
              <w:left w:val="single" w:sz="8" w:space="0" w:color="BEBEBE"/>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Mean</w:t>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22.7</w:t>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4.48</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w:t>
            </w:r>
          </w:p>
        </w:tc>
        <w:tc>
          <w:tcPr>
            <w:tcBorders>
              <w:right w:val="single" w:sz="8" w:space="0" w:color="BEBEBE"/>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6.91</w:t>
            </w:r>
          </w:p>
        </w:tc>
      </w:tr>
      <w:tr>
        <w:trPr>
          <w:cantSplit/>
          <w:trHeight w:val="276" w:hRule="auto"/>
        </w:trPr>
        <w:tc>
          <w:tcPr>
            <w:tcBorders>
              <w:lef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Net change (Difference of Upstream from Downstream)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right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w:t>
            </w:r>
          </w:p>
        </w:tc>
      </w:tr>
      <w:tr>
        <w:trPr>
          <w:cantSplit/>
          <w:trHeight w:val="273" w:hRule="auto"/>
        </w:trPr>
        <w:tc>
          <w:tcPr>
            <w:tcBorders>
              <w:left w:val="single" w:sz="8" w:space="0" w:color="BEBEBE"/>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Criteria for Impairment </w:t>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BEBEBE"/>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right w:val="single" w:sz="8" w:space="0" w:color="BEBEBE"/>
            </w:tcBorders>
            <w:shd w:val="clear" w:color="auto" w:fill="BEBEBE"/>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r>
      <w:tr>
        <w:trPr>
          <w:cantSplit/>
          <w:trHeight w:val="276" w:hRule="auto"/>
        </w:trPr>
        <w:tc>
          <w:tcPr>
            <w:tcBorders>
              <w:bottom w:val="single" w:sz="8" w:space="0" w:color="BEBEBE"/>
              <w:left w:val="single" w:sz="8" w:space="0" w:color="BEBEBE"/>
            </w:tcBorders>
            <w:shd w:val="clear" w:color="auto" w:fill="8A8A8A"/>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Exceedance (Y or N)</w:t>
            </w:r>
          </w:p>
        </w:tc>
        <w:tc>
          <w:tcPr>
            <w:tcBorders>
              <w:bottom w:val="single" w:sz="8" w:space="0" w:color="BEBEBE"/>
            </w:tcBorders>
            <w:shd w:val="clear" w:color="auto" w:fill="8A8A8A"/>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BEBEBE"/>
            </w:tcBorders>
            <w:shd w:val="clear" w:color="auto" w:fill="8A8A8A"/>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c>
          <w:tcPr>
            <w:tcBorders>
              <w:bottom w:val="single" w:sz="8" w:space="0" w:color="BEBEBE"/>
            </w:tcBorders>
            <w:shd w:val="clear" w:color="auto" w:fill="8A8A8A"/>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c>
          <w:tcPr>
            <w:tcBorders>
              <w:bottom w:val="single" w:sz="8" w:space="0" w:color="BEBEBE"/>
            </w:tcBorders>
            <w:shd w:val="clear" w:color="auto" w:fill="8A8A8A"/>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c>
          <w:tcPr>
            <w:tcBorders>
              <w:bottom w:val="single" w:sz="8" w:space="0" w:color="BEBEBE"/>
            </w:tcBorders>
            <w:shd w:val="clear" w:color="auto" w:fill="8A8A8A"/>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c>
          <w:tcPr>
            <w:tcBorders>
              <w:bottom w:val="single" w:sz="8" w:space="0" w:color="BEBEBE"/>
            </w:tcBorders>
            <w:shd w:val="clear" w:color="auto" w:fill="8A8A8A"/>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c>
          <w:tcPr>
            <w:tcBorders>
              <w:bottom w:val="single" w:sz="8" w:space="0" w:color="BEBEBE"/>
              <w:right w:val="single" w:sz="8" w:space="0" w:color="BEBEBE"/>
            </w:tcBorders>
            <w:shd w:val="clear" w:color="auto" w:fill="8A8A8A"/>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1"/>
      </w:pPr>
      <w:bookmarkStart w:id="23" w:name="water-chemistry-and-stream-discharge"/>
      <w:r>
        <w:t xml:space="preserve">Water Chemistry and Stream Discharge</w:t>
      </w:r>
      <w:bookmarkEnd w:id="23"/>
    </w:p>
    <w:p>
      <w:pPr>
        <w:pStyle w:val="Heading3"/>
      </w:pPr>
      <w:bookmarkStart w:id="24" w:name="water-chemistry-methodology"/>
      <w:r>
        <w:t xml:space="preserve">Water Chemistry Methodology</w:t>
      </w:r>
      <w:bookmarkEnd w:id="24"/>
    </w:p>
    <w:p>
      <w:pPr>
        <w:pStyle w:val="FirstParagraph"/>
      </w:pPr>
      <w:r>
        <w:t xml:space="preserve">Methods used for water chemistry data collection are described by NYSDEC standard operating procedures (SOP). The collection of water chemistry samples followed procedures described in SOP #210(21) Collection of Water Column Samples for the Rotating Integrated Basin Studies (RIBS) Program. Where the depth of water permitted, water chemistry samples were collected using the depth-integrating suspended water quality sampler – wading (DH-81) method (SOP #210(21)), section 11.2). Where the depth of water was too shallow water chemistry samples were collected using the direct grab method (SOP #210(¬21), section 11.6). Water samples were processed using a contract lab with NYS Environmental Laboratory Approval Program (ELAP) certification.</w:t>
      </w:r>
    </w:p>
    <w:p>
      <w:pPr>
        <w:pStyle w:val="BodyText"/>
      </w:pPr>
      <w:r>
        <w:t xml:space="preserve">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violations of state water quality standards and summarized below using R programing software (R Core Team, 2017). All raw chemistry results (in situ and lab reported) with all applicable standards and violation determinations accompany this report as Attachment I (excel file).</w:t>
      </w:r>
    </w:p>
    <w:p>
      <w:pPr>
        <w:pStyle w:val="BodyText"/>
      </w:pPr>
      <w:r>
        <w:t xml:space="preserve">All survey data were subjected to the quality assurance/quality control (QA/QC) protocols detailed in the handling and validation SOPs (SOP #102-20, and #110-21). Only data meeting the highest data quality standard are reported and used in this report. For water chemistry, an evaluation of the precision, accuracy, and completeness of processed water chemistry samples after lab analyses were performed following the methods detailed in SOP #102. Appendix IV includes a compilation of all rejected data flagged by the process. All accepted raw chemistry results (in situ and lab reported) with all applicable standards and violation determinations accompany this report as Attachment I (excel file). Analytes that fell below the minimum detection limit (MDL) were replaced with 1/2 the MDL (reference).</w:t>
      </w:r>
    </w:p>
    <w:p>
      <w:pPr>
        <w:pStyle w:val="BodyText"/>
      </w:pPr>
      <w:r>
        <w:t xml:space="preserve">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Heading3"/>
      </w:pPr>
      <w:bookmarkStart w:id="25" w:name="violations-of-water-quality-standards"/>
      <w:r>
        <w:t xml:space="preserve">Violations of Water Quality Standards</w:t>
      </w:r>
      <w:bookmarkEnd w:id="25"/>
    </w:p>
    <w:p>
      <w:pPr>
        <w:pStyle w:val="FirstParagraph"/>
      </w:pPr>
      <w:r>
        <w:t xml:space="preserve">A total of 22 lab-measured, and 4 in situ water quality analytes were analyzed and out of the 43 lab-measured records and 8 in situ water quality records, there were 0 violation(s) of established water quality standards (6 NYCRR Part 703). .</w:t>
      </w:r>
    </w:p>
    <w:p>
      <w:pPr>
        <w:pStyle w:val="BodyText"/>
      </w:pPr>
      <w:r>
        <w:t xml:space="preserve">Plots illustrating select analyte concentrations are included in this report.Analytes selected for presentation were subset to those of specific interest to the study and include Nitrate, N-Nitrate + Nitrite, Nitrite, Total Nitrogen, Ammonia, Total Kjeldahl Nitrogen (TKN), Total Phosphorus, and Turbidity, and in situ parameters: Dissolved Oxygen, Temperature, pH, and Specific Conductance.</w:t>
      </w:r>
      <w:r>
        <w:t xml:space="preserve"> </w:t>
      </w:r>
      <w:r>
        <w:t xml:space="preserve">To provide context, each figure contains lines representing the 25th, 75th, and 95th percentiles of each analyte collected statewide by SMAS from 2001 to 2019. Violations (if applicable) are indicated by an asterisk. Site specific Violations are quantified in Section 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3862bb34-53a6-48c8-bed2-f93e56f1f848"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862bb34-53a6-48c8-bed2-f93e56f1f848"/>
      <w:r>
        <w:t xml:space="preserve">: </w:t>
      </w:r>
      <w:r>
        <w:t xml:space="preserve">Water chemistry analytes sampled as part of the Stream Assessment Survey. Table lists sampled analytes and analytical specifications. ^ Precision objectives are defined by results of duplicate samples as described in Appendix 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36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39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2"/>
      </w:pPr>
      <w:bookmarkStart w:id="26" w:name="water-chemistry"/>
      <w:r>
        <w:t xml:space="preserve">Water Chemistry</w:t>
      </w:r>
      <w:bookmarkEnd w:id="26"/>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d27520e-6053-40e4-b45b-c48b62ca235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d27520e-6053-40e4-b45b-c48b62ca2354"/>
      <w:r>
        <w:t xml:space="preserve">: </w:t>
      </w:r>
      <w:r>
        <w:t xml:space="preserve">Nitrogen, Nitrate (As N),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3dce086-71d2-4d3f-9a3c-fe16fe0f565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dce086-71d2-4d3f-9a3c-fe16fe0f5659"/>
      <w:r>
        <w:t xml:space="preserve">: </w:t>
      </w:r>
      <w:r>
        <w:t xml:space="preserve">Nitrogen, Nitrate-Nitrite,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cfabb94-bad7-49cf-8a47-4e54178d522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fabb94-bad7-49cf-8a47-4e54178d5228"/>
      <w:r>
        <w:t xml:space="preserve">: </w:t>
      </w:r>
      <w:r>
        <w:t xml:space="preserve">Nitrogen, Nitrite,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b23018a-271b-4c73-9c73-459fc17c2b6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b23018a-271b-4c73-9c73-459fc17c2b6c"/>
      <w:r>
        <w:t xml:space="preserve">: </w:t>
      </w:r>
      <w:r>
        <w:t xml:space="preserve">Nitrogen, Total,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b99fe45-8e39-4230-9854-e8bfe970e0e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b99fe45-8e39-4230-9854-e8bfe970e0eb"/>
      <w:r>
        <w:t xml:space="preserve">: </w:t>
      </w:r>
      <w:r>
        <w:t xml:space="preserve">Phosphorus, Total (As P),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4f393f0-5693-43de-b1d8-059ccdfccf6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f393f0-5693-43de-b1d8-059ccdfccf67"/>
      <w:r>
        <w:t xml:space="preserve">: </w:t>
      </w:r>
      <w:r>
        <w:t xml:space="preserve">Nitrogen, Ammonia (As N),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7d39582-a038-4f35-8126-aa459f89832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d39582-a038-4f35-8126-aa459f898320"/>
      <w:r>
        <w:t xml:space="preserve">: </w:t>
      </w:r>
      <w:r>
        <w:t xml:space="preserve">Nitrogen, Kjeldahl, Total,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c70696f-af36-4aca-9cec-9f3341b47def"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70696f-af36-4aca-9cec-9f3341b47def"/>
      <w:r>
        <w:t xml:space="preserve">: </w:t>
      </w:r>
      <w:r>
        <w:t xml:space="preserve">Turbidity,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48384b7-7158-4c0a-859c-0f1ca60722b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48384b7-7158-4c0a-859c-0f1ca60722ba"/>
      <w:r>
        <w:t xml:space="preserve">: </w:t>
      </w:r>
      <w:r>
        <w:t xml:space="preserve">Dissolved Oxygen,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595e589-8a1f-4485-81aa-b38a2db0465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595e589-8a1f-4485-81aa-b38a2db04657"/>
      <w:r>
        <w:t xml:space="preserve">: </w:t>
      </w:r>
      <w:r>
        <w:t xml:space="preserve">Temperature,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8f3b050-29a6-4ed1-8820-281ada59b07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8f3b050-29a6-4ed1-8820-281ada59b07b"/>
      <w:r>
        <w:t xml:space="preserve">: </w:t>
      </w:r>
      <w:r>
        <w:t xml:space="preserve">Ph, Horizontal lines represent the 95th, 75th, and 25th percentiles of statewide data for each endpoint.Stars at the bottom of the graph indicate a violation of a WQS (if applicable). Axis are presented in log scale for comparison by site.</w:t>
      </w:r>
    </w:p>
    <w:p>
      <w:pPr>
        <w:jc w:val="center"/>
        <w:pStyle w:val="Figure"/>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2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ce05d02-1eff-4009-9d13-7658fb24a4d4"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ce05d02-1eff-4009-9d13-7658fb24a4d4"/>
      <w:r>
        <w:t xml:space="preserve">: </w:t>
      </w:r>
      <w:r>
        <w:t xml:space="preserve">Specific Conductance, Horizontal lines represent the 95th, 75th, and 25th percentiles of statewide data for each endpoint.Stars at the bottom of the graph indicate a violation of a WQS (if applicable). Axis are presented in log scale for comparison by site.</w:t>
      </w:r>
    </w:p>
    <w:p>
      <w:r>
        <w:br w:type="page"/>
      </w:r>
    </w:p>
    <w:p>
      <w:r>
        <w:br w:type="page"/>
      </w:r>
    </w:p>
    <w:p>
      <w:pPr>
        <w:pStyle w:val="Heading3"/>
      </w:pPr>
      <w:bookmarkStart w:id="27" w:name="appendix-iv.-qaqc-results"/>
      <w:r>
        <w:t xml:space="preserve">Appendix IV. QA/QC Results</w:t>
      </w:r>
      <w:bookmarkEnd w:id="27"/>
    </w:p>
    <w:p>
      <w:pPr>
        <w:pStyle w:val="FirstParagraph"/>
      </w:pPr>
      <w:r>
        <w:t xml:space="preserve">The following tables represent all data excluded from the study, or samples that were taken during the study period but flagged for exclusion from reporting by the QA/QC methods described in SOP#110-21.</w:t>
      </w:r>
    </w:p>
    <w:p>
      <w:pPr>
        <w:pStyle w:val="TableCaption"/>
      </w:pPr>
      <w:r>
        <w:t xml:space="preserve">Table </w:t>
      </w:r>
      <w:bookmarkStart w:id="e147ae03-cefd-417a-9d9a-31b9539355a8" w:name="QA_rej"/>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147ae03-cefd-417a-9d9a-31b9539355a8"/>
      <w:r>
        <w:t xml:space="preserve">: </w:t>
      </w:r>
      <w:r>
        <w:t xml:space="preserve">Water chemistry analytes flagged as R (rejected) and not included in the analysis for the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30"/>
        <w:tblLook w:firstRow="1" w:lastRow="0" w:firstColumn="0" w:lastColumn="0" w:noHBand="0" w:noVBand="1"/>
      </w:tblPr>
      <w:tblGrid>
        <w:gridCol w:w="1608"/>
        <w:gridCol w:w="1107"/>
        <w:gridCol w:w="1412"/>
        <w:gridCol w:w="801"/>
        <w:gridCol w:w="1119"/>
        <w:gridCol w:w="923"/>
        <w:gridCol w:w="1229"/>
        <w:gridCol w:w="1192"/>
        <w:gridCol w:w="2439"/>
      </w:tblGrid>
      <w:tr>
        <w:trPr>
          <w:cantSplit/>
          <w:trHeight w:val="452"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Validated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Validator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Explanation</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02-DODG-0.3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9/20/2021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Equipment Blank error</w:t>
            </w:r>
          </w:p>
        </w:tc>
      </w:tr>
    </w:tbl>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image" Target="media/file2706861282a.png"/><Relationship Id="rId11" Type="http://schemas.openxmlformats.org/officeDocument/2006/relationships/image" Target="media/file2701e83165a.jpg"/><Relationship Id="rId12" Type="http://schemas.openxmlformats.org/officeDocument/2006/relationships/image" Target="media/file2706d2175fd.png"/><Relationship Id="rId13" Type="http://schemas.openxmlformats.org/officeDocument/2006/relationships/image" Target="media/file270160a66ae.png"/><Relationship Id="rId14" Type="http://schemas.openxmlformats.org/officeDocument/2006/relationships/image" Target="media/file2706ce7491c.png"/><Relationship Id="rId15" Type="http://schemas.openxmlformats.org/officeDocument/2006/relationships/image" Target="media/file270212a935.png"/><Relationship Id="rId16" Type="http://schemas.openxmlformats.org/officeDocument/2006/relationships/image" Target="media/file270307b46de.png"/><Relationship Id="rId17" Type="http://schemas.openxmlformats.org/officeDocument/2006/relationships/image" Target="media/file270d8b3927.png"/><Relationship Id="rId18" Type="http://schemas.openxmlformats.org/officeDocument/2006/relationships/image" Target="media/file27026714858.png"/><Relationship Id="rId19" Type="http://schemas.openxmlformats.org/officeDocument/2006/relationships/image" Target="media/file270efd7d58.png"/><Relationship Id="rId20" Type="http://schemas.openxmlformats.org/officeDocument/2006/relationships/image" Target="media/file27076ab192f.png"/><Relationship Id="rId21" Type="http://schemas.openxmlformats.org/officeDocument/2006/relationships/image" Target="media/file270f177db2.png"/><Relationship Id="rId22" Type="http://schemas.openxmlformats.org/officeDocument/2006/relationships/image" Target="media/file2706f1f18aa.png"/><Relationship Id="rId23" Type="http://schemas.openxmlformats.org/officeDocument/2006/relationships/image" Target="media/file270201d4ce3.png"/><Relationship Id="rId24" Type="http://schemas.openxmlformats.org/officeDocument/2006/relationships/image" Target="media/file2702dda710b.png"/></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Dodge Creek at Portville, NY</dc:title>
  <dc:creator>NYSDEC SMAS</dc:creator>
  <cp:keywords/>
  <dcterms:created xsi:type="dcterms:W3CDTF">2021-10-01T13:10:54Z</dcterms:created>
  <dcterms:modified xsi:type="dcterms:W3CDTF">2021-10-01T09:10:57Z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2021-10-01</vt:lpwstr>
  </property>
  <property fmtid="{D5CDD505-2E9C-101B-9397-08002B2CF9AE}" pid="3" name="output">
    <vt:lpwstr/>
  </property>
  <property fmtid="{D5CDD505-2E9C-101B-9397-08002B2CF9AE}" pid="4" name="params">
    <vt:lpwstr/>
  </property>
</Properties>
</file>