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Override PartName="/word/media/hdphoto1.wdp" ContentType="application/octet-stream"/>
  <Override PartName="/file235c226b5933.docx"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Stream</w:t>
      </w:r>
      <w:r>
        <w:t xml:space="preserve"> </w:t>
      </w:r>
      <w:r>
        <w:t xml:space="preserve">Survey</w:t>
      </w:r>
      <w:r>
        <w:t xml:space="preserve"> </w:t>
      </w:r>
      <w:r>
        <w:t xml:space="preserve">Data</w:t>
      </w:r>
      <w:r>
        <w:t xml:space="preserve"> </w:t>
      </w:r>
      <w:r>
        <w:t xml:space="preserve">Report</w:t>
      </w:r>
    </w:p>
    <w:p>
      <w:pPr>
        <w:pStyle w:val="Author"/>
      </w:pPr>
      <w:r>
        <w:t xml:space="preserve">NYSDEC</w:t>
      </w:r>
      <w:r>
        <w:t xml:space="preserve"> </w:t>
      </w:r>
      <w:r>
        <w:t xml:space="preserve">SMAS</w:t>
      </w:r>
    </w:p>
    <w:p>
      <w:pPr>
        <w:pStyle w:val="Date"/>
      </w:pPr>
      <w:r>
        <w:t xml:space="preserve">Report</w:t>
      </w:r>
      <w:r>
        <w:t xml:space="preserve"> </w:t>
      </w:r>
      <w:r>
        <w:t xml:space="preserve">Date:</w:t>
      </w:r>
      <w:r>
        <w:t xml:space="preserve"> </w:t>
      </w:r>
      <w:r>
        <w:t xml:space="preserve">2021-11-19</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1"/>
      </w:pPr>
      <w:bookmarkStart w:id="20" w:name="general"/>
      <w:r>
        <w:t xml:space="preserve">General</w:t>
      </w:r>
      <w:bookmarkEnd w:id="20"/>
    </w:p>
    <w:p>
      <w:pPr>
        <w:pStyle w:val="FirstParagraph"/>
      </w:pPr>
      <w:r>
        <w:t xml:space="preserve">Belleayre Mountain has proposed upgrades to the ski area and as part of its Unit Management Plan (UMP) is required to conduct water quality monitoring to document impacts of construction and long-term effects of a proposed snow-making pond. Five locations were selected to assess construction impacts and bracket the proposed pond location. Additional considerations for site selection include sample sites upstream and downstream of an existing pond: Pine Hill Lake. A single visit will provide baseline macroinvertebrate community condition, habitat, substrate information, and water chemistry.</w:t>
      </w:r>
    </w:p>
    <w:p>
      <w:pPr>
        <w:pStyle w:val="BodyText"/>
      </w:pPr>
      <w:r>
        <w:t xml:space="preserve">The Steam Monitoring and Assessment Section (SMAS) conducted targeted stream monitoring that included:</w:t>
      </w:r>
    </w:p>
    <w:p>
      <w:pPr>
        <w:pStyle w:val="Compact"/>
        <w:numPr>
          <w:numId w:val="1001"/>
          <w:ilvl w:val="0"/>
        </w:numPr>
      </w:pPr>
      <w:r>
        <w:t xml:space="preserve">Benthic Macroinvertebrate Community Analysis</w:t>
      </w:r>
    </w:p>
    <w:p>
      <w:pPr>
        <w:pStyle w:val="Compact"/>
        <w:numPr>
          <w:numId w:val="1001"/>
          <w:ilvl w:val="0"/>
        </w:numPr>
      </w:pPr>
      <w:r>
        <w:t xml:space="preserve">Water Quality Measurements</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includes two sections: I) an overview of the sampling events described above, and II) a site-specific data summary to present all major findings for each site. Additional sections (III, IV) include literature cited and appendices covering all references and additional source material.</w:t>
      </w:r>
    </w:p>
    <w:p>
      <w:pPr>
        <w:pStyle w:val="BodyText"/>
      </w:pPr>
      <w:r>
        <w:t xml:space="preserve">The Birch Creek site descriptions (Table</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r>
        <w:t xml:space="preserve"> </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sampling dates (Table</w:t>
      </w:r>
      <w:r>
        <w:t xml:space="preserve"> </w:t>
      </w:r>
      <w:hyperlink w:anchor="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sites-dates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w:t>
      </w:r>
    </w:p>
    <w:p>
      <w:pPr>
        <w:pStyle w:val="TableCaption"/>
      </w:pPr>
      <w:r>
        <w:t xml:space="preserve">Table </w:t>
      </w:r>
      <w:bookmarkStart w:id="7b6840d8-cf1a-4698-9fb0-e5842985a856"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b6840d8-cf1a-4698-9fb0-e5842985a856"/>
      <w:r>
        <w:t xml:space="preserve">. </w:t>
      </w:r>
      <w:r>
        <w:t xml:space="preserve">Sampling locations.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Stream</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Unnamed Tributary To Birch Creek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 m below bellayre mountain rd. Or 100 m south off old schoolhouse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Unnamed Tributary To Birch Creek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 m above bonnie view ave.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Birch Creek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 m below main st.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Unnamed Tributary To Birch Creek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 m upstream from birch creek.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Birch Creek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above lake st. Covered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bl>
    <w:p>
      <w:pPr>
        <w:jc w:val="center"/>
        <w:pStyle w:val="Normal"/>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7"/>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d0766763-1992-4875-864d-b0c576575fe4"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0766763-1992-4875-864d-b0c576575fe4"/>
      <w:r>
        <w:t xml:space="preserve">. </w:t>
      </w:r>
      <w:r>
        <w:t xml:space="preserve">Map of sampling locations. Site names reference the Location ID and River Mile.</w:t>
      </w:r>
    </w:p>
    <w:p>
      <w:pPr>
        <w:pStyle w:val="TableCaption"/>
      </w:pPr>
      <w:r>
        <w:t xml:space="preserve">Table </w:t>
      </w:r>
      <w:bookmarkStart w:id="1433bf5f-5a7e-451d-a05c-89842e2a303b" w:name="sites-da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433bf5f-5a7e-451d-a05c-89842e2a303b"/>
      <w:r>
        <w:t xml:space="preserve">. </w:t>
      </w:r>
      <w:r>
        <w:t xml:space="preserve">Sampling dates and overall parameters for the study period included in this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316"/>
        <w:tblLook w:firstRow="1" w:lastRow="0" w:firstColumn="0" w:lastColumn="0" w:noHBand="0" w:noVBand="1"/>
      </w:tblPr>
      <w:tblGrid>
        <w:gridCol w:w="1487"/>
        <w:gridCol w:w="1069"/>
        <w:gridCol w:w="1033"/>
        <w:gridCol w:w="1727"/>
      </w:tblGrid>
      <w:tr>
        <w:trPr>
          <w:cantSplit/>
          <w:trHeight w:val="4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Chemistry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Macroinvertebrates</w:t>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6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6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X</w:t>
            </w:r>
          </w:p>
        </w:tc>
      </w:tr>
    </w:tbl>
    <w:p>
      <w:r>
        <w:br w:type="page"/>
      </w:r>
    </w:p>
    <w:p>
      <w:pPr>
        <w:pStyle w:val="Heading1"/>
      </w:pPr>
      <w:bookmarkStart w:id="21" w:name="section-i-overview"/>
      <w:r>
        <w:t xml:space="preserve">Section I: Overview</w:t>
      </w:r>
      <w:bookmarkEnd w:id="21"/>
    </w:p>
    <w:p>
      <w:pPr>
        <w:pStyle w:val="Heading2"/>
      </w:pPr>
      <w:bookmarkStart w:id="22" w:name="benthic-macroinvertebrate-community"/>
      <w:r>
        <w:t xml:space="preserve">Benthic Macroinvertebrate Community</w:t>
      </w:r>
      <w:bookmarkEnd w:id="22"/>
    </w:p>
    <w:p>
      <w:pPr>
        <w:pStyle w:val="FirstParagraph"/>
      </w:pPr>
      <w:r>
        <w:t xml:space="preserve">Biological assessments based on the macroinvertebrate community provide the ability to detect water quality problems that are intermittent, not detected, and/or underestimated by water chemistry sampling alone. These biological assessments of water quality are generated using calculated Biological Assessment Profile (BAP) scores (SOP #208-21). BAP scores are calculated by taking the average of five normalized 10-scale community metrics and assigning that score to a four-tiered system of impact category of non (7.5-10), slight (5.0-7.5), moderate (2.5-5.0), or severe (0-2.5) impacts see (Figure</w:t>
      </w:r>
      <w:r>
        <w:t xml:space="preserve"> </w:t>
      </w:r>
      <w:hyperlink w:anchor="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BAPfig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SOP #208-21). A final BAP score below 5 is associated with significant loss of biodiversity, functional organization, and ability to support a balanced community compared to natural conditions (Karr, 1991; Davis, 1995). A BAP score above 5 indicates that aquatic life in the sampled stream reflects that of natural conditions or only slightly altered from natural (Figure</w:t>
      </w:r>
      <w:r>
        <w:t xml:space="preserve"> </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Expected variability in the results of benthic macroinvertebrate community samples is presented in Smith and Bode (2004).</w:t>
      </w:r>
    </w:p>
    <w:p>
      <w:pPr>
        <w:jc w:val="center"/>
        <w:pStyle w:val="Normal"/>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Figure </w:t>
      </w:r>
      <w:bookmarkStart w:id="4eb57556-8219-4601-9017-002dae791788" w:name="BAPfi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eb57556-8219-4601-9017-002dae791788"/>
      <w:r>
        <w:t xml:space="preserve">. </w:t>
      </w:r>
      <w:r>
        <w:t xml:space="preserve">Biological Assessment Profile (BAP) score impact categories based on the macroinvertebrate community.</w:t>
      </w:r>
    </w:p>
    <w:p>
      <w:pPr>
        <w:jc w:val="center"/>
        <w:pStyle w:val="Normal"/>
      </w:pPr>
      <w:r>
        <w:rPr/>
        <w:drawing>
          <wp:inline distT="0" distB="0" distL="0" distR="0">
            <wp:extent cx="6400800" cy="64008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2c37347a-ed28-4eaf-a44e-6ac5d109ae34"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c37347a-ed28-4eaf-a44e-6ac5d109ae34"/>
      <w:r>
        <w:t xml:space="preserve">. </w:t>
      </w:r>
      <w:r>
        <w:t xml:space="preserve">Biological Assessment Profile (BAP) Scores and 95% confidence intervals for benthic macroinvertebrate community assessment data. Symbology corresponds with WI/PWL segmentation as indicated in the plot legend.</w:t>
      </w:r>
    </w:p>
    <w:p>
      <w:pPr>
        <w:pStyle w:val="BodyText"/>
      </w:pPr>
      <w:r>
        <w:t xml:space="preserve">No segments fell below a mean BAP score of 5 for the study period. (Figure</w:t>
      </w:r>
      <w:r>
        <w:t xml:space="preserve"> </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None of the segments had a mean BAP score that would suggest inconclusive results.</w:t>
      </w:r>
      <w:r>
        <w:t xml:space="preserve"> </w:t>
      </w:r>
    </w:p>
    <w:p>
      <w:pPr>
        <w:pStyle w:val="Heading2"/>
      </w:pPr>
      <w:bookmarkStart w:id="23" w:name="water-quality"/>
      <w:r>
        <w:t xml:space="preserve">Water Quality</w:t>
      </w:r>
      <w:bookmarkEnd w:id="23"/>
    </w:p>
    <w:p>
      <w:pPr>
        <w:pStyle w:val="Heading3"/>
      </w:pPr>
      <w:bookmarkStart w:id="24" w:name="water-chemistry-collection"/>
      <w:r>
        <w:t xml:space="preserve">Water Chemistry Collection</w:t>
      </w:r>
      <w:bookmarkEnd w:id="24"/>
    </w:p>
    <w:p>
      <w:pPr>
        <w:pStyle w:val="FirstParagraph"/>
      </w:pPr>
      <w:r>
        <w:t xml:space="preserve">DEC establishes water quality standards (WQS) and guidance values for many specific substances. Waters are classified for their best uses and WQS are set to protect those uses (6 NYCRR Part 703). The data presented below does not meet the minimum data requirements for a confirmed best use assessment</w:t>
      </w:r>
      <w:r>
        <w:rPr>
          <w:rStyle w:val="FootnoteReference"/>
        </w:rPr>
        <w:footnoteReference w:id="25"/>
      </w:r>
      <w:r>
        <w:t xml:space="preserve"> </w:t>
      </w:r>
      <w:r>
        <w:t xml:space="preserve">(CALM, 2021). For the best use assessment, please see</w:t>
      </w:r>
      <w:r>
        <w:t xml:space="preserve"> </w:t>
      </w:r>
      <w:hyperlink r:id="rId26">
        <w:r>
          <w:rPr>
            <w:rStyle w:val="Hyperlink"/>
          </w:rPr>
          <w:t xml:space="preserve">DEC Info Locator</w:t>
        </w:r>
      </w:hyperlink>
      <w:r>
        <w:t xml:space="preserve"> </w:t>
      </w:r>
      <w:r>
        <w:t xml:space="preserve">and factsheets</w:t>
      </w:r>
      <w:r>
        <w:rPr>
          <w:rStyle w:val="FootnoteReference"/>
        </w:rPr>
        <w:footnoteReference w:id="27"/>
      </w:r>
      <w:r>
        <w:t xml:space="preserve"> </w:t>
      </w:r>
      <w:r>
        <w:t xml:space="preserve">for individual WI/PWL ID segments (WI/PWL ID 1307-0037).</w:t>
      </w:r>
    </w:p>
    <w:p>
      <w:pPr>
        <w:pStyle w:val="BodyText"/>
      </w:pPr>
      <w:r>
        <w:t xml:space="preserve">Ambient water chemistry sampling included in-situ and lab measured water quality analytes (Table</w:t>
      </w:r>
      <w:r>
        <w:t xml:space="preserve"> </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total of 23 lab-measured and 8 in-situ water quality parameters were collected. Samples were collected by SMAS using the direct grab method (SOP #210-21, section 11.6). Water samples were sent for processing using a contract lab with NYS Environmental Laboratory Approval Program (ELAP) certification.</w:t>
      </w:r>
    </w:p>
    <w:p>
      <w:pPr>
        <w:pStyle w:val="BodyText"/>
      </w:pPr>
      <w:r>
        <w:t xml:space="preserve">Following sample collection, all data processing followed quality assurance/quality control (QA/QC) protocols (SOP #102-20, and #110-21). Only data meeting the highest data quality standard were reported and used in this report. For water chemistry, an evaluation of the precision, accuracy, and completeness of processed water chemistry samples after lab analyses was performed following the methods detailed in SOP #102. Appendix I includes a compilation of all rejected data flagged by the process. Analytes that fell below the minimum detection limit (MDL) were replaced with 1/2 the MDL (Helsel, 1990). Where applicable, raw chemistry results were analyzed for excursions from state WQS and summarized using R programing software (R Core Team, 2017). All accepted raw chemistry results (in-situ and lab reported) with all applicable standards and excursion determinations accompany this report as Attachment I (excel file).</w:t>
      </w:r>
    </w:p>
    <w:p>
      <w:pPr>
        <w:pStyle w:val="BodyText"/>
      </w:pPr>
      <w:r>
        <w:t xml:space="preserve">A total of 23 lab-measured, and 4 in-situ water quality analytes were analyzed in this study. Out of the 91 lab-measured records and 36 in-situ water quality records, there were 0 excursions from established water quality standards (6 NYCRR Part 703).</w:t>
      </w:r>
    </w:p>
    <w:p>
      <w:pPr>
        <w:pStyle w:val="BodyText"/>
      </w:pPr>
      <w:r>
        <w:t xml:space="preserve">Plots illustrating the range of analyte concentration values for each site are included below. Analytes selected for presentation were subset to those of specific interest to the study and include nitrate, nitrate + nitrite (as N), nitrite (as N), total nitrogen, ammonia, total kjeldahl nitrogen (TKN), total phosphorus, and turbidity, and in-situ parameters: dissolved oxygen, temperature, pH, and specific conductance.</w:t>
      </w:r>
    </w:p>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ee4c21ee-0b56-4c8e-a2d0-61234e5b1b59"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e4c21ee-0b56-4c8e-a2d0-61234e5b1b59"/>
      <w:r>
        <w:t xml:space="preserve">. </w:t>
      </w:r>
      <w:r>
        <w:t xml:space="preserve">Water chemistry analytes sampled as part of the Stream Assessment Survey. Table lists sampled analytes and analytical specifications.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0.0015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 SU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Precision objectives are defined by results of duplicate samples as described in SOP #102-20, and #110-21.</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Not Applicable</w:t>
            </w:r>
          </w:p>
        </w:tc>
      </w:tr>
    </w:tbl>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jc w:val="center"/>
        <w:pStyle w:val="Normal"/>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ab8ac28-383f-4205-9154-600e54d01ff0"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ab8ac28-383f-4205-9154-600e54d01ff0"/>
      <w:r>
        <w:t xml:space="preserve">. </w:t>
      </w:r>
      <w:r>
        <w:t xml:space="preserve">Nitrogen, Kjeldahl, Total,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d2f038c-753f-4af6-8056-37e8393a1272"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2f038c-753f-4af6-8056-37e8393a1272"/>
      <w:r>
        <w:t xml:space="preserve">. </w:t>
      </w:r>
      <w:r>
        <w:t xml:space="preserve">Nitrogen, Nitrite,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6ef4c5d-9729-4707-a601-2e7fe17ebfa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6ef4c5d-9729-4707-a601-2e7fe17ebfa7"/>
      <w:r>
        <w:t xml:space="preserve">. </w:t>
      </w:r>
      <w:r>
        <w:t xml:space="preserve">Phosphorus, Total (As P),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fa38e450-a156-41ee-b143-fdc78326632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a38e450-a156-41ee-b143-fdc783266328"/>
      <w:r>
        <w:t xml:space="preserve">. </w:t>
      </w:r>
      <w:r>
        <w:t xml:space="preserve">Nitrogen, Total,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5acb5f8-a524-421f-af18-4c805b69daa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5acb5f8-a524-421f-af18-4c805b69daa5"/>
      <w:r>
        <w:t xml:space="preserve">. </w:t>
      </w:r>
      <w:r>
        <w:t xml:space="preserve">Nitrogen, Ammonia (As N),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1bfd840-2945-4b03-bf50-63f6f5a0e24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bfd840-2945-4b03-bf50-63f6f5a0e249"/>
      <w:r>
        <w:t xml:space="preserve">. </w:t>
      </w:r>
      <w:r>
        <w:t xml:space="preserve">Nitrogen, Nitrate (As N),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d4deb780-d5af-41c8-85af-f146b90a0266"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4deb780-d5af-41c8-85af-f146b90a0266"/>
      <w:r>
        <w:t xml:space="preserve">. </w:t>
      </w:r>
      <w:r>
        <w:t xml:space="preserve">Nitrogen, Nitrate-Nitrite,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7acf0f8-67aa-40bf-9fdd-6eb7bae15f5f"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7acf0f8-67aa-40bf-9fdd-6eb7bae15f5f"/>
      <w:r>
        <w:t xml:space="preserve">. </w:t>
      </w:r>
      <w:r>
        <w:t xml:space="preserve">Turbidity,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4a870b4-1681-444d-9476-f4b503b62d14"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a870b4-1681-444d-9476-f4b503b62d14"/>
      <w:r>
        <w:t xml:space="preserve">. </w:t>
      </w:r>
      <w:r>
        <w:t xml:space="preserve">Ph,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0336ab5-26d6-4b81-811f-54328ffc8453"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0336ab5-26d6-4b81-811f-54328ffc8453"/>
      <w:r>
        <w:t xml:space="preserve">. </w:t>
      </w:r>
      <w:r>
        <w:t xml:space="preserve">Specific Conductance,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ec284a2-8ddb-4548-9e8d-3eefe737429c"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ec284a2-8ddb-4548-9e8d-3eefe737429c"/>
      <w:r>
        <w:t xml:space="preserve">. </w:t>
      </w:r>
      <w:r>
        <w:t xml:space="preserve">Temperature, Horizontal lines represent the 95th, 75th, and 25th percentiles of statewide data for each endpoint. Stars at the bottom of the graph indicate an excursion of a WQS (if applicable). Axis are presented in log scale for comparison by site.</w:t>
      </w:r>
    </w:p>
    <w:p>
      <w:pPr>
        <w:jc w:val="center"/>
        <w:pStyle w:val="Normal"/>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dd7aad5-c12d-46e8-8822-b429e99d9594"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dd7aad5-c12d-46e8-8822-b429e99d9594"/>
      <w:r>
        <w:t xml:space="preserve">. </w:t>
      </w:r>
      <w:r>
        <w:t xml:space="preserve">Dissolved Oxygen, Horizontal lines represent the 95th, 75th, and 25th percentiles of statewide data for each endpoint. Stars at the bottom of the graph indicate an excursion of a WQS (if applicable). Axis are presented in log scale for comparison by site.</w:t>
      </w:r>
    </w:p>
    <w:p>
      <w:r>
        <w:br w:type="page"/>
      </w:r>
    </w:p>
    <w:p>
      <w:pPr>
        <w:pStyle w:val="Heading2"/>
      </w:pPr>
      <w:bookmarkStart w:id="28" w:name="stream-reach-physical-characteristics"/>
      <w:r>
        <w:t xml:space="preserve">Stream Reach Physical Characteristics</w:t>
      </w:r>
      <w:bookmarkEnd w:id="28"/>
    </w:p>
    <w:p>
      <w:pPr>
        <w:pStyle w:val="FirstParagraph"/>
      </w:pPr>
      <w:r>
        <w:t xml:space="preserve">Assessments of the physical habitat was also collected to calculate the Habitat Model Affinity (HMA) (Table 3). HMA is an overall estimate of habitat quality which describes potential habitat stress on biologic community. The HMA is based on rankings of individual habitat characteristics on a scale from 0 (poor) to 20 (optimal) which are then compared to a statewide reference condition (SOP #208-19).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are presented below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ce551fed-b49f-4ca9-888c-6c29a546e97f"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e551fed-b49f-4ca9-888c-6c29a546e97f"/>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2626"/>
        <w:tblLook w:firstRow="1" w:lastRow="0" w:firstColumn="0" w:lastColumn="0" w:noHBand="0" w:noVBand="1"/>
      </w:tblPr>
      <w:tblGrid>
        <w:gridCol w:w="1016"/>
        <w:gridCol w:w="1487"/>
        <w:gridCol w:w="909"/>
        <w:gridCol w:w="1162"/>
        <w:gridCol w:w="1429"/>
        <w:gridCol w:w="1438"/>
        <w:gridCol w:w="1144"/>
        <w:gridCol w:w="1313"/>
        <w:gridCol w:w="1117"/>
        <w:gridCol w:w="1064"/>
        <w:gridCol w:w="1384"/>
        <w:gridCol w:w="1402"/>
        <w:gridCol w:w="1055"/>
        <w:gridCol w:w="1029"/>
        <w:gridCol w:w="1482"/>
        <w:gridCol w:w="1500"/>
        <w:gridCol w:w="1269"/>
        <w:gridCol w:w="1429"/>
      </w:tblGrid>
      <w:tr>
        <w:trPr>
          <w:cantSplit/>
          <w:trHeight w:val="4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HMA </w:t>
              <w:br/>
              <w:t xml:space="preserve"> Assess.</w:t>
            </w:r>
          </w:p>
        </w:tc>
      </w:tr>
      <w:tr>
        <w:trPr>
          <w:cantSplit/>
          <w:trHeight w:val="3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Natural</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78</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Altered</w:t>
            </w:r>
          </w:p>
        </w:tc>
      </w:tr>
    </w:tbl>
    <w:p>
      <w:pPr>
        <w:sectPr xmlns:w="http://schemas.openxmlformats.org/wordprocessingml/2006/main" xmlns:r="http://schemas.openxmlformats.org/officeDocument/2006/relationships" w:rsidR="00C87907" w:rsidRPr="00E66B48">
          <w:headerReference w:type="even" r:id="rId10"/>
          <w:headerReference w:type="default" r:id="rId9"/>
          <w:footerReference w:type="even" r:id="rId12"/>
          <w:footerReference w:type="default" r:id="rId14"/>
          <w:headerReference w:type="first" r:id="rId11"/>
          <w:footerReference w:type="first" r:id="rId13"/>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pPr>
        <w:pStyle w:val="Heading2"/>
      </w:pPr>
      <w:bookmarkStart w:id="29" w:name="user-perception"/>
      <w:r>
        <w:t xml:space="preserve">User Perception</w:t>
      </w:r>
      <w:bookmarkEnd w:id="29"/>
    </w:p>
    <w:p>
      <w:pPr>
        <w:pStyle w:val="FirstParagraph"/>
      </w:pPr>
      <w:r>
        <w:t xml:space="preserve">Perceptions of recreational ability were ranked at all sampling locations as per standard site visit protocols (SOP #208-19). The observer ranking of recreational ability is a method of evaluating impacts to recreational use of a stream segment. Impacts to recreational use have been correlated with biological impairment from nutrient enrichment 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Results of this ranking are the primary gauge of whether the Birch Creek sites are achieving the designated recreational uses. Figure</w:t>
      </w:r>
      <w:r>
        <w:t xml:space="preserve"> </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illustrates the average observer ranking for desire to participate in 1° and 2° contact recreation at each sampling location. User rankings of recreational desirability ranged from 0 (best) to 5 (worst) where,as described above, a measurable impact was related to a ranking of 3 (Smith et al., 2014). Values of 6 were the result of 1° or 2° degree contact not being applicable due to site condition and were removed from mean aggregations. Results of this survey suggest observers (NYSDEC field staff) considered the desire to participate in 1° and 2° contact recreation to be slightly impacted (ranked &gt; 3) at 0 WI/PWL segments (Figure</w:t>
      </w:r>
      <w:r>
        <w:t xml:space="preserve"> </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6400800" cy="36576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2"/>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2be98f41-6668-426c-9dfe-4af8aa5ceabd"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be98f41-6668-426c-9dfe-4af8aa5ceabd"/>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Normal"/>
      </w:pPr>
      <w:r>
        <w:rPr/>
        <w:drawing>
          <wp:inline distT="0" distB="0" distL="0" distR="0">
            <wp:extent cx="6400800" cy="36576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3"/>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9150c115-3436-4c68-9941-4432ce78f6b1"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50c115-3436-4c68-9941-4432ce78f6b1"/>
      <w:r>
        <w:t xml:space="preserve">. </w:t>
      </w:r>
      <w:r>
        <w:t xml:space="preserve">Mean observer ranking of recreational ability for sampling locations, grouped by WI/PWL.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recreational usability questions rank in-stream and stream-side factors on a scale of 0-10 (0 – Best/Natural; 10 Worst/Severe). Those factors are: 1) Water Clarity, 2) Trash, 3) Periphyton, 4) Odor, and 5) Discharge Pipes. These visual and olfactory observations help isolate negative factors influencing the user’s perception of recreational use. Table</w:t>
      </w:r>
      <w:r>
        <w:t xml:space="preserve"> </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shows the mean recorded value for these factors at each sampling location and Table</w:t>
      </w:r>
      <w:r>
        <w:t xml:space="preserve"> </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lists the users selection of the most dominant impediment that reduces the observer’s desire to participate in 1° and 2° contact recreation, which can include the factors above, as well as ease of access and proximity to development.</w:t>
      </w:r>
    </w:p>
    <w:p>
      <w:pPr>
        <w:pStyle w:val="TableCaption"/>
      </w:pPr>
      <w:r>
        <w:t xml:space="preserve">Table </w:t>
      </w:r>
      <w:bookmarkStart w:id="9c5975a8-f0d5-49e8-80b6-2830d3b9db38"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c5975a8-f0d5-49e8-80b6-2830d3b9db38"/>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627"/>
        <w:tblLook w:firstRow="1" w:lastRow="0" w:firstColumn="0" w:lastColumn="0" w:noHBand="0" w:noVBand="1"/>
      </w:tblPr>
      <w:tblGrid>
        <w:gridCol w:w="1016"/>
        <w:gridCol w:w="1487"/>
        <w:gridCol w:w="1238"/>
        <w:gridCol w:w="1220"/>
        <w:gridCol w:w="1086"/>
        <w:gridCol w:w="766"/>
        <w:gridCol w:w="633"/>
        <w:gridCol w:w="686"/>
        <w:gridCol w:w="1496"/>
      </w:tblGrid>
      <w:tr>
        <w:trPr>
          <w:cantSplit/>
          <w:trHeight w:val="4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Susp. Phyto.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Macro.</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Discharge Pipes</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6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399" w:hRule="auto"/>
        </w:trPr>
        <w:tc>
          <w:tcPr>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bl>
    <w:p>
      <w:r>
        <w:br w:type="page"/>
      </w:r>
    </w:p>
    <w:p>
      <w:pPr>
        <w:pStyle w:val="TableCaption"/>
      </w:pPr>
      <w:r>
        <w:t xml:space="preserve">Table </w:t>
      </w:r>
      <w:bookmarkStart w:id="be207d5a-db95-4c16-a59e-dfaa094e7fde"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e207d5a-db95-4c16-a59e-dfaa094e7fde"/>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464"/>
        <w:tblLook w:firstRow="1" w:lastRow="0" w:firstColumn="0" w:lastColumn="0" w:noHBand="0" w:noVBand="1"/>
      </w:tblPr>
      <w:tblGrid>
        <w:gridCol w:w="1016"/>
        <w:gridCol w:w="1487"/>
        <w:gridCol w:w="2767"/>
        <w:gridCol w:w="3194"/>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Secondary</w:t>
            </w:r>
          </w:p>
        </w:tc>
      </w:tr>
      <w:tr>
        <w:trPr>
          <w:cantSplit/>
          <w:trHeight w:val="399" w:hRule="auto"/>
        </w:trPr>
        <w:tc>
          <w:tcPr>
            <w:vMerge w:val="restart"/>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Proximity to development buildings</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Proximity to Development Buildings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Proximity to development buildings</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Proximity to development roads</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Proximity to development roads</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Proximity to development roads</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Proximity to Development 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 Proximity to development roads</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Proximity to Development Buildings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r>
      <w:tr>
        <w:trPr>
          <w:cantSplit/>
          <w:trHeight w:val="399" w:hRule="auto"/>
        </w:trPr>
        <w:tc>
          <w:tcPr>
            <w:vMerge/>
            <w:tcBorders>
              <w:bottom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Trash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None</w:t>
            </w:r>
          </w:p>
        </w:tc>
      </w:tr>
    </w:tbl>
    <w:p>
      <w:r>
        <w:br w:type="page"/>
      </w:r>
    </w:p>
    <w:p>
      <w:pPr>
        <w:pStyle w:val="Heading1"/>
      </w:pPr>
      <w:bookmarkStart w:id="30" w:name="section-ii-site-specific-data"/>
      <w:r>
        <w:t xml:space="preserve">Section II: Site Specific Data</w:t>
      </w:r>
      <w:bookmarkEnd w:id="30"/>
    </w:p>
    <w:p>
      <w:pPr>
        <w:pStyle w:val="FirstParagraph"/>
      </w:pPr>
      <w:r>
        <w:t xml:space="preserve">Section II provides a tabular summary of all accepted results from each sampling location. Descriptive tables for each site include applicable established WQS (6 NYCRR Part 703), a summary of general chemistry and in-situ results, WQS excursion information, and BAP scores. Water chemistry results are summarized by analyte concentration after meeting QA/QC standards. WQS excursion information identifies excursions of the applicable WQS. BAP score information includes mean BAP score, standard deviation, standard error, and number of replicates.</w:t>
      </w:r>
    </w:p>
    <w:p>
      <w:pPr>
        <w:pStyle w:val="Heading3"/>
      </w:pPr>
      <w:bookmarkStart w:id="31" w:name="X61d9770bc79b578e3cce1790bc3968be4ba6c7e"/>
      <w:r>
        <w:t xml:space="preserve">13-BRCH_T4-1.4 | Waterbody Class: B(TS) | WI/PWL ID: 1307-0037</w:t>
      </w:r>
      <w:bookmarkEnd w:id="31"/>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13-BRCH_T4-1.4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13-BRCH_T4-1.4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450"/>
        <w:tblLook w:firstRow="1" w:lastRow="0" w:firstColumn="0" w:lastColumn="0" w:noHBand="0" w:noVBand="1"/>
      </w:tblPr>
      <w:tblGrid>
        <w:gridCol w:w="1487"/>
        <w:gridCol w:w="2314"/>
        <w:gridCol w:w="838"/>
        <w:gridCol w:w="918"/>
        <w:gridCol w:w="1308"/>
        <w:gridCol w:w="66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490</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r>
        <w:br w:type="textWrapping"/>
      </w:r>
    </w:p>
    <w:p>
      <w:pPr>
        <w:pStyle w:val="Heading3"/>
      </w:pPr>
      <w:bookmarkStart w:id="32" w:name="X6d0d9778969911a4ebe97f9dccdb3410fcf9d10"/>
      <w:r>
        <w:t xml:space="preserve">13-BRCH_T4-0.9 | Waterbody Class: B(TS) | WI/PWL ID: 1307-0037</w:t>
      </w:r>
      <w:bookmarkEnd w:id="32"/>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13-BRCH_T4-0.9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13-BRCH_T4-0.9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52"/>
        <w:tblLook w:firstRow="1" w:lastRow="0" w:firstColumn="0" w:lastColumn="0" w:noHBand="0" w:noVBand="1"/>
      </w:tblPr>
      <w:tblGrid>
        <w:gridCol w:w="2171"/>
        <w:gridCol w:w="651"/>
        <w:gridCol w:w="882"/>
        <w:gridCol w:w="1308"/>
        <w:gridCol w:w="740"/>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38.1</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13-BRCH_T4-0.9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30"/>
        <w:tblLook w:firstRow="1" w:lastRow="0" w:firstColumn="0" w:lastColumn="0" w:noHBand="0" w:noVBand="1"/>
      </w:tblPr>
      <w:tblGrid>
        <w:gridCol w:w="1487"/>
        <w:gridCol w:w="2314"/>
        <w:gridCol w:w="838"/>
        <w:gridCol w:w="918"/>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10.225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8.95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90.6</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0.105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13-BRCH_T4-0.9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3" w:name="X8a662cdf6a881d56788139a4ed2e46a7a72f4b3"/>
      <w:r>
        <w:t xml:space="preserve">13-BRCH-2.7 | Waterbody Class: B(TS) | WI/PWL ID: 1307-0037</w:t>
      </w:r>
      <w:bookmarkEnd w:id="33"/>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13-BRCH-2.7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13-BRCH-2.7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52"/>
        <w:tblLook w:firstRow="1" w:lastRow="0" w:firstColumn="0" w:lastColumn="0" w:noHBand="0" w:noVBand="1"/>
      </w:tblPr>
      <w:tblGrid>
        <w:gridCol w:w="2171"/>
        <w:gridCol w:w="651"/>
        <w:gridCol w:w="882"/>
        <w:gridCol w:w="1308"/>
        <w:gridCol w:w="740"/>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28.5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0.378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2070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0.49</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13-BRCH-2.7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55"/>
        <w:tblLook w:firstRow="1" w:lastRow="0" w:firstColumn="0" w:lastColumn="0" w:noHBand="0" w:noVBand="1"/>
      </w:tblPr>
      <w:tblGrid>
        <w:gridCol w:w="1211"/>
        <w:gridCol w:w="2314"/>
        <w:gridCol w:w="838"/>
        <w:gridCol w:w="918"/>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9.36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100.55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95.1</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7.22</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165</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13-BRCH-2.7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4" w:name="X9dd04bcec1f073cebcaee033a26a6a84175c1b9"/>
      <w:r>
        <w:t xml:space="preserve">13-BRCH_T3-0.2 | Waterbody Class: B(TS) | WI/PWL ID: 1307-0037</w:t>
      </w:r>
      <w:bookmarkEnd w:id="34"/>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13-BRCH_T3-0.2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13-BRCH_T3-0.2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52"/>
        <w:tblLook w:firstRow="1" w:lastRow="0" w:firstColumn="0" w:lastColumn="0" w:noHBand="0" w:noVBand="1"/>
      </w:tblPr>
      <w:tblGrid>
        <w:gridCol w:w="2171"/>
        <w:gridCol w:w="651"/>
        <w:gridCol w:w="882"/>
        <w:gridCol w:w="1308"/>
        <w:gridCol w:w="740"/>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0.16</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3460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38.7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13-BRCH_T3-0.2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450"/>
        <w:tblLook w:firstRow="1" w:lastRow="0" w:firstColumn="0" w:lastColumn="0" w:noHBand="0" w:noVBand="1"/>
      </w:tblPr>
      <w:tblGrid>
        <w:gridCol w:w="1487"/>
        <w:gridCol w:w="2314"/>
        <w:gridCol w:w="838"/>
        <w:gridCol w:w="918"/>
        <w:gridCol w:w="1308"/>
        <w:gridCol w:w="66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98.45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90.9</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7.205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6.97</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86</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13-BRCH_T3-0.2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2019-08-02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0.29</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p>
    <w:p>
      <w:pPr>
        <w:pStyle w:val="Heading3"/>
      </w:pPr>
      <w:bookmarkStart w:id="35" w:name="X2b1b4dc2b5cf6e92e267d717908b29a281e1e4b"/>
      <w:r>
        <w:t xml:space="preserve">13-BRCH-2.3 | Waterbody Class: B(TS) | WI/PWL ID: 1307-0037</w:t>
      </w:r>
      <w:bookmarkEnd w:id="35"/>
    </w:p>
    <w:p>
      <w:pPr>
        <w:pStyle w:val="FirstParagraph"/>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Applicable Standards: 13-BRCH-2.3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8893"/>
        <w:tblLook w:firstRow="1" w:lastRow="0" w:firstColumn="0" w:lastColumn="0" w:noHBand="0" w:noVBand="1"/>
      </w:tblPr>
      <w:tblGrid>
        <w:gridCol w:w="678"/>
        <w:gridCol w:w="1540"/>
        <w:gridCol w:w="918"/>
        <w:gridCol w:w="838"/>
        <w:gridCol w:w="4920"/>
      </w:tblGrid>
      <w:tr>
        <w:trPr>
          <w:cantSplit/>
          <w:trHeight w:val="369"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Class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Narrative</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7.0 mg/L from other than natural conditions.</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Shall not be less than 6.5 nor more than 8.5.</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Standard is based on pH and temperature</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Chemistry Measurements: 13-BRCH-2.3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52"/>
        <w:tblLook w:firstRow="1" w:lastRow="0" w:firstColumn="0" w:lastColumn="0" w:noHBand="0" w:noVBand="1"/>
      </w:tblPr>
      <w:tblGrid>
        <w:gridCol w:w="2171"/>
        <w:gridCol w:w="651"/>
        <w:gridCol w:w="882"/>
        <w:gridCol w:w="1308"/>
        <w:gridCol w:w="740"/>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 Total (As Caco3)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0.48</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11200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0.663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36.2</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24.9</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0.285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2030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Nitrite (As 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Kjeldahl,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0.24</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0.013</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0.075</w:t>
            </w:r>
          </w:p>
        </w:tc>
      </w:tr>
      <w:tr>
        <w:trPr>
          <w:cantSplit/>
          <w:trHeight w:val="399"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0.47</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1.25</w:t>
            </w:r>
          </w:p>
        </w:tc>
      </w:tr>
    </w:tbl>
    <w:p>
      <w:pPr>
        <w:pStyle w:val="BodyText"/>
      </w:pP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In-Situ Measurements: 13-BRCH-2.3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55"/>
        <w:tblLook w:firstRow="1" w:lastRow="0" w:firstColumn="0" w:lastColumn="0" w:noHBand="0" w:noVBand="1"/>
      </w:tblPr>
      <w:tblGrid>
        <w:gridCol w:w="1211"/>
        <w:gridCol w:w="2314"/>
        <w:gridCol w:w="838"/>
        <w:gridCol w:w="918"/>
        <w:gridCol w:w="1308"/>
        <w:gridCol w:w="740"/>
        <w:gridCol w:w="802"/>
        <w:gridCol w:w="562"/>
        <w:gridCol w:w="562"/>
      </w:tblGrid>
      <w:tr>
        <w:trPr>
          <w:cantSplit/>
          <w:trHeight w:val="369"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Record Count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Median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Max</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Min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9.28</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 Saturation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104.35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97.7</w:t>
            </w:r>
          </w:p>
        </w:tc>
      </w:tr>
      <w:tr>
        <w:trPr>
          <w:cantSplit/>
          <w:trHeight w:val="39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 units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7.655</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7.78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7.53</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Phycocyanin (Probe)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RFU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w:t>
            </w:r>
          </w:p>
        </w:tc>
      </w:tr>
      <w:tr>
        <w:trPr>
          <w:cantSplit/>
          <w:trHeight w:val="401"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w:t>
            </w:r>
          </w:p>
        </w:tc>
      </w:tr>
      <w:tr>
        <w:trPr>
          <w:cantSplit/>
          <w:trHeight w:val="399"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166</w:t>
            </w:r>
          </w:p>
        </w:tc>
      </w:tr>
      <w:tr>
        <w:trPr>
          <w:cantSplit/>
          <w:trHeight w:val="39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w:t>
            </w:r>
          </w:p>
        </w:tc>
      </w:tr>
    </w:tbl>
    <w:p>
      <w:pPr>
        <w:pStyle w:val="BodyText"/>
      </w:pPr>
    </w:p>
    <w:p>
      <w:pPr>
        <w:pStyle w:val="BodyText"/>
      </w:pPr>
      <w:r>
        <w:rPr>
          <w:i/>
        </w:rPr>
        <w:t xml:space="preserve">Water Quality Standard Excursions</w:t>
      </w:r>
    </w:p>
    <w:p>
      <w:pPr>
        <w:pStyle w:val="BodyText"/>
      </w:pPr>
      <w:r>
        <w:t xml:space="preserve">There were no water quality standard excursions at this site during the sampling period.</w:t>
      </w:r>
      <w:r>
        <w:t xml:space="preserve"> </w:t>
      </w:r>
    </w:p>
    <w:p>
      <w:pPr>
        <w:pStyle w:val="TableCaption"/>
      </w:pPr>
      <w: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Biological Assessment Score (BAP) Summary: 13-BRCH-2.3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708"/>
        <w:tblLook w:firstRow="1" w:lastRow="0" w:firstColumn="0" w:lastColumn="0" w:noHBand="0" w:noVBand="1"/>
      </w:tblPr>
      <w:tblGrid>
        <w:gridCol w:w="1069"/>
        <w:gridCol w:w="588"/>
        <w:gridCol w:w="1709"/>
        <w:gridCol w:w="1380"/>
        <w:gridCol w:w="962"/>
      </w:tblGrid>
      <w:tr>
        <w:trPr>
          <w:cantSplit/>
          <w:trHeight w:val="397" w:hRule="auto"/>
          <w:tblHeader/>
        </w:trPr>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Deviation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Standard Error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Replicate</w:t>
            </w:r>
          </w:p>
        </w:tc>
      </w:tr>
      <w:tr>
        <w:trPr>
          <w:cantSplit/>
          <w:trHeight w:val="368" w:hRule="auto"/>
        </w:trPr>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0.45</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w:t>
            </w:r>
          </w:p>
        </w:tc>
      </w:tr>
    </w:tbl>
    <w:p>
      <w:pPr>
        <w:pStyle w:val="BodyText"/>
      </w:pPr>
      <w:r>
        <w:br w:type="textWrapping"/>
      </w:r>
    </w:p>
    <w:p>
      <w:pPr>
        <w:pStyle w:val="Heading1"/>
      </w:pPr>
      <w:bookmarkStart w:id="36" w:name="section-iii-literature-cited"/>
      <w:r>
        <w:t xml:space="preserve">Section III: Literature Cited</w:t>
      </w:r>
      <w:bookmarkEnd w:id="36"/>
    </w:p>
    <w:altChunk r:id="rId44"/>
    <w:p>
      <w:r>
        <w:br w:type="page"/>
      </w:r>
    </w:p>
    <w:p>
      <w:pPr>
        <w:pStyle w:val="Heading1"/>
      </w:pPr>
      <w:bookmarkStart w:id="37" w:name="section-iv-appendices"/>
      <w:r>
        <w:t xml:space="preserve">Section IV: Appendices</w:t>
      </w:r>
      <w:bookmarkEnd w:id="37"/>
    </w:p>
    <w:p>
      <w:pPr>
        <w:pStyle w:val="Heading3"/>
      </w:pPr>
      <w:bookmarkStart w:id="38" w:name="appendix-i.-qaqc-results"/>
      <w:r>
        <w:t xml:space="preserve">Appendix I. QA/QC Results</w:t>
      </w:r>
      <w:bookmarkEnd w:id="38"/>
    </w:p>
    <w:p>
      <w:pPr>
        <w:pStyle w:val="FirstParagraph"/>
      </w:pPr>
      <w:r>
        <w:t xml:space="preserve">The following tables represent all data excluded from the study, or samples that were taken during the study period but flagged for exclusion from reporting by the QA/QC methods described in SOP#110-21.</w:t>
      </w:r>
    </w:p>
    <w:p>
      <w:pPr>
        <w:pStyle w:val="TableCaption"/>
      </w:pPr>
      <w:r>
        <w:t xml:space="preserve">Table </w:t>
      </w:r>
      <w:bookmarkStart w:id="d53de1be-3765-4704-b74f-102b0d92c694" w:name="QA_rej"/>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53de1be-3765-4704-b74f-102b0d92c694"/>
      <w:r>
        <w:t xml:space="preserve">. </w:t>
      </w:r>
      <w:r>
        <w:t xml:space="preserve">Water chemistry analytes flagged as R (rejected) and not included in the analysis for the report.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77"/>
        <w:tblLook w:firstRow="1" w:lastRow="0" w:firstColumn="0" w:lastColumn="0" w:noHBand="0" w:noVBand="1"/>
      </w:tblPr>
      <w:tblGrid>
        <w:gridCol w:w="1487"/>
        <w:gridCol w:w="1069"/>
        <w:gridCol w:w="1202"/>
        <w:gridCol w:w="651"/>
        <w:gridCol w:w="882"/>
        <w:gridCol w:w="740"/>
        <w:gridCol w:w="1069"/>
        <w:gridCol w:w="935"/>
        <w:gridCol w:w="1843"/>
      </w:tblGrid>
      <w:tr>
        <w:trPr>
          <w:cantSplit/>
          <w:trHeight w:val="39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Date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Parameter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Units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Fraction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Result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Validated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Validator</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Explanation</w:t>
            </w:r>
          </w:p>
        </w:tc>
      </w:tr>
      <w:tr>
        <w:trPr>
          <w:cantSplit/>
          <w:trHeight w:val="401"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2019-07-30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Chlorophyll A</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µg/L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2020-05-11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Equipment Blank error</w:t>
            </w:r>
          </w:p>
        </w:tc>
      </w:tr>
    </w:tbl>
    <w:sectPr w:rsidR="00C87907" w:rsidRPr="00E66B48">
      <w:headerReference w:type="even" r:id="rId10"/>
      <w:headerReference w:type="default" r:id="rId9"/>
      <w:footerReference w:type="even" r:id="rId12"/>
      <w:footerReference w:type="default" r:id="rId14"/>
      <w:headerReference w:type="first" r:id="rId11"/>
      <w:footerReference w:type="first" r:id="rId1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568F7" w14:textId="77777777" w:rsidR="00AB3779" w:rsidRDefault="00AB3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071196"/>
      <w:docPartObj>
        <w:docPartGallery w:val="Page Numbers (Bottom of Page)"/>
        <w:docPartUnique/>
      </w:docPartObj>
    </w:sdtPr>
    <w:sdtEndPr/>
    <w:sdtContent>
      <w:sdt>
        <w:sdtPr>
          <w:id w:val="-1769616900"/>
          <w:docPartObj>
            <w:docPartGallery w:val="Page Numbers (Top of Page)"/>
            <w:docPartUnique/>
          </w:docPartObj>
        </w:sdtPr>
        <w:sdtEndPr/>
        <w:sdtContent>
          <w:p w14:paraId="610CD98C" w14:textId="12D042B8" w:rsidR="00AB3779" w:rsidRDefault="00AB3779">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4772069" w14:textId="77777777" w:rsidR="00AB3779" w:rsidRDefault="00AB37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50B90" w14:textId="77777777" w:rsidR="00AB3779" w:rsidRDefault="00AB377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Best use assessment confirmation is based on 1) whether data are core or supplemental indicators, 2) how many years of data are available, and 3) how many samples were collected. (CALM, 2021)</w:t>
      </w:r>
    </w:p>
  </w:footnote>
  <w:footnote w:id="27">
    <w:p>
      <w:pPr>
        <w:pStyle w:val="FootnoteText"/>
      </w:pPr>
      <w:r>
        <w:rPr>
          <w:rStyle w:val="FootnoteReference"/>
        </w:rPr>
        <w:footnoteRef/>
      </w:r>
      <w:r>
        <w:t xml:space="preserve"> </w:t>
      </w:r>
      <w:r>
        <w:t xml:space="preserve"> </w:t>
      </w:r>
      <w:r>
        <w:t xml:space="preserve">Compilation of the state’s Integrated Report and updates to WI/PWL ID factsheets occur during even (2022, 2024) years. Best use assessments and factsheets may not immediately reflect data generated in this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772B" w14:textId="77777777" w:rsidR="00AB3779" w:rsidRDefault="00AB3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DB315" w14:textId="68CB094F" w:rsidR="00AB3779" w:rsidRPr="00D01433" w:rsidRDefault="00AB3779" w:rsidP="00AB3779">
    <w:pPr>
      <w:pStyle w:val="Header"/>
      <w:ind w:left="3960" w:firstLine="3960"/>
      <w:jc w:val="right"/>
      <w:rPr>
        <w:smallCaps/>
      </w:rPr>
    </w:pPr>
    <w:r w:rsidRPr="00D22BE6">
      <w:rPr>
        <w:rFonts w:eastAsia="Calibri" w:cs="Times New Roman"/>
        <w:noProof/>
        <w:sz w:val="20"/>
      </w:rPr>
      <w:drawing>
        <wp:anchor distT="0" distB="0" distL="114300" distR="114300" simplePos="0" relativeHeight="251659264" behindDoc="0" locked="0" layoutInCell="1" allowOverlap="1" wp14:anchorId="46A9A020" wp14:editId="2D4054AF">
          <wp:simplePos x="0" y="0"/>
          <wp:positionH relativeFrom="margin">
            <wp:posOffset>-304800</wp:posOffset>
          </wp:positionH>
          <wp:positionV relativeFrom="paragraph">
            <wp:posOffset>-143933</wp:posOffset>
          </wp:positionV>
          <wp:extent cx="1769110" cy="463550"/>
          <wp:effectExtent l="0" t="0" r="2540" b="0"/>
          <wp:wrapSquare wrapText="bothSides"/>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L:\OEA\DPA1\PUB2\Logos\nys-logos\nys-brandmark_dec-knockout.wmf"/>
                  <pic:cNvPicPr>
                    <a:picLocks noChangeAspect="1" noChangeArrowheads="1"/>
                  </pic:cNvPicPr>
                </pic:nvPicPr>
                <pic:blipFill>
                  <a:blip r:embed="rId1" cstate="print">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bwMode="auto">
                  <a:xfrm>
                    <a:off x="0" y="0"/>
                    <a:ext cx="1769110" cy="46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433">
      <w:t>NYS DEC</w:t>
    </w:r>
  </w:p>
  <w:p w14:paraId="55DBEC04" w14:textId="766B8117" w:rsidR="00AB3779" w:rsidRPr="00D01433" w:rsidRDefault="00AB3779" w:rsidP="00AB3779">
    <w:pPr>
      <w:pStyle w:val="Header"/>
      <w:jc w:val="right"/>
      <w:rPr>
        <w:smallCaps/>
      </w:rPr>
    </w:pPr>
    <w:r w:rsidRPr="00D01433">
      <w:t>Stream Survey – Data Report</w:t>
    </w:r>
  </w:p>
  <w:p w14:paraId="3E0AE528" w14:textId="4889C803" w:rsidR="00AB3779" w:rsidRDefault="00AB37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7627A" w14:textId="77777777" w:rsidR="00AB3779" w:rsidRDefault="00AB37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B683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12DC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2EB4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C89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56CA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D254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AE61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1685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7AB9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04C1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05BD"/>
    <w:rPr>
      <w:rFonts w:ascii="Arial" w:hAnsi="Arial"/>
    </w:rPr>
  </w:style>
  <w:style w:type="paragraph" w:styleId="Heading1">
    <w:name w:val="heading 1"/>
    <w:basedOn w:val="Normal"/>
    <w:next w:val="BodyText"/>
    <w:uiPriority w:val="9"/>
    <w:qFormat/>
    <w:rsid w:val="00E401AB"/>
    <w:pPr>
      <w:keepNext/>
      <w:keepLines/>
      <w:spacing w:before="480" w:after="0"/>
      <w:outlineLvl w:val="0"/>
    </w:pPr>
    <w:rPr>
      <w:rFonts w:eastAsiaTheme="majorEastAsia"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iPriority w:val="99"/>
    <w:unhideWhenUsed/>
    <w:rsid w:val="005B359F"/>
    <w:pPr>
      <w:tabs>
        <w:tab w:val="center" w:pos="4680"/>
        <w:tab w:val="right" w:pos="9360"/>
      </w:tabs>
      <w:spacing w:after="0"/>
    </w:pPr>
  </w:style>
  <w:style w:type="character" w:customStyle="1" w:styleId="FooterChar">
    <w:name w:val="Footer Char"/>
    <w:basedOn w:val="DefaultParagraphFont"/>
    <w:link w:val="Footer"/>
    <w:uiPriority w:val="99"/>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6" Type="http://schemas.openxmlformats.org/officeDocument/2006/relationships/hyperlink" Target="https://gisservices.dec.ny.gov/gis/dil/" TargetMode="External"/><Relationship Id="rId27" Type="http://schemas.openxmlformats.org/officeDocument/2006/relationships/image" Target="media/file235ccc92ec1.png"/><Relationship Id="rId28" Type="http://schemas.openxmlformats.org/officeDocument/2006/relationships/image" Target="media/file235c29fa1414.jpg"/><Relationship Id="rId29" Type="http://schemas.openxmlformats.org/officeDocument/2006/relationships/image" Target="media/file235c7c7c7525.png"/><Relationship Id="rId30" Type="http://schemas.openxmlformats.org/officeDocument/2006/relationships/image" Target="media/file235c7fba3d9d.png"/><Relationship Id="rId31" Type="http://schemas.openxmlformats.org/officeDocument/2006/relationships/image" Target="media/file235c254b4818.png"/><Relationship Id="rId32" Type="http://schemas.openxmlformats.org/officeDocument/2006/relationships/image" Target="media/file235c7d95378.png"/><Relationship Id="rId33" Type="http://schemas.openxmlformats.org/officeDocument/2006/relationships/image" Target="media/file235c5e3d2f88.png"/><Relationship Id="rId34" Type="http://schemas.openxmlformats.org/officeDocument/2006/relationships/image" Target="media/file235c3d6f541d.png"/><Relationship Id="rId35" Type="http://schemas.openxmlformats.org/officeDocument/2006/relationships/image" Target="media/file235c6ffe6dd6.png"/><Relationship Id="rId36" Type="http://schemas.openxmlformats.org/officeDocument/2006/relationships/image" Target="media/file235c29ea661e.png"/><Relationship Id="rId37" Type="http://schemas.openxmlformats.org/officeDocument/2006/relationships/image" Target="media/file235c5bde582c.png"/><Relationship Id="rId38" Type="http://schemas.openxmlformats.org/officeDocument/2006/relationships/image" Target="media/file235c1d8b7312.png"/><Relationship Id="rId39" Type="http://schemas.openxmlformats.org/officeDocument/2006/relationships/image" Target="media/file235c141c911.png"/><Relationship Id="rId40" Type="http://schemas.openxmlformats.org/officeDocument/2006/relationships/image" Target="media/file235c7d191ed2.png"/><Relationship Id="rId41" Type="http://schemas.openxmlformats.org/officeDocument/2006/relationships/image" Target="media/file235c965213b.png"/><Relationship Id="rId42" Type="http://schemas.openxmlformats.org/officeDocument/2006/relationships/image" Target="media/file235c51465ee9.png"/><Relationship Id="rId43" Type="http://schemas.openxmlformats.org/officeDocument/2006/relationships/image" Target="media/file235c3198aa4.png"/><Relationship Id="rId44" Type="http://schemas.openxmlformats.org/officeDocument/2006/relationships/aFChunk" Target="../file235c226b5933.docx"/></Relationships>
</file>

<file path=word/_rels/footnotes.xml.rels><?xml version="1.0" encoding="UTF-8" standalone="yes"?>
<Relationships  xmlns="http://schemas.openxmlformats.org/package/2006/relationships"><Relationship Id="rId26" Type="http://schemas.openxmlformats.org/officeDocument/2006/relationships/hyperlink" Target="https://gisservices.dec.ny.gov/gis/dil/"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Stream Survey Data Report</dc:title>
  <dc:creator>NYSDEC SMAS</dc:creator>
  <cp:keywords/>
  <dcterms:created xsi:type="dcterms:W3CDTF">2021-11-19T18:47:54Z</dcterms:created>
  <dcterms:modified xsi:type="dcterms:W3CDTF">2021-11-19T13:47:57Z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2021-11-19</vt:lpwstr>
  </property>
  <property fmtid="{D5CDD505-2E9C-101B-9397-08002B2CF9AE}" pid="3" name="output">
    <vt:lpwstr/>
  </property>
  <property fmtid="{D5CDD505-2E9C-101B-9397-08002B2CF9AE}" pid="4" name="params">
    <vt:lpwstr/>
  </property>
</Properties>
</file>