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verex-fire-website-and-product-blueprint"/>
    <w:p>
      <w:pPr>
        <w:pStyle w:val="Heading1"/>
      </w:pPr>
      <w:r>
        <w:t xml:space="preserve">Verex Fire Website and Product Blueprint</w:t>
      </w:r>
    </w:p>
    <w:bookmarkStart w:id="23" w:name="Xa8138a157610837a19d06de55cd59734baffd3c"/>
    <w:p>
      <w:pPr>
        <w:pStyle w:val="Heading2"/>
      </w:pPr>
      <w:r>
        <w:t xml:space="preserve">North-star vision and non-fabrication guardrails</w:t>
      </w:r>
    </w:p>
    <w:p>
      <w:pPr>
        <w:pStyle w:val="FirstParagraph"/>
      </w:pPr>
      <w:r>
        <w:t xml:space="preserve">You’re building a</w:t>
      </w:r>
      <w:r>
        <w:t xml:space="preserve"> </w:t>
      </w:r>
      <w:r>
        <w:rPr>
          <w:b/>
          <w:bCs/>
        </w:rPr>
        <w:t xml:space="preserve">credible, design-forward “real-feeling” site</w:t>
      </w:r>
      <w:r>
        <w:t xml:space="preserve"> </w:t>
      </w:r>
      <w:r>
        <w:t xml:space="preserve">for a mock company (Verex Fire) that sells</w:t>
      </w:r>
      <w:r>
        <w:t xml:space="preserve"> </w:t>
      </w:r>
      <w:r>
        <w:rPr>
          <w:b/>
          <w:bCs/>
        </w:rPr>
        <w:t xml:space="preserve">AI-enabled fire engineering software and fire-system integration products</w:t>
      </w:r>
      <w:r>
        <w:t xml:space="preserve"> </w:t>
      </w:r>
      <w:r>
        <w:t xml:space="preserve">in an Australian context. The non-negotiable constraint is</w:t>
      </w:r>
      <w:r>
        <w:t xml:space="preserve"> </w:t>
      </w:r>
      <w:r>
        <w:rPr>
          <w:b/>
          <w:bCs/>
        </w:rPr>
        <w:t xml:space="preserve">credibility without deception</w:t>
      </w:r>
      <w:r>
        <w:t xml:space="preserve">: no fake testimonials, no invented street addresses, no “trusted by” logos, no fabricated certifications, and no claims of compliance testing or approvals unless you can back them up with real evidence. (This matters in fire safety because the ecosystem is standards-driven and high-stakes, and even reputable guidance documents explicitly warn against misuse by inexperienced or unqualified users.)</w:t>
      </w:r>
      <w:r>
        <w:t xml:space="preserve"> </w:t>
      </w:r>
      <w:hyperlink r:id="rId21">
        <w:r>
          <w:rPr>
            <w:rStyle w:val="Hyperlink"/>
          </w:rPr>
          <w:t xml:space="preserve">[1]</w:t>
        </w:r>
      </w:hyperlink>
    </w:p>
    <w:p>
      <w:pPr>
        <w:pStyle w:val="BodyText"/>
      </w:pPr>
      <w:r>
        <w:t xml:space="preserve">Two wording patterns keep the site honest while still looking “enterprise real”:</w:t>
      </w:r>
    </w:p>
    <w:p>
      <w:pPr>
        <w:pStyle w:val="Compact"/>
        <w:numPr>
          <w:ilvl w:val="0"/>
          <w:numId w:val="1001"/>
        </w:numPr>
      </w:pPr>
      <w:r>
        <w:rPr>
          <w:b/>
          <w:bCs/>
        </w:rPr>
        <w:t xml:space="preserve">Prototype-forward language</w:t>
      </w:r>
      <w:r>
        <w:t xml:space="preserve">: “Preview,” “Early access,” “Concept product,” “Reference implementation,” “Demo calculator.” This keeps you from implying deployed, certified, or regulator-accepted tooling.</w:t>
      </w:r>
    </w:p>
    <w:p>
      <w:pPr>
        <w:pStyle w:val="Compact"/>
        <w:numPr>
          <w:ilvl w:val="0"/>
          <w:numId w:val="1001"/>
        </w:numPr>
      </w:pPr>
      <w:r>
        <w:rPr>
          <w:b/>
          <w:bCs/>
        </w:rPr>
        <w:t xml:space="preserve">Workflow-support language</w:t>
      </w:r>
      <w:r>
        <w:t xml:space="preserve"> </w:t>
      </w:r>
      <w:r>
        <w:t xml:space="preserve">instead of compliance guarantees: “Supports documentation aligned to the NCC performance-based process,” “Designed to fit common Australian fire engineering workflows,” “Exports artifacts used in FDS/CFAST-style modelling.” (You can be explicit that it’s a tool to assist competent practitioners, not a substitute for engineering judgment.)</w:t>
      </w:r>
      <w:r>
        <w:t xml:space="preserve"> </w:t>
      </w:r>
      <w:hyperlink r:id="rId22">
        <w:r>
          <w:rPr>
            <w:rStyle w:val="Hyperlink"/>
          </w:rPr>
          <w:t xml:space="preserve">[2]</w:t>
        </w:r>
      </w:hyperlink>
    </w:p>
    <w:p>
      <w:pPr>
        <w:pStyle w:val="FirstParagraph"/>
      </w:pPr>
      <w:r>
        <w:t xml:space="preserve">Use the same principle for contact details: you can look professional without fabricating a location by using</w:t>
      </w:r>
      <w:r>
        <w:t xml:space="preserve"> </w:t>
      </w:r>
      <w:r>
        <w:rPr>
          <w:b/>
          <w:bCs/>
        </w:rPr>
        <w:t xml:space="preserve">a contact form + email + optional generic service region</w:t>
      </w:r>
      <w:r>
        <w:t xml:space="preserve"> </w:t>
      </w:r>
      <w:r>
        <w:t xml:space="preserve">(e.g., “Serving Australia &amp; APAC”), but avoid “Suite 12, 123 Fake St” entirely.</w:t>
      </w:r>
    </w:p>
    <w:bookmarkEnd w:id="23"/>
    <w:bookmarkStart w:id="37" w:name="X488f5c4157501340c5039af8a4e21be01416cae"/>
    <w:p>
      <w:pPr>
        <w:pStyle w:val="Heading2"/>
      </w:pPr>
      <w:r>
        <w:t xml:space="preserve">Australian fire engineering context and credible workflows to mirror</w:t>
      </w:r>
    </w:p>
    <w:bookmarkStart w:id="24" w:name="Xc92abc9c1c05664cb56ddbc25b7eb450be83d16"/>
    <w:p>
      <w:pPr>
        <w:pStyle w:val="Heading3"/>
      </w:pPr>
      <w:r>
        <w:t xml:space="preserve">Regulatory reality you should reflect on the site</w:t>
      </w:r>
    </w:p>
    <w:p>
      <w:pPr>
        <w:pStyle w:val="FirstParagraph"/>
      </w:pPr>
      <w:r>
        <w:t xml:space="preserve">Australia’s</w:t>
      </w:r>
      <w:r>
        <w:t xml:space="preserve"> </w:t>
      </w:r>
      <w:r>
        <w:rPr>
          <w:b/>
          <w:bCs/>
        </w:rPr>
        <w:t xml:space="preserve">National Construction Code (NCC)</w:t>
      </w:r>
      <w:r>
        <w:t xml:space="preserve"> </w:t>
      </w:r>
      <w:r>
        <w:t xml:space="preserve">is explicitly described as a</w:t>
      </w:r>
      <w:r>
        <w:t xml:space="preserve"> </w:t>
      </w:r>
      <w:r>
        <w:rPr>
          <w:b/>
          <w:bCs/>
        </w:rPr>
        <w:t xml:space="preserve">performance-based code</w:t>
      </w:r>
      <w:r>
        <w:t xml:space="preserve"> </w:t>
      </w:r>
      <w:r>
        <w:t xml:space="preserve">setting minimum required levels for building outcomes (including fire safety), and it’s the primary technical provisions set for buildings.</w:t>
      </w:r>
      <w:r>
        <w:t xml:space="preserve"> </w:t>
      </w:r>
      <w:hyperlink r:id="rId22">
        <w:r>
          <w:rPr>
            <w:rStyle w:val="Hyperlink"/>
          </w:rPr>
          <w:t xml:space="preserve">[3]</w:t>
        </w:r>
      </w:hyperlink>
      <w:r>
        <w:br/>
      </w:r>
      <w:r>
        <w:t xml:space="preserve">This matters because the most believable “fire engineering software company” in Australia will naturally talk about:</w:t>
      </w:r>
    </w:p>
    <w:p>
      <w:pPr>
        <w:pStyle w:val="Compact"/>
        <w:numPr>
          <w:ilvl w:val="0"/>
          <w:numId w:val="1002"/>
        </w:numPr>
      </w:pPr>
      <w:r>
        <w:rPr>
          <w:b/>
          <w:bCs/>
        </w:rPr>
        <w:t xml:space="preserve">Performance Requirements</w:t>
      </w:r>
      <w:r>
        <w:t xml:space="preserve"> </w:t>
      </w:r>
      <w:r>
        <w:t xml:space="preserve">vs</w:t>
      </w:r>
      <w:r>
        <w:t xml:space="preserve"> </w:t>
      </w:r>
      <w:r>
        <w:rPr>
          <w:b/>
          <w:bCs/>
        </w:rPr>
        <w:t xml:space="preserve">Deemed-to-Satisfy (DtS)</w:t>
      </w:r>
      <w:r>
        <w:t xml:space="preserve"> </w:t>
      </w:r>
      <w:r>
        <w:t xml:space="preserve">approaches (without giving legal advice).</w:t>
      </w:r>
    </w:p>
    <w:p>
      <w:pPr>
        <w:pStyle w:val="Compact"/>
        <w:numPr>
          <w:ilvl w:val="0"/>
          <w:numId w:val="1002"/>
        </w:numPr>
      </w:pPr>
      <w:r>
        <w:t xml:space="preserve">Evidence/documentation pipelines (reports, calculations, assumptions, design briefs, review trails).</w:t>
      </w:r>
    </w:p>
    <w:p>
      <w:pPr>
        <w:pStyle w:val="Compact"/>
        <w:numPr>
          <w:ilvl w:val="0"/>
          <w:numId w:val="1002"/>
        </w:numPr>
      </w:pPr>
      <w:r>
        <w:t xml:space="preserve">Stakeholder reviews and approvals as a structured process rather than “the software approves it.”</w:t>
      </w:r>
    </w:p>
    <w:p>
      <w:pPr>
        <w:pStyle w:val="FirstParagraph"/>
      </w:pPr>
      <w:r>
        <w:t xml:space="preserve">The</w:t>
      </w:r>
      <w:r>
        <w:t xml:space="preserve"> </w:t>
      </w:r>
      <w:r>
        <w:rPr>
          <w:b/>
          <w:bCs/>
        </w:rPr>
        <w:t xml:space="preserve">Australian Fire Engineering Guidelines (AFEG)</w:t>
      </w:r>
      <w:r>
        <w:t xml:space="preserve"> </w:t>
      </w:r>
      <w:r>
        <w:t xml:space="preserve">sit in this space as an NCC support document and explicitly position themselves as guidance for</w:t>
      </w:r>
      <w:r>
        <w:t xml:space="preserve"> </w:t>
      </w:r>
      <w:r>
        <w:rPr>
          <w:b/>
          <w:bCs/>
        </w:rPr>
        <w:t xml:space="preserve">fire safety design of buildings under the NCC</w:t>
      </w:r>
      <w:r>
        <w:t xml:space="preserve">, intended for competent and experienced fire engineers; they also contain strong limitations language (including that “absolute”/“100%” safety is not attainable).</w:t>
      </w:r>
      <w:r>
        <w:t xml:space="preserve"> </w:t>
      </w:r>
      <w:hyperlink r:id="rId21">
        <w:r>
          <w:rPr>
            <w:rStyle w:val="Hyperlink"/>
          </w:rPr>
          <w:t xml:space="preserve">[4]</w:t>
        </w:r>
      </w:hyperlink>
    </w:p>
    <w:bookmarkEnd w:id="24"/>
    <w:bookmarkStart w:id="31" w:name="X0cb1069ca2a62ecfd23464182653e1378c7c85e"/>
    <w:p>
      <w:pPr>
        <w:pStyle w:val="Heading3"/>
      </w:pPr>
      <w:r>
        <w:t xml:space="preserve">Standards and system domains that map directly to your product ideas</w:t>
      </w:r>
    </w:p>
    <w:p>
      <w:pPr>
        <w:pStyle w:val="FirstParagraph"/>
      </w:pPr>
      <w:r>
        <w:t xml:space="preserve">To make Verex Fire “feel real,” anchor product categories to recognisable system domains (without pretending you</w:t>
      </w:r>
      <w:r>
        <w:t xml:space="preserve"> </w:t>
      </w:r>
      <w:r>
        <w:rPr>
          <w:i/>
          <w:iCs/>
        </w:rPr>
        <w:t xml:space="preserve">own</w:t>
      </w:r>
      <w:r>
        <w:t xml:space="preserve"> </w:t>
      </w:r>
      <w:r>
        <w:t xml:space="preserve">those standards):</w:t>
      </w:r>
    </w:p>
    <w:p>
      <w:pPr>
        <w:pStyle w:val="BodyText"/>
      </w:pPr>
      <w:r>
        <w:t xml:space="preserve">Fire detection &amp; control:</w:t>
      </w:r>
    </w:p>
    <w:p>
      <w:pPr>
        <w:pStyle w:val="Compact"/>
        <w:numPr>
          <w:ilvl w:val="0"/>
          <w:numId w:val="1003"/>
        </w:numPr>
      </w:pPr>
      <w:r>
        <w:rPr>
          <w:b/>
          <w:bCs/>
        </w:rPr>
        <w:t xml:space="preserve">AS 1670.1:2018</w:t>
      </w:r>
      <w:r>
        <w:t xml:space="preserve"> </w:t>
      </w:r>
      <w:r>
        <w:t xml:space="preserve">covers fire detection/warning/control/intercom systems—system design, installation, commissioning (commonly tied to fire detection/alarm work).</w:t>
      </w:r>
      <w:r>
        <w:t xml:space="preserve"> </w:t>
      </w:r>
      <w:hyperlink r:id="rId25">
        <w:r>
          <w:rPr>
            <w:rStyle w:val="Hyperlink"/>
          </w:rPr>
          <w:t xml:space="preserve">[5]</w:t>
        </w:r>
      </w:hyperlink>
    </w:p>
    <w:p>
      <w:pPr>
        <w:pStyle w:val="Compact"/>
        <w:numPr>
          <w:ilvl w:val="0"/>
          <w:numId w:val="1003"/>
        </w:numPr>
      </w:pPr>
      <w:r>
        <w:t xml:space="preserve">Fire indicator / control and indicating equipment appear in standards such as</w:t>
      </w:r>
      <w:r>
        <w:t xml:space="preserve"> </w:t>
      </w:r>
      <w:r>
        <w:rPr>
          <w:b/>
          <w:bCs/>
        </w:rPr>
        <w:t xml:space="preserve">AS 4428.1</w:t>
      </w:r>
      <w:r>
        <w:t xml:space="preserve"> </w:t>
      </w:r>
      <w:r>
        <w:t xml:space="preserve">(control and indicating equipment used as fire indicator panels) and the</w:t>
      </w:r>
      <w:r>
        <w:t xml:space="preserve"> </w:t>
      </w:r>
      <w:r>
        <w:rPr>
          <w:b/>
          <w:bCs/>
        </w:rPr>
        <w:t xml:space="preserve">AS 7240</w:t>
      </w:r>
      <w:r>
        <w:t xml:space="preserve"> </w:t>
      </w:r>
      <w:r>
        <w:t xml:space="preserve">series (e.g.,</w:t>
      </w:r>
      <w:r>
        <w:t xml:space="preserve"> </w:t>
      </w:r>
      <w:r>
        <w:rPr>
          <w:b/>
          <w:bCs/>
        </w:rPr>
        <w:t xml:space="preserve">AS 7240.2</w:t>
      </w:r>
      <w:r>
        <w:t xml:space="preserve"> </w:t>
      </w:r>
      <w:r>
        <w:t xml:space="preserve">for fire detection control and indicating equipment, FDCIE).</w:t>
      </w:r>
      <w:r>
        <w:t xml:space="preserve"> </w:t>
      </w:r>
      <w:hyperlink r:id="rId26">
        <w:r>
          <w:rPr>
            <w:rStyle w:val="Hyperlink"/>
          </w:rPr>
          <w:t xml:space="preserve">[6]</w:t>
        </w:r>
      </w:hyperlink>
    </w:p>
    <w:p>
      <w:pPr>
        <w:pStyle w:val="FirstParagraph"/>
      </w:pPr>
      <w:r>
        <w:t xml:space="preserve">Smoke control &amp; ventilation:</w:t>
      </w:r>
    </w:p>
    <w:p>
      <w:pPr>
        <w:pStyle w:val="Compact"/>
        <w:numPr>
          <w:ilvl w:val="0"/>
          <w:numId w:val="1004"/>
        </w:numPr>
      </w:pPr>
      <w:r>
        <w:rPr>
          <w:b/>
          <w:bCs/>
        </w:rPr>
        <w:t xml:space="preserve">AS/NZS 1668.1:2015</w:t>
      </w:r>
      <w:r>
        <w:t xml:space="preserve"> </w:t>
      </w:r>
      <w:r>
        <w:t xml:space="preserve">is about fire and smoke control in buildings; an AIRAH summary describes its objective as providing standardised minimum requirements for mechanical air-handling / mechanical smoke control systems for designers, installers, inspectors, and regulators.</w:t>
      </w:r>
      <w:r>
        <w:t xml:space="preserve"> </w:t>
      </w:r>
      <w:hyperlink r:id="rId27">
        <w:r>
          <w:rPr>
            <w:rStyle w:val="Hyperlink"/>
          </w:rPr>
          <w:t xml:space="preserve">[7]</w:t>
        </w:r>
      </w:hyperlink>
    </w:p>
    <w:p>
      <w:pPr>
        <w:pStyle w:val="FirstParagraph"/>
      </w:pPr>
      <w:r>
        <w:t xml:space="preserve">Emergency lighting:</w:t>
      </w:r>
    </w:p>
    <w:p>
      <w:pPr>
        <w:pStyle w:val="Compact"/>
        <w:numPr>
          <w:ilvl w:val="0"/>
          <w:numId w:val="1005"/>
        </w:numPr>
      </w:pPr>
      <w:r>
        <w:rPr>
          <w:b/>
          <w:bCs/>
        </w:rPr>
        <w:t xml:space="preserve">AS/NZS 2293.1:2018</w:t>
      </w:r>
      <w:r>
        <w:t xml:space="preserve"> </w:t>
      </w:r>
      <w:r>
        <w:t xml:space="preserve">covers emergency lighting and exit signs—system design, installation, and operation to support safe evacuation.</w:t>
      </w:r>
      <w:r>
        <w:t xml:space="preserve"> </w:t>
      </w:r>
      <w:hyperlink r:id="rId28">
        <w:r>
          <w:rPr>
            <w:rStyle w:val="Hyperlink"/>
          </w:rPr>
          <w:t xml:space="preserve">[8]</w:t>
        </w:r>
      </w:hyperlink>
    </w:p>
    <w:p>
      <w:pPr>
        <w:pStyle w:val="FirstParagraph"/>
      </w:pPr>
      <w:r>
        <w:t xml:space="preserve">Maintenance and testing regimes:</w:t>
      </w:r>
    </w:p>
    <w:p>
      <w:pPr>
        <w:pStyle w:val="Compact"/>
        <w:numPr>
          <w:ilvl w:val="0"/>
          <w:numId w:val="1006"/>
        </w:numPr>
      </w:pPr>
      <w:r>
        <w:rPr>
          <w:b/>
          <w:bCs/>
        </w:rPr>
        <w:t xml:space="preserve">AS 1851-2012</w:t>
      </w:r>
      <w:r>
        <w:t xml:space="preserve"> </w:t>
      </w:r>
      <w:r>
        <w:t xml:space="preserve">sets out requirements for inspection, testing, preventive maintenance, and survey of fire protection systems and equipment; NSW has published guidance that (from Feb 2026) requires compliance with AS 1851-2012 for broad building classes in that state—this is exactly the kind of compliance “pain” a legitimate software product would target.</w:t>
      </w:r>
      <w:r>
        <w:t xml:space="preserve"> </w:t>
      </w:r>
      <w:hyperlink r:id="rId29">
        <w:r>
          <w:rPr>
            <w:rStyle w:val="Hyperlink"/>
          </w:rPr>
          <w:t xml:space="preserve">[9]</w:t>
        </w:r>
      </w:hyperlink>
    </w:p>
    <w:p>
      <w:pPr>
        <w:pStyle w:val="FirstParagraph"/>
      </w:pPr>
      <w:r>
        <w:t xml:space="preserve">Hydraulics / suppression / hydrants (optional expansion area):</w:t>
      </w:r>
    </w:p>
    <w:p>
      <w:pPr>
        <w:pStyle w:val="Compact"/>
        <w:numPr>
          <w:ilvl w:val="0"/>
          <w:numId w:val="1007"/>
        </w:numPr>
      </w:pPr>
      <w:r>
        <w:rPr>
          <w:b/>
          <w:bCs/>
        </w:rPr>
        <w:t xml:space="preserve">AS 2118.1:2017</w:t>
      </w:r>
      <w:r>
        <w:t xml:space="preserve"> </w:t>
      </w:r>
      <w:r>
        <w:t xml:space="preserve">(sprinkler systems, general systems) and</w:t>
      </w:r>
      <w:r>
        <w:t xml:space="preserve"> </w:t>
      </w:r>
      <w:r>
        <w:rPr>
          <w:b/>
          <w:bCs/>
        </w:rPr>
        <w:t xml:space="preserve">AS 2419.1:2017</w:t>
      </w:r>
      <w:r>
        <w:t xml:space="preserve"> </w:t>
      </w:r>
      <w:r>
        <w:t xml:space="preserve">(fire hydrant installations—design/installation/commissioning/testing) are credible “enterprise” adjacent domains for roadmap pages, integrations, and asset management modules.</w:t>
      </w:r>
      <w:r>
        <w:t xml:space="preserve"> </w:t>
      </w:r>
      <w:hyperlink r:id="rId30">
        <w:r>
          <w:rPr>
            <w:rStyle w:val="Hyperlink"/>
          </w:rPr>
          <w:t xml:space="preserve">[10]</w:t>
        </w:r>
      </w:hyperlink>
    </w:p>
    <w:bookmarkEnd w:id="31"/>
    <w:bookmarkStart w:id="36" w:name="X338a3b3b910be88c8dd909b25d001af02de4f42"/>
    <w:p>
      <w:pPr>
        <w:pStyle w:val="Heading3"/>
      </w:pPr>
      <w:r>
        <w:t xml:space="preserve">Modelling tools practitioners actually recognise</w:t>
      </w:r>
    </w:p>
    <w:p>
      <w:pPr>
        <w:pStyle w:val="FirstParagraph"/>
      </w:pPr>
      <w:r>
        <w:t xml:space="preserve">If your site claims “smoke hazard computation,” the most believable references are the same tools the research / engineering ecosystem recognises:</w:t>
      </w:r>
    </w:p>
    <w:p>
      <w:pPr>
        <w:pStyle w:val="Compact"/>
        <w:numPr>
          <w:ilvl w:val="0"/>
          <w:numId w:val="1008"/>
        </w:numPr>
      </w:pPr>
      <w:r>
        <w:t xml:space="preserve">NIST describes</w:t>
      </w:r>
      <w:r>
        <w:t xml:space="preserve"> </w:t>
      </w:r>
      <w:r>
        <w:rPr>
          <w:b/>
          <w:bCs/>
        </w:rPr>
        <w:t xml:space="preserve">Fire Dynamics Simulator (FDS)</w:t>
      </w:r>
      <w:r>
        <w:t xml:space="preserve"> </w:t>
      </w:r>
      <w:r>
        <w:t xml:space="preserve">as a CFD model of fire-driven fluid flow, emphasising smoke and heat transport.</w:t>
      </w:r>
      <w:r>
        <w:t xml:space="preserve"> </w:t>
      </w:r>
      <w:hyperlink r:id="rId32">
        <w:r>
          <w:rPr>
            <w:rStyle w:val="Hyperlink"/>
          </w:rPr>
          <w:t xml:space="preserve">[11]</w:t>
        </w:r>
      </w:hyperlink>
    </w:p>
    <w:p>
      <w:pPr>
        <w:pStyle w:val="Compact"/>
        <w:numPr>
          <w:ilvl w:val="0"/>
          <w:numId w:val="1008"/>
        </w:numPr>
      </w:pPr>
      <w:r>
        <w:t xml:space="preserve">NIST describes</w:t>
      </w:r>
      <w:r>
        <w:t xml:space="preserve"> </w:t>
      </w:r>
      <w:r>
        <w:rPr>
          <w:b/>
          <w:bCs/>
        </w:rPr>
        <w:t xml:space="preserve">CFAST</w:t>
      </w:r>
      <w:r>
        <w:t xml:space="preserve"> </w:t>
      </w:r>
      <w:r>
        <w:t xml:space="preserve">as a two-zone fire model predicting conditions in multi-compartment structures, including evolving smoke, gases, and temperatures.</w:t>
      </w:r>
      <w:r>
        <w:t xml:space="preserve"> </w:t>
      </w:r>
      <w:hyperlink r:id="rId33">
        <w:r>
          <w:rPr>
            <w:rStyle w:val="Hyperlink"/>
          </w:rPr>
          <w:t xml:space="preserve">[12]</w:t>
        </w:r>
      </w:hyperlink>
    </w:p>
    <w:p>
      <w:pPr>
        <w:pStyle w:val="Compact"/>
        <w:numPr>
          <w:ilvl w:val="0"/>
          <w:numId w:val="1008"/>
        </w:numPr>
      </w:pPr>
      <w:r>
        <w:t xml:space="preserve">Thunderhead markets</w:t>
      </w:r>
      <w:r>
        <w:t xml:space="preserve"> </w:t>
      </w:r>
      <w:r>
        <w:rPr>
          <w:b/>
          <w:bCs/>
        </w:rPr>
        <w:t xml:space="preserve">Pathfinder</w:t>
      </w:r>
      <w:r>
        <w:t xml:space="preserve"> </w:t>
      </w:r>
      <w:r>
        <w:t xml:space="preserve">for crowd movement/egress simulation; their own material also discusses using results alongside fire conditions/tenability concepts.</w:t>
      </w:r>
      <w:r>
        <w:t xml:space="preserve"> </w:t>
      </w:r>
      <w:hyperlink r:id="rId34">
        <w:r>
          <w:rPr>
            <w:rStyle w:val="Hyperlink"/>
          </w:rPr>
          <w:t xml:space="preserve">[13]</w:t>
        </w:r>
      </w:hyperlink>
    </w:p>
    <w:p>
      <w:pPr>
        <w:pStyle w:val="Compact"/>
        <w:numPr>
          <w:ilvl w:val="0"/>
          <w:numId w:val="1008"/>
        </w:numPr>
      </w:pPr>
      <w:r>
        <w:t xml:space="preserve">NIST’s CFAST user guide includes a concrete definition of</w:t>
      </w:r>
      <w:r>
        <w:t xml:space="preserve"> </w:t>
      </w:r>
      <w:r>
        <w:rPr>
          <w:b/>
          <w:bCs/>
        </w:rPr>
        <w:t xml:space="preserve">t-squared fires</w:t>
      </w:r>
      <w:r>
        <w:t xml:space="preserve"> </w:t>
      </w:r>
      <w:r>
        <w:t xml:space="preserve">and standard “slow/medium/fast/ultra-fast” growth definitions by time to a reference HRR—perfect for a demo calculator because it’s real math with a published source.</w:t>
      </w:r>
      <w:r>
        <w:t xml:space="preserve"> </w:t>
      </w:r>
      <w:hyperlink r:id="rId35">
        <w:r>
          <w:rPr>
            <w:rStyle w:val="Hyperlink"/>
          </w:rPr>
          <w:t xml:space="preserve">[14]</w:t>
        </w:r>
      </w:hyperlink>
    </w:p>
    <w:p>
      <w:pPr>
        <w:pStyle w:val="FirstParagraph"/>
      </w:pPr>
      <w:r>
        <w:t xml:space="preserve">This gives you a “credibility spine” for both product copy and interactive demo features.</w:t>
      </w:r>
    </w:p>
    <w:bookmarkEnd w:id="36"/>
    <w:bookmarkEnd w:id="37"/>
    <w:bookmarkStart w:id="41" w:name="X79c213f836e20b1cc49f7bba45c8d4b88288a89"/>
    <w:p>
      <w:pPr>
        <w:pStyle w:val="Heading2"/>
      </w:pPr>
      <w:r>
        <w:t xml:space="preserve">Verex Fire product and prototype portfolio</w:t>
      </w:r>
    </w:p>
    <w:p>
      <w:pPr>
        <w:pStyle w:val="FirstParagraph"/>
      </w:pPr>
      <w:r>
        <w:t xml:space="preserve">The clean way to present “amazing new products” without lying is to structure them as a</w:t>
      </w:r>
      <w:r>
        <w:t xml:space="preserve"> </w:t>
      </w:r>
      <w:r>
        <w:rPr>
          <w:b/>
          <w:bCs/>
        </w:rPr>
        <w:t xml:space="preserve">platform</w:t>
      </w:r>
      <w:r>
        <w:t xml:space="preserve"> </w:t>
      </w:r>
      <w:r>
        <w:t xml:space="preserve">with: (a) software modules, (b) integration hardware, (c) engineering compute workflows, (d) compliance operations. Every product page should include a short “Intended use” panel and an explicit “Not a substitute for competent fire engineering judgment” warning consistent with how modelling tools and guidelines caution users.</w:t>
      </w:r>
      <w:r>
        <w:t xml:space="preserve"> </w:t>
      </w:r>
      <w:hyperlink r:id="rId21">
        <w:r>
          <w:rPr>
            <w:rStyle w:val="Hyperlink"/>
          </w:rPr>
          <w:t xml:space="preserve">[15]</w:t>
        </w:r>
      </w:hyperlink>
    </w:p>
    <w:bookmarkStart w:id="38" w:name="X81212a5f9076bfde195b87ab5c2b1d2bcd6888e"/>
    <w:p>
      <w:pPr>
        <w:pStyle w:val="Heading3"/>
      </w:pPr>
      <w:r>
        <w:t xml:space="preserve">Software products that feel real to fire engineers</w:t>
      </w:r>
    </w:p>
    <w:p>
      <w:pPr>
        <w:pStyle w:val="FirstParagraph"/>
      </w:pPr>
      <w:r>
        <w:rPr>
          <w:b/>
          <w:bCs/>
        </w:rPr>
        <w:t xml:space="preserve">Verex Smoke Studio (Compute Workflow Prototype)</w:t>
      </w:r>
      <w:r>
        <w:br/>
      </w:r>
      <w:r>
        <w:t xml:space="preserve">A workflow layer that helps users prepare, track, and interpret smoke modelling work products. It should name-check the ecosystem honestly: “Exports inputs for FDS/CFAST-style modelling; stores assumptions; attaches scenario briefs; compares outputs against chosen tenability thresholds (user-defined).” FDS and CFAST are publicly described by NIST in exactly the language your product can mirror.</w:t>
      </w:r>
      <w:r>
        <w:t xml:space="preserve"> </w:t>
      </w:r>
      <w:hyperlink r:id="rId32">
        <w:r>
          <w:rPr>
            <w:rStyle w:val="Hyperlink"/>
          </w:rPr>
          <w:t xml:space="preserve">[16]</w:t>
        </w:r>
      </w:hyperlink>
      <w:r>
        <w:br/>
      </w:r>
      <w:r>
        <w:t xml:space="preserve">Demo feature you can implement on the site without pretending to run CFD: “Upload/attach results → run threshold checks → generate a ‘decision log’ PDF.”</w:t>
      </w:r>
    </w:p>
    <w:p>
      <w:pPr>
        <w:pStyle w:val="BodyText"/>
      </w:pPr>
      <w:r>
        <w:rPr>
          <w:b/>
          <w:bCs/>
        </w:rPr>
        <w:t xml:space="preserve">Verex Egress Studio (Movement + RSET Assembly Prototype)</w:t>
      </w:r>
      <w:r>
        <w:br/>
      </w:r>
      <w:r>
        <w:t xml:space="preserve">A tool that assembles evacuation analysis components (detection time, pre-movement, travel, queuing) into a transparent RSET breakdown report and optionally links to evacuation simulation outputs. This maps to real tooling like Pathfinder (credible reference), but you must not imply Pathfinder integration exists unless you build it.</w:t>
      </w:r>
      <w:r>
        <w:t xml:space="preserve"> </w:t>
      </w:r>
      <w:hyperlink r:id="rId34">
        <w:r>
          <w:rPr>
            <w:rStyle w:val="Hyperlink"/>
          </w:rPr>
          <w:t xml:space="preserve">[17]</w:t>
        </w:r>
      </w:hyperlink>
      <w:r>
        <w:br/>
      </w:r>
      <w:r>
        <w:t xml:space="preserve">Demo feature: interactive “RSET Builder” that produces a structured report and JSON for further modelling.</w:t>
      </w:r>
    </w:p>
    <w:p>
      <w:pPr>
        <w:pStyle w:val="BodyText"/>
      </w:pPr>
      <w:r>
        <w:rPr>
          <w:b/>
          <w:bCs/>
        </w:rPr>
        <w:t xml:space="preserve">Verex Design Fire Builder (Real Math Demo)</w:t>
      </w:r>
      <w:r>
        <w:br/>
      </w:r>
      <w:r>
        <w:t xml:space="preserve">This should be your flagship “calculator” because it can be fully honest and technically grounded: implement a</w:t>
      </w:r>
      <w:r>
        <w:t xml:space="preserve"> </w:t>
      </w:r>
      <w:r>
        <w:rPr>
          <w:b/>
          <w:bCs/>
        </w:rPr>
        <w:t xml:space="preserve">t-squared HRR curve generator</w:t>
      </w:r>
      <w:r>
        <w:t xml:space="preserve"> </w:t>
      </w:r>
      <w:r>
        <w:t xml:space="preserve">with presets aligned to the CFAST user guide definition (slow/medium/fast/ultra-fast by time to 1054 kW) and export CSV.</w:t>
      </w:r>
      <w:r>
        <w:t xml:space="preserve"> </w:t>
      </w:r>
      <w:hyperlink r:id="rId35">
        <w:r>
          <w:rPr>
            <w:rStyle w:val="Hyperlink"/>
          </w:rPr>
          <w:t xml:space="preserve">[14]</w:t>
        </w:r>
      </w:hyperlink>
      <w:r>
        <w:br/>
      </w:r>
      <w:r>
        <w:t xml:space="preserve">This looks like serious engineering software, but it’s also safe: it doesn’t claim code compliance; it’s a published conceptual fire growth curve.</w:t>
      </w:r>
    </w:p>
    <w:p>
      <w:pPr>
        <w:pStyle w:val="BodyText"/>
      </w:pPr>
      <w:r>
        <w:rPr>
          <w:b/>
          <w:bCs/>
        </w:rPr>
        <w:t xml:space="preserve">Verex Smoke Control Assistant (Standards-Aware Checklist + Evidence Tool)</w:t>
      </w:r>
      <w:r>
        <w:br/>
      </w:r>
      <w:r>
        <w:t xml:space="preserve">Not “here’s the compliant answer,” but: “helps organise smoke control intent, calculation artifacts, and review checkpoints.” The objective framing can be aligned to AS/NZS 1668.1’s role as minimum requirements guidance for smoke control systems.</w:t>
      </w:r>
      <w:r>
        <w:t xml:space="preserve"> </w:t>
      </w:r>
      <w:hyperlink r:id="rId27">
        <w:r>
          <w:rPr>
            <w:rStyle w:val="Hyperlink"/>
          </w:rPr>
          <w:t xml:space="preserve">[7]</w:t>
        </w:r>
      </w:hyperlink>
      <w:r>
        <w:br/>
      </w:r>
      <w:r>
        <w:t xml:space="preserve">Demo feature: “Smoke control design brief generator” that outputs a structured PBDB-like brief (without copying proprietary guideline text).</w:t>
      </w:r>
    </w:p>
    <w:p>
      <w:pPr>
        <w:pStyle w:val="BodyText"/>
      </w:pPr>
      <w:r>
        <w:rPr>
          <w:b/>
          <w:bCs/>
        </w:rPr>
        <w:t xml:space="preserve">Verex ComplianceOps (Maintenance + Reporting)</w:t>
      </w:r>
      <w:r>
        <w:br/>
      </w:r>
      <w:r>
        <w:t xml:space="preserve">This module should scream “Australian building operations reality”: asset register, service schedules, defect logging, evidence pack exports. It’s credible to frame around AS 1851’s inspection/testing/maintenance requirements, and NSW’s published compliance timing makes the need concrete (again: do not provide legal advice; link to official sources).</w:t>
      </w:r>
      <w:r>
        <w:t xml:space="preserve"> </w:t>
      </w:r>
      <w:hyperlink r:id="rId29">
        <w:r>
          <w:rPr>
            <w:rStyle w:val="Hyperlink"/>
          </w:rPr>
          <w:t xml:space="preserve">[9]</w:t>
        </w:r>
      </w:hyperlink>
    </w:p>
    <w:bookmarkEnd w:id="38"/>
    <w:bookmarkStart w:id="39" w:name="Xba785b34c1d6fe2615b1fc44b377372c347194a"/>
    <w:p>
      <w:pPr>
        <w:pStyle w:val="Heading3"/>
      </w:pPr>
      <w:r>
        <w:t xml:space="preserve">Integration products for panels and field systems without implying certification</w:t>
      </w:r>
    </w:p>
    <w:p>
      <w:pPr>
        <w:pStyle w:val="FirstParagraph"/>
      </w:pPr>
      <w:r>
        <w:t xml:space="preserve">Fire panels and emergency systems are regulated and vendor-specific. Your product concept can still be compelling if you position it as</w:t>
      </w:r>
      <w:r>
        <w:t xml:space="preserve"> </w:t>
      </w:r>
      <w:r>
        <w:rPr>
          <w:b/>
          <w:bCs/>
        </w:rPr>
        <w:t xml:space="preserve">observability and workflow tooling around certified equipment</w:t>
      </w:r>
      <w:r>
        <w:t xml:space="preserve">, not replacement life safety equipment:</w:t>
      </w:r>
    </w:p>
    <w:p>
      <w:pPr>
        <w:pStyle w:val="BodyText"/>
      </w:pPr>
      <w:r>
        <w:rPr>
          <w:b/>
          <w:bCs/>
        </w:rPr>
        <w:t xml:space="preserve">Verex PanelBridge (Edge Gateway Prototype)</w:t>
      </w:r>
      <w:r>
        <w:br/>
      </w:r>
      <w:r>
        <w:t xml:space="preserve">A secure edge gateway that ingests</w:t>
      </w:r>
      <w:r>
        <w:t xml:space="preserve"> </w:t>
      </w:r>
      <w:r>
        <w:rPr>
          <w:i/>
          <w:iCs/>
        </w:rPr>
        <w:t xml:space="preserve">read-only</w:t>
      </w:r>
      <w:r>
        <w:t xml:space="preserve"> </w:t>
      </w:r>
      <w:r>
        <w:t xml:space="preserve">events/telemetry from supported control/indicating equipment and pushes to a cloud dashboard for maintenance teams. In copy, explicitly separate it from the certified detection/control path governed by standards like AS 1670.1 / AS 7240.2 / AS 4428.1.</w:t>
      </w:r>
      <w:r>
        <w:t xml:space="preserve"> </w:t>
      </w:r>
      <w:hyperlink r:id="rId25">
        <w:r>
          <w:rPr>
            <w:rStyle w:val="Hyperlink"/>
          </w:rPr>
          <w:t xml:space="preserve">[18]</w:t>
        </w:r>
      </w:hyperlink>
      <w:r>
        <w:br/>
      </w:r>
      <w:r>
        <w:t xml:space="preserve">Demo feature: simulated event stream + “investigation timeline” UI.</w:t>
      </w:r>
    </w:p>
    <w:p>
      <w:pPr>
        <w:pStyle w:val="BodyText"/>
      </w:pPr>
      <w:r>
        <w:rPr>
          <w:b/>
          <w:bCs/>
        </w:rPr>
        <w:t xml:space="preserve">Verex LightNode (Emergency Lighting Test Network Prototype)</w:t>
      </w:r>
      <w:r>
        <w:br/>
      </w:r>
      <w:r>
        <w:t xml:space="preserve">A node-based testing concept is believable because emergency lighting regimes are formalised (AS/NZS 2293.1 context). The product pitch: “automated test orchestration + audit trail + logbook export,” not “we certify compliance.”</w:t>
      </w:r>
      <w:r>
        <w:t xml:space="preserve"> </w:t>
      </w:r>
      <w:hyperlink r:id="rId28">
        <w:r>
          <w:rPr>
            <w:rStyle w:val="Hyperlink"/>
          </w:rPr>
          <w:t xml:space="preserve">[8]</w:t>
        </w:r>
      </w:hyperlink>
      <w:r>
        <w:br/>
      </w:r>
      <w:r>
        <w:t xml:space="preserve">Demo feature: scheduler UI + generated maintenance logbook template.</w:t>
      </w:r>
    </w:p>
    <w:bookmarkEnd w:id="39"/>
    <w:bookmarkStart w:id="40" w:name="what-you-should-not-claim-on-the-site"/>
    <w:p>
      <w:pPr>
        <w:pStyle w:val="Heading3"/>
      </w:pPr>
      <w:r>
        <w:t xml:space="preserve">What you should not claim on the site</w:t>
      </w:r>
    </w:p>
    <w:p>
      <w:pPr>
        <w:pStyle w:val="FirstParagraph"/>
      </w:pPr>
      <w:r>
        <w:t xml:space="preserve">Avoid these unless you have proof:</w:t>
      </w:r>
    </w:p>
    <w:p>
      <w:pPr>
        <w:pStyle w:val="Compact"/>
        <w:numPr>
          <w:ilvl w:val="0"/>
          <w:numId w:val="1009"/>
        </w:numPr>
      </w:pPr>
      <w:r>
        <w:t xml:space="preserve">“Certified to AS ____” (unless you have an actual certificate/test report).</w:t>
      </w:r>
    </w:p>
    <w:p>
      <w:pPr>
        <w:pStyle w:val="Compact"/>
        <w:numPr>
          <w:ilvl w:val="0"/>
          <w:numId w:val="1009"/>
        </w:numPr>
      </w:pPr>
      <w:r>
        <w:t xml:space="preserve">“Listed/approved by ____” (e.g., ActivFire, CodeMark, WaterMark) without documentation.</w:t>
      </w:r>
    </w:p>
    <w:p>
      <w:pPr>
        <w:pStyle w:val="Compact"/>
        <w:numPr>
          <w:ilvl w:val="0"/>
          <w:numId w:val="1009"/>
        </w:numPr>
      </w:pPr>
      <w:r>
        <w:t xml:space="preserve">“Used by ____” (unless you have explicit permission and a real relationship).</w:t>
      </w:r>
    </w:p>
    <w:p>
      <w:pPr>
        <w:pStyle w:val="Compact"/>
        <w:numPr>
          <w:ilvl w:val="0"/>
          <w:numId w:val="1009"/>
        </w:numPr>
      </w:pPr>
      <w:r>
        <w:t xml:space="preserve">Any specific performance outcomes (“reduces fatalities by X%”) unless it’s sourced and context-correct.</w:t>
      </w:r>
    </w:p>
    <w:p>
      <w:pPr>
        <w:pStyle w:val="FirstParagraph"/>
      </w:pPr>
      <w:r>
        <w:t xml:space="preserve">This aligns with how real guidelines and modelling tool docs emphasise limitations, competence, and responsibility.</w:t>
      </w:r>
      <w:r>
        <w:t xml:space="preserve"> </w:t>
      </w:r>
      <w:hyperlink r:id="rId21">
        <w:r>
          <w:rPr>
            <w:rStyle w:val="Hyperlink"/>
          </w:rPr>
          <w:t xml:space="preserve">[15]</w:t>
        </w:r>
      </w:hyperlink>
    </w:p>
    <w:bookmarkEnd w:id="40"/>
    <w:bookmarkEnd w:id="41"/>
    <w:bookmarkStart w:id="51" w:name="Xc0bf80fa01a30b358b4c33c14944dc007217ab9"/>
    <w:p>
      <w:pPr>
        <w:pStyle w:val="Heading2"/>
      </w:pPr>
      <w:r>
        <w:t xml:space="preserve">Design inspiration and UX direction for a “best-in-class” modern site</w:t>
      </w:r>
    </w:p>
    <w:bookmarkStart w:id="45" w:name="where-to-source-cutting-edge-inspiration"/>
    <w:p>
      <w:pPr>
        <w:pStyle w:val="Heading3"/>
      </w:pPr>
      <w:r>
        <w:t xml:space="preserve">Where to source cutting-edge inspiration</w:t>
      </w:r>
    </w:p>
    <w:p>
      <w:pPr>
        <w:pStyle w:val="FirstParagraph"/>
      </w:pPr>
      <w:r>
        <w:t xml:space="preserve">Use these as your “reference galleries” while designing:</w:t>
      </w:r>
    </w:p>
    <w:p>
      <w:pPr>
        <w:pStyle w:val="Compact"/>
        <w:numPr>
          <w:ilvl w:val="0"/>
          <w:numId w:val="1010"/>
        </w:numPr>
      </w:pPr>
      <w:r>
        <w:rPr>
          <w:b/>
          <w:bCs/>
        </w:rPr>
        <w:t xml:space="preserve">Awwwards</w:t>
      </w:r>
      <w:r>
        <w:t xml:space="preserve"> </w:t>
      </w:r>
      <w:r>
        <w:t xml:space="preserve">explicitly positions itself as awards recognizing top web designers/developers and is a reliable source of modern patterns.</w:t>
      </w:r>
      <w:r>
        <w:t xml:space="preserve"> </w:t>
      </w:r>
      <w:hyperlink r:id="rId42">
        <w:r>
          <w:rPr>
            <w:rStyle w:val="Hyperlink"/>
          </w:rPr>
          <w:t xml:space="preserve">[19]</w:t>
        </w:r>
      </w:hyperlink>
    </w:p>
    <w:p>
      <w:pPr>
        <w:pStyle w:val="Compact"/>
        <w:numPr>
          <w:ilvl w:val="0"/>
          <w:numId w:val="1010"/>
        </w:numPr>
      </w:pPr>
      <w:r>
        <w:rPr>
          <w:b/>
          <w:bCs/>
        </w:rPr>
        <w:t xml:space="preserve">Godly</w:t>
      </w:r>
      <w:r>
        <w:t xml:space="preserve"> </w:t>
      </w:r>
      <w:r>
        <w:t xml:space="preserve">is a curated gallery of high-quality sites focused on standout visuals/interactions.</w:t>
      </w:r>
      <w:r>
        <w:t xml:space="preserve"> </w:t>
      </w:r>
      <w:hyperlink r:id="rId43">
        <w:r>
          <w:rPr>
            <w:rStyle w:val="Hyperlink"/>
          </w:rPr>
          <w:t xml:space="preserve">[20]</w:t>
        </w:r>
      </w:hyperlink>
    </w:p>
    <w:p>
      <w:pPr>
        <w:pStyle w:val="Compact"/>
        <w:numPr>
          <w:ilvl w:val="0"/>
          <w:numId w:val="1010"/>
        </w:numPr>
      </w:pPr>
      <w:r>
        <w:rPr>
          <w:b/>
          <w:bCs/>
        </w:rPr>
        <w:t xml:space="preserve">SiteInspire</w:t>
      </w:r>
      <w:r>
        <w:t xml:space="preserve"> </w:t>
      </w:r>
      <w:r>
        <w:t xml:space="preserve">is a long-running curated showcase of quality web design and is great for finding typographic systems and layout discipline.</w:t>
      </w:r>
      <w:r>
        <w:t xml:space="preserve"> </w:t>
      </w:r>
      <w:hyperlink r:id="rId44">
        <w:r>
          <w:rPr>
            <w:rStyle w:val="Hyperlink"/>
          </w:rPr>
          <w:t xml:space="preserve">[21]</w:t>
        </w:r>
      </w:hyperlink>
    </w:p>
    <w:bookmarkEnd w:id="45"/>
    <w:bookmarkStart w:id="48" w:name="the-aesthetic-your-brief-implies"/>
    <w:p>
      <w:pPr>
        <w:pStyle w:val="Heading3"/>
      </w:pPr>
      <w:r>
        <w:t xml:space="preserve">The aesthetic your brief implies</w:t>
      </w:r>
    </w:p>
    <w:p>
      <w:pPr>
        <w:pStyle w:val="FirstParagraph"/>
      </w:pPr>
      <w:r>
        <w:t xml:space="preserve">You want “fire engineering + AI + enterprise.” The safest “amazing” direction is</w:t>
      </w:r>
      <w:r>
        <w:t xml:space="preserve"> </w:t>
      </w:r>
      <w:r>
        <w:rPr>
          <w:b/>
          <w:bCs/>
        </w:rPr>
        <w:t xml:space="preserve">premium SaaS minimalism + technical diagrams</w:t>
      </w:r>
      <w:r>
        <w:t xml:space="preserve">, not “flame GIFs.” Borrow patterns commonly discussed under the “Linear look” umbrella: bento grids, clean typography, understated gradients/glows, and product screenshots instead of stock photos.</w:t>
      </w:r>
      <w:r>
        <w:t xml:space="preserve"> </w:t>
      </w:r>
      <w:hyperlink r:id="rId46">
        <w:r>
          <w:rPr>
            <w:rStyle w:val="Hyperlink"/>
          </w:rPr>
          <w:t xml:space="preserve">[22]</w:t>
        </w:r>
      </w:hyperlink>
    </w:p>
    <w:p>
      <w:pPr>
        <w:pStyle w:val="BodyText"/>
      </w:pPr>
      <w:r>
        <w:t xml:space="preserve">A bento-grid-heavy homepage is defensible because the pattern is widely discussed as a modern modular layout popularized by Apple and adopted broadly across SaaS marketing sites.</w:t>
      </w:r>
      <w:r>
        <w:t xml:space="preserve"> </w:t>
      </w:r>
      <w:hyperlink r:id="rId47">
        <w:r>
          <w:rPr>
            <w:rStyle w:val="Hyperlink"/>
          </w:rPr>
          <w:t xml:space="preserve">[23]</w:t>
        </w:r>
      </w:hyperlink>
    </w:p>
    <w:bookmarkEnd w:id="48"/>
    <w:bookmarkStart w:id="50" w:name="recommended-ui-build-approach"/>
    <w:p>
      <w:pPr>
        <w:pStyle w:val="Heading3"/>
      </w:pPr>
      <w:r>
        <w:t xml:space="preserve">Recommended UI build approach</w:t>
      </w:r>
    </w:p>
    <w:p>
      <w:pPr>
        <w:pStyle w:val="FirstParagraph"/>
      </w:pPr>
      <w:r>
        <w:t xml:space="preserve">For “looks incredible fast,” you want a design system that supports accessibility and polish:</w:t>
      </w:r>
    </w:p>
    <w:p>
      <w:pPr>
        <w:pStyle w:val="Compact"/>
        <w:numPr>
          <w:ilvl w:val="0"/>
          <w:numId w:val="1011"/>
        </w:numPr>
      </w:pPr>
      <w:r>
        <w:rPr>
          <w:b/>
          <w:bCs/>
        </w:rPr>
        <w:t xml:space="preserve">shadcn/ui</w:t>
      </w:r>
      <w:r>
        <w:t xml:space="preserve"> </w:t>
      </w:r>
      <w:r>
        <w:t xml:space="preserve">positions itself as “beautifully-designed, accessible components” you add to your project (not a closed black box).</w:t>
      </w:r>
      <w:r>
        <w:t xml:space="preserve"> </w:t>
      </w:r>
      <w:hyperlink r:id="rId49">
        <w:r>
          <w:rPr>
            <w:rStyle w:val="Hyperlink"/>
          </w:rPr>
          <w:t xml:space="preserve">[24]</w:t>
        </w:r>
      </w:hyperlink>
    </w:p>
    <w:p>
      <w:pPr>
        <w:pStyle w:val="Compact"/>
        <w:numPr>
          <w:ilvl w:val="0"/>
          <w:numId w:val="1011"/>
        </w:numPr>
      </w:pPr>
      <w:r>
        <w:t xml:space="preserve">Combine with Tailwind and motion sparingly (micro-interactions, not scroll-jank).</w:t>
      </w:r>
    </w:p>
    <w:bookmarkEnd w:id="50"/>
    <w:bookmarkEnd w:id="51"/>
    <w:bookmarkStart w:id="62" w:name="X71858f863826cfd8bfc8b8030019aa87f76a2fb"/>
    <w:p>
      <w:pPr>
        <w:pStyle w:val="Heading2"/>
      </w:pPr>
      <w:r>
        <w:t xml:space="preserve">Full-stack implementation architecture and build decisions</w:t>
      </w:r>
    </w:p>
    <w:bookmarkStart w:id="53" w:name="framework-recommendation"/>
    <w:p>
      <w:pPr>
        <w:pStyle w:val="Heading3"/>
      </w:pPr>
      <w:r>
        <w:t xml:space="preserve">Framework recommendation</w:t>
      </w:r>
    </w:p>
    <w:p>
      <w:pPr>
        <w:pStyle w:val="FirstParagraph"/>
      </w:pPr>
      <w:r>
        <w:t xml:space="preserve">Use</w:t>
      </w:r>
      <w:r>
        <w:t xml:space="preserve"> </w:t>
      </w:r>
      <w:r>
        <w:rPr>
          <w:b/>
          <w:bCs/>
        </w:rPr>
        <w:t xml:space="preserve">Next.js (App Router) + TypeScript</w:t>
      </w:r>
      <w:r>
        <w:t xml:space="preserve">.</w:t>
      </w:r>
    </w:p>
    <w:p>
      <w:pPr>
        <w:pStyle w:val="BodyText"/>
      </w:pPr>
      <w:r>
        <w:t xml:space="preserve">Reasoning: Next’s App Router is designed around React’s modern primitives (Server Components, Suspense, Server Functions) and is well-suited for a hybrid marketing site + interactive calculators + docs portal.</w:t>
      </w:r>
      <w:r>
        <w:t xml:space="preserve"> </w:t>
      </w:r>
      <w:hyperlink r:id="rId52">
        <w:r>
          <w:rPr>
            <w:rStyle w:val="Hyperlink"/>
          </w:rPr>
          <w:t xml:space="preserve">[25]</w:t>
        </w:r>
      </w:hyperlink>
    </w:p>
    <w:p>
      <w:pPr>
        <w:pStyle w:val="BodyText"/>
      </w:pPr>
      <w:r>
        <w:t xml:space="preserve">If you want an alternate format:</w:t>
      </w:r>
      <w:r>
        <w:t xml:space="preserve"> </w:t>
      </w:r>
      <w:r>
        <w:rPr>
          <w:b/>
          <w:bCs/>
        </w:rPr>
        <w:t xml:space="preserve">Astro</w:t>
      </w:r>
      <w:r>
        <w:t xml:space="preserve"> </w:t>
      </w:r>
      <w:r>
        <w:t xml:space="preserve">can outperform for pure marketing pages, but the moment you add authenticated tools/calculators/docs, Next.js is the straight-line choice because it keeps “marketing + app” in one consistent stack.</w:t>
      </w:r>
    </w:p>
    <w:bookmarkEnd w:id="53"/>
    <w:bookmarkStart w:id="54" w:name="X46baa00ca13abd606e03e4dd54c9c2d4dc09b21"/>
    <w:p>
      <w:pPr>
        <w:pStyle w:val="Heading3"/>
      </w:pPr>
      <w:r>
        <w:t xml:space="preserve">Site information architecture that will feel like a real company</w:t>
      </w:r>
    </w:p>
    <w:p>
      <w:pPr>
        <w:pStyle w:val="FirstParagraph"/>
      </w:pPr>
      <w:r>
        <w:t xml:space="preserve">Do not overcomplicate navigation. A believable top-level IA:</w:t>
      </w:r>
    </w:p>
    <w:p>
      <w:pPr>
        <w:pStyle w:val="Compact"/>
        <w:numPr>
          <w:ilvl w:val="0"/>
          <w:numId w:val="1012"/>
        </w:numPr>
      </w:pPr>
      <w:r>
        <w:rPr>
          <w:b/>
          <w:bCs/>
        </w:rPr>
        <w:t xml:space="preserve">Home</w:t>
      </w:r>
    </w:p>
    <w:p>
      <w:pPr>
        <w:pStyle w:val="Compact"/>
        <w:numPr>
          <w:ilvl w:val="0"/>
          <w:numId w:val="1012"/>
        </w:numPr>
      </w:pPr>
      <w:r>
        <w:rPr>
          <w:b/>
          <w:bCs/>
        </w:rPr>
        <w:t xml:space="preserve">Products</w:t>
      </w:r>
      <w:r>
        <w:t xml:space="preserve"> </w:t>
      </w:r>
      <w:r>
        <w:t xml:space="preserve">(overview)</w:t>
      </w:r>
    </w:p>
    <w:p>
      <w:pPr>
        <w:pStyle w:val="Compact"/>
        <w:numPr>
          <w:ilvl w:val="0"/>
          <w:numId w:val="1012"/>
        </w:numPr>
      </w:pPr>
      <w:r>
        <w:t xml:space="preserve">Smoke Studio</w:t>
      </w:r>
    </w:p>
    <w:p>
      <w:pPr>
        <w:pStyle w:val="Compact"/>
        <w:numPr>
          <w:ilvl w:val="0"/>
          <w:numId w:val="1012"/>
        </w:numPr>
      </w:pPr>
      <w:r>
        <w:t xml:space="preserve">Egress Studio</w:t>
      </w:r>
    </w:p>
    <w:p>
      <w:pPr>
        <w:pStyle w:val="Compact"/>
        <w:numPr>
          <w:ilvl w:val="0"/>
          <w:numId w:val="1012"/>
        </w:numPr>
      </w:pPr>
      <w:r>
        <w:t xml:space="preserve">Design Fire Builder</w:t>
      </w:r>
    </w:p>
    <w:p>
      <w:pPr>
        <w:pStyle w:val="Compact"/>
        <w:numPr>
          <w:ilvl w:val="0"/>
          <w:numId w:val="1012"/>
        </w:numPr>
      </w:pPr>
      <w:r>
        <w:t xml:space="preserve">ComplianceOps</w:t>
      </w:r>
    </w:p>
    <w:p>
      <w:pPr>
        <w:pStyle w:val="Compact"/>
        <w:numPr>
          <w:ilvl w:val="0"/>
          <w:numId w:val="1012"/>
        </w:numPr>
      </w:pPr>
      <w:r>
        <w:t xml:space="preserve">PanelBridge (prototype)</w:t>
      </w:r>
    </w:p>
    <w:p>
      <w:pPr>
        <w:pStyle w:val="Compact"/>
        <w:numPr>
          <w:ilvl w:val="0"/>
          <w:numId w:val="1012"/>
        </w:numPr>
      </w:pPr>
      <w:r>
        <w:t xml:space="preserve">LightNode (prototype)</w:t>
      </w:r>
    </w:p>
    <w:p>
      <w:pPr>
        <w:pStyle w:val="Compact"/>
        <w:numPr>
          <w:ilvl w:val="0"/>
          <w:numId w:val="1012"/>
        </w:numPr>
      </w:pPr>
      <w:r>
        <w:rPr>
          <w:b/>
          <w:bCs/>
        </w:rPr>
        <w:t xml:space="preserve">Solutions</w:t>
      </w:r>
    </w:p>
    <w:p>
      <w:pPr>
        <w:pStyle w:val="Compact"/>
        <w:numPr>
          <w:ilvl w:val="0"/>
          <w:numId w:val="1012"/>
        </w:numPr>
      </w:pPr>
      <w:r>
        <w:t xml:space="preserve">Performance-based design workflows (NCC-aligned language)</w:t>
      </w:r>
    </w:p>
    <w:p>
      <w:pPr>
        <w:pStyle w:val="Compact"/>
        <w:numPr>
          <w:ilvl w:val="0"/>
          <w:numId w:val="1012"/>
        </w:numPr>
      </w:pPr>
      <w:r>
        <w:t xml:space="preserve">Commissioning &amp; handover evidence packs</w:t>
      </w:r>
    </w:p>
    <w:p>
      <w:pPr>
        <w:pStyle w:val="Compact"/>
        <w:numPr>
          <w:ilvl w:val="0"/>
          <w:numId w:val="1012"/>
        </w:numPr>
      </w:pPr>
      <w:r>
        <w:t xml:space="preserve">Maintenance &amp; compliance operations</w:t>
      </w:r>
    </w:p>
    <w:p>
      <w:pPr>
        <w:pStyle w:val="Compact"/>
        <w:numPr>
          <w:ilvl w:val="0"/>
          <w:numId w:val="1012"/>
        </w:numPr>
      </w:pPr>
      <w:r>
        <w:rPr>
          <w:b/>
          <w:bCs/>
        </w:rPr>
        <w:t xml:space="preserve">Resources</w:t>
      </w:r>
    </w:p>
    <w:p>
      <w:pPr>
        <w:pStyle w:val="Compact"/>
        <w:numPr>
          <w:ilvl w:val="0"/>
          <w:numId w:val="1012"/>
        </w:numPr>
      </w:pPr>
      <w:r>
        <w:t xml:space="preserve">Docs (MDX)</w:t>
      </w:r>
    </w:p>
    <w:p>
      <w:pPr>
        <w:pStyle w:val="Compact"/>
        <w:numPr>
          <w:ilvl w:val="0"/>
          <w:numId w:val="1012"/>
        </w:numPr>
      </w:pPr>
      <w:r>
        <w:t xml:space="preserve">Calculators / Sandbox (interactive)</w:t>
      </w:r>
    </w:p>
    <w:p>
      <w:pPr>
        <w:pStyle w:val="Compact"/>
        <w:numPr>
          <w:ilvl w:val="0"/>
          <w:numId w:val="1012"/>
        </w:numPr>
      </w:pPr>
      <w:r>
        <w:t xml:space="preserve">Knowledge base (articles with diagrams)</w:t>
      </w:r>
    </w:p>
    <w:p>
      <w:pPr>
        <w:pStyle w:val="Compact"/>
        <w:numPr>
          <w:ilvl w:val="0"/>
          <w:numId w:val="1012"/>
        </w:numPr>
      </w:pPr>
      <w:r>
        <w:rPr>
          <w:b/>
          <w:bCs/>
        </w:rPr>
        <w:t xml:space="preserve">Company</w:t>
      </w:r>
    </w:p>
    <w:p>
      <w:pPr>
        <w:pStyle w:val="Compact"/>
        <w:numPr>
          <w:ilvl w:val="0"/>
          <w:numId w:val="1012"/>
        </w:numPr>
      </w:pPr>
      <w:r>
        <w:t xml:space="preserve">About (no fake history; keep it values/mission)</w:t>
      </w:r>
    </w:p>
    <w:p>
      <w:pPr>
        <w:pStyle w:val="Compact"/>
        <w:numPr>
          <w:ilvl w:val="0"/>
          <w:numId w:val="1012"/>
        </w:numPr>
      </w:pPr>
      <w:r>
        <w:t xml:space="preserve">Security (threat model + practices)</w:t>
      </w:r>
    </w:p>
    <w:p>
      <w:pPr>
        <w:pStyle w:val="Compact"/>
        <w:numPr>
          <w:ilvl w:val="0"/>
          <w:numId w:val="1012"/>
        </w:numPr>
      </w:pPr>
      <w:r>
        <w:t xml:space="preserve">Contact (no fake addresses)</w:t>
      </w:r>
    </w:p>
    <w:p>
      <w:pPr>
        <w:pStyle w:val="Compact"/>
        <w:numPr>
          <w:ilvl w:val="0"/>
          <w:numId w:val="1012"/>
        </w:numPr>
      </w:pPr>
      <w:r>
        <w:t xml:space="preserve">Legal (terms / privacy)</w:t>
      </w:r>
    </w:p>
    <w:bookmarkEnd w:id="54"/>
    <w:bookmarkStart w:id="55" w:name="Xdcdf5093618fe1db75a5b411f920e571088a294"/>
    <w:p>
      <w:pPr>
        <w:pStyle w:val="Heading3"/>
      </w:pPr>
      <w:r>
        <w:t xml:space="preserve">What to implement so the site isn’t just brochureware</w:t>
      </w:r>
    </w:p>
    <w:p>
      <w:pPr>
        <w:pStyle w:val="FirstParagraph"/>
      </w:pPr>
      <w:r>
        <w:t xml:space="preserve">Your “mock” site becomes convincing when it has</w:t>
      </w:r>
      <w:r>
        <w:t xml:space="preserve"> </w:t>
      </w:r>
      <w:r>
        <w:rPr>
          <w:b/>
          <w:bCs/>
        </w:rPr>
        <w:t xml:space="preserve">real interactions</w:t>
      </w:r>
      <w:r>
        <w:t xml:space="preserve">:</w:t>
      </w:r>
    </w:p>
    <w:p>
      <w:pPr>
        <w:pStyle w:val="Compact"/>
        <w:numPr>
          <w:ilvl w:val="0"/>
          <w:numId w:val="1013"/>
        </w:numPr>
      </w:pPr>
      <w:r>
        <w:t xml:space="preserve">Calculators with export (CSV/JSON)</w:t>
      </w:r>
    </w:p>
    <w:p>
      <w:pPr>
        <w:pStyle w:val="Compact"/>
        <w:numPr>
          <w:ilvl w:val="0"/>
          <w:numId w:val="1013"/>
        </w:numPr>
      </w:pPr>
      <w:r>
        <w:t xml:space="preserve">A docs portal with search</w:t>
      </w:r>
    </w:p>
    <w:p>
      <w:pPr>
        <w:pStyle w:val="Compact"/>
        <w:numPr>
          <w:ilvl w:val="0"/>
          <w:numId w:val="1013"/>
        </w:numPr>
      </w:pPr>
      <w:r>
        <w:t xml:space="preserve">A “Request access” flow (stores leads, sends confirmation)</w:t>
      </w:r>
    </w:p>
    <w:p>
      <w:pPr>
        <w:pStyle w:val="Compact"/>
        <w:numPr>
          <w:ilvl w:val="0"/>
          <w:numId w:val="1013"/>
        </w:numPr>
      </w:pPr>
      <w:r>
        <w:t xml:space="preserve">A demo “dashboard” with simulated event data (clearly marked as demo data)</w:t>
      </w:r>
    </w:p>
    <w:bookmarkEnd w:id="55"/>
    <w:bookmarkStart w:id="60" w:name="X54271738027b2d77169cf33521350b2136706d7"/>
    <w:p>
      <w:pPr>
        <w:pStyle w:val="Heading3"/>
      </w:pPr>
      <w:r>
        <w:t xml:space="preserve">Security, privacy, accessibility, and performance must be built-in</w:t>
      </w:r>
    </w:p>
    <w:p>
      <w:pPr>
        <w:pStyle w:val="FirstParagraph"/>
      </w:pPr>
      <w:r>
        <w:t xml:space="preserve">Accessibility: treat</w:t>
      </w:r>
      <w:r>
        <w:t xml:space="preserve"> </w:t>
      </w:r>
      <w:r>
        <w:rPr>
          <w:b/>
          <w:bCs/>
        </w:rPr>
        <w:t xml:space="preserve">WCAG 2.2</w:t>
      </w:r>
      <w:r>
        <w:t xml:space="preserve"> </w:t>
      </w:r>
      <w:r>
        <w:t xml:space="preserve">as the baseline target; W3C published WCAG 2.2 as a W3C Recommendation in Oct 2023.</w:t>
      </w:r>
      <w:r>
        <w:t xml:space="preserve"> </w:t>
      </w:r>
      <w:hyperlink r:id="rId56">
        <w:r>
          <w:rPr>
            <w:rStyle w:val="Hyperlink"/>
          </w:rPr>
          <w:t xml:space="preserve">[26]</w:t>
        </w:r>
      </w:hyperlink>
    </w:p>
    <w:p>
      <w:pPr>
        <w:pStyle w:val="BodyText"/>
      </w:pPr>
      <w:r>
        <w:t xml:space="preserve">Security: align your audit model with</w:t>
      </w:r>
      <w:r>
        <w:t xml:space="preserve"> </w:t>
      </w:r>
      <w:r>
        <w:rPr>
          <w:b/>
          <w:bCs/>
        </w:rPr>
        <w:t xml:space="preserve">OWASP Top 10 (2021)</w:t>
      </w:r>
      <w:r>
        <w:t xml:space="preserve"> </w:t>
      </w:r>
      <w:r>
        <w:t xml:space="preserve">as a general risk baseline.</w:t>
      </w:r>
      <w:r>
        <w:t xml:space="preserve"> </w:t>
      </w:r>
      <w:hyperlink r:id="rId57">
        <w:r>
          <w:rPr>
            <w:rStyle w:val="Hyperlink"/>
          </w:rPr>
          <w:t xml:space="preserve">[27]</w:t>
        </w:r>
      </w:hyperlink>
    </w:p>
    <w:p>
      <w:pPr>
        <w:pStyle w:val="BodyText"/>
      </w:pPr>
      <w:r>
        <w:t xml:space="preserve">Next.js-specific hardening: use official guidance for</w:t>
      </w:r>
      <w:r>
        <w:t xml:space="preserve"> </w:t>
      </w:r>
      <w:r>
        <w:rPr>
          <w:b/>
          <w:bCs/>
        </w:rPr>
        <w:t xml:space="preserve">Content Security Policy</w:t>
      </w:r>
      <w:r>
        <w:t xml:space="preserve"> </w:t>
      </w:r>
      <w:r>
        <w:t xml:space="preserve">and</w:t>
      </w:r>
      <w:r>
        <w:t xml:space="preserve"> </w:t>
      </w:r>
      <w:r>
        <w:rPr>
          <w:b/>
          <w:bCs/>
        </w:rPr>
        <w:t xml:space="preserve">data security considerations</w:t>
      </w:r>
      <w:r>
        <w:t xml:space="preserve"> </w:t>
      </w:r>
      <w:r>
        <w:t xml:space="preserve">(especially around Server Actions exposure and client/server boundaries).</w:t>
      </w:r>
      <w:r>
        <w:t xml:space="preserve"> </w:t>
      </w:r>
      <w:hyperlink r:id="rId58">
        <w:r>
          <w:rPr>
            <w:rStyle w:val="Hyperlink"/>
          </w:rPr>
          <w:t xml:space="preserve">[28]</w:t>
        </w:r>
      </w:hyperlink>
    </w:p>
    <w:p>
      <w:pPr>
        <w:pStyle w:val="BodyText"/>
      </w:pPr>
      <w:r>
        <w:t xml:space="preserve">Performance/SEO auditing: use</w:t>
      </w:r>
      <w:r>
        <w:t xml:space="preserve"> </w:t>
      </w:r>
      <w:r>
        <w:rPr>
          <w:b/>
          <w:bCs/>
        </w:rPr>
        <w:t xml:space="preserve">Google Lighthouse</w:t>
      </w:r>
      <w:r>
        <w:t xml:space="preserve">, which audits performance, accessibility, SEO, and more.</w:t>
      </w:r>
      <w:r>
        <w:t xml:space="preserve"> </w:t>
      </w:r>
      <w:hyperlink r:id="rId59">
        <w:r>
          <w:rPr>
            <w:rStyle w:val="Hyperlink"/>
          </w:rPr>
          <w:t xml:space="preserve">[29]</w:t>
        </w:r>
      </w:hyperlink>
    </w:p>
    <w:bookmarkEnd w:id="60"/>
    <w:bookmarkStart w:id="61" w:name="X619766b6a9ddd04ef2dc007d4fab10329b9fa77"/>
    <w:p>
      <w:pPr>
        <w:pStyle w:val="Heading3"/>
      </w:pPr>
      <w:r>
        <w:t xml:space="preserve">Arch Linux setup assumptions for local dev</w:t>
      </w:r>
    </w:p>
    <w:p>
      <w:pPr>
        <w:pStyle w:val="FirstParagraph"/>
      </w:pPr>
      <w:r>
        <w:t xml:space="preserve">In your Claude Code build instructions, prefer “follow the repo’s engine versions,” but for Arch, the typical baseline will be: Node.js + a package manager (pnpm via corepack), git, and playwright deps if you run e2e tests.</w:t>
      </w:r>
    </w:p>
    <w:bookmarkEnd w:id="61"/>
    <w:bookmarkEnd w:id="62"/>
    <w:bookmarkStart w:id="69" w:name="X49074697d1403a437b0d6794a3508f42b1d3890"/>
    <w:p>
      <w:pPr>
        <w:pStyle w:val="Heading2"/>
      </w:pPr>
      <w:r>
        <w:t xml:space="preserve">Audit and debugging protocol with five independent passes</w:t>
      </w:r>
    </w:p>
    <w:p>
      <w:pPr>
        <w:pStyle w:val="FirstParagraph"/>
      </w:pPr>
      <w:r>
        <w:t xml:space="preserve">This is the internal QA protocol you asked for: five passes with different “mindsets,” different tooling, and explicit artifacts produced each time.</w:t>
      </w:r>
    </w:p>
    <w:bookmarkStart w:id="63" w:name="build-and-type-integrity-pass"/>
    <w:p>
      <w:pPr>
        <w:pStyle w:val="Heading3"/>
      </w:pPr>
      <w:r>
        <w:t xml:space="preserve">Build and type integrity pass</w:t>
      </w:r>
    </w:p>
    <w:p>
      <w:pPr>
        <w:pStyle w:val="FirstParagraph"/>
      </w:pPr>
      <w:r>
        <w:t xml:space="preserve">Goal: eliminate stupid breakage.</w:t>
      </w:r>
    </w:p>
    <w:p>
      <w:pPr>
        <w:pStyle w:val="BodyText"/>
      </w:pPr>
      <w:r>
        <w:t xml:space="preserve">Artifacts:</w:t>
      </w:r>
      <w:r>
        <w:t xml:space="preserve"> </w:t>
      </w:r>
      <w:r>
        <w:t xml:space="preserve">- TypeScript</w:t>
      </w:r>
      <w:r>
        <w:t xml:space="preserve"> </w:t>
      </w:r>
      <w:r>
        <w:rPr>
          <w:rStyle w:val="VerbatimChar"/>
        </w:rPr>
        <w:t xml:space="preserve">tsc --noEmit</w:t>
      </w:r>
      <w:r>
        <w:t xml:space="preserve"> </w:t>
      </w:r>
      <w:r>
        <w:t xml:space="preserve">clean</w:t>
      </w:r>
      <w:r>
        <w:t xml:space="preserve"> </w:t>
      </w:r>
      <w:r>
        <w:t xml:space="preserve">- ESLint clean</w:t>
      </w:r>
      <w:r>
        <w:t xml:space="preserve"> </w:t>
      </w:r>
      <w:r>
        <w:t xml:space="preserve">- Unit tests (if any) passing</w:t>
      </w:r>
      <w:r>
        <w:t xml:space="preserve"> </w:t>
      </w:r>
      <w:r>
        <w:t xml:space="preserve">- Build succeeds in CI-like mode</w:t>
      </w:r>
    </w:p>
    <w:p>
      <w:pPr>
        <w:pStyle w:val="BodyText"/>
      </w:pPr>
      <w:r>
        <w:t xml:space="preserve">Gates:</w:t>
      </w:r>
      <w:r>
        <w:t xml:space="preserve"> </w:t>
      </w:r>
      <w:r>
        <w:t xml:space="preserve">- No type errors</w:t>
      </w:r>
      <w:r>
        <w:t xml:space="preserve"> </w:t>
      </w:r>
      <w:r>
        <w:t xml:space="preserve">- No failing lint rules that can hide real defects (e.g., unused vars, unsafe any)</w:t>
      </w:r>
    </w:p>
    <w:bookmarkEnd w:id="63"/>
    <w:bookmarkStart w:id="64" w:name="ux-and-accessibility-pass"/>
    <w:p>
      <w:pPr>
        <w:pStyle w:val="Heading3"/>
      </w:pPr>
      <w:r>
        <w:t xml:space="preserve">UX and accessibility pass</w:t>
      </w:r>
    </w:p>
    <w:p>
      <w:pPr>
        <w:pStyle w:val="FirstParagraph"/>
      </w:pPr>
      <w:r>
        <w:t xml:space="preserve">Tooling:</w:t>
      </w:r>
      <w:r>
        <w:t xml:space="preserve"> </w:t>
      </w:r>
      <w:r>
        <w:t xml:space="preserve">- Lighthouse accessibility audit (quick baseline)</w:t>
      </w:r>
      <w:r>
        <w:t xml:space="preserve"> </w:t>
      </w:r>
      <w:hyperlink r:id="rId59">
        <w:r>
          <w:rPr>
            <w:rStyle w:val="Hyperlink"/>
          </w:rPr>
          <w:t xml:space="preserve">[29]</w:t>
        </w:r>
      </w:hyperlink>
      <w:r>
        <w:t xml:space="preserve"> </w:t>
      </w:r>
      <w:r>
        <w:t xml:space="preserve">- Manual keyboard navigation + focus visibility checks (WCAG-aligned)</w:t>
      </w:r>
      <w:r>
        <w:t xml:space="preserve"> </w:t>
      </w:r>
      <w:hyperlink r:id="rId56">
        <w:r>
          <w:rPr>
            <w:rStyle w:val="Hyperlink"/>
          </w:rPr>
          <w:t xml:space="preserve">[26]</w:t>
        </w:r>
      </w:hyperlink>
    </w:p>
    <w:p>
      <w:pPr>
        <w:pStyle w:val="BodyText"/>
      </w:pPr>
      <w:r>
        <w:t xml:space="preserve">Gates:</w:t>
      </w:r>
      <w:r>
        <w:t xml:space="preserve"> </w:t>
      </w:r>
      <w:r>
        <w:t xml:space="preserve">- All pages usable without mouse</w:t>
      </w:r>
      <w:r>
        <w:t xml:space="preserve"> </w:t>
      </w:r>
      <w:r>
        <w:t xml:space="preserve">- Form errors are announced and visible</w:t>
      </w:r>
      <w:r>
        <w:t xml:space="preserve"> </w:t>
      </w:r>
      <w:r>
        <w:t xml:space="preserve">- Color contrast and focus states are clear</w:t>
      </w:r>
      <w:r>
        <w:t xml:space="preserve"> </w:t>
      </w:r>
      <w:r>
        <w:t xml:space="preserve">- Motion has “reduced motion” fallback</w:t>
      </w:r>
    </w:p>
    <w:bookmarkEnd w:id="64"/>
    <w:bookmarkStart w:id="65" w:name="content-truthfulness-and-safety-pass"/>
    <w:p>
      <w:pPr>
        <w:pStyle w:val="Heading3"/>
      </w:pPr>
      <w:r>
        <w:t xml:space="preserve">Content truthfulness and safety pass</w:t>
      </w:r>
    </w:p>
    <w:p>
      <w:pPr>
        <w:pStyle w:val="FirstParagraph"/>
      </w:pPr>
      <w:r>
        <w:t xml:space="preserve">This is the pass that enforces your “no fake stuff” rule.</w:t>
      </w:r>
    </w:p>
    <w:p>
      <w:pPr>
        <w:pStyle w:val="BodyText"/>
      </w:pPr>
      <w:r>
        <w:t xml:space="preserve">Checks:</w:t>
      </w:r>
      <w:r>
        <w:t xml:space="preserve"> </w:t>
      </w:r>
      <w:r>
        <w:t xml:space="preserve">- No testimonials section unless you have real, attributable quotes</w:t>
      </w:r>
      <w:r>
        <w:t xml:space="preserve"> </w:t>
      </w:r>
      <w:r>
        <w:t xml:space="preserve">- No invented addresses, phone numbers, client logos, certifications</w:t>
      </w:r>
      <w:r>
        <w:t xml:space="preserve"> </w:t>
      </w:r>
      <w:r>
        <w:t xml:space="preserve">- No claims of standards compliance (AS/NZS, NCC) unless phrased as “aligned to/supports workflows”</w:t>
      </w:r>
      <w:r>
        <w:t xml:space="preserve"> </w:t>
      </w:r>
      <w:r>
        <w:t xml:space="preserve">- Calculators are labeled</w:t>
      </w:r>
      <w:r>
        <w:t xml:space="preserve"> </w:t>
      </w:r>
      <w:r>
        <w:rPr>
          <w:b/>
          <w:bCs/>
        </w:rPr>
        <w:t xml:space="preserve">“for demonstration/estimation; not a substitute for competent fire engineering judgment”</w:t>
      </w:r>
      <w:r>
        <w:t xml:space="preserve"> </w:t>
      </w:r>
      <w:r>
        <w:t xml:space="preserve">consistent with how guidance/docs warn about misuse</w:t>
      </w:r>
      <w:r>
        <w:t xml:space="preserve"> </w:t>
      </w:r>
      <w:hyperlink r:id="rId21">
        <w:r>
          <w:rPr>
            <w:rStyle w:val="Hyperlink"/>
          </w:rPr>
          <w:t xml:space="preserve">[15]</w:t>
        </w:r>
      </w:hyperlink>
    </w:p>
    <w:p>
      <w:pPr>
        <w:pStyle w:val="BodyText"/>
      </w:pPr>
      <w:r>
        <w:t xml:space="preserve">Artifact:</w:t>
      </w:r>
      <w:r>
        <w:t xml:space="preserve"> </w:t>
      </w:r>
      <w:r>
        <w:t xml:space="preserve">- A content compliance checklist signed off (even if that’s just a markdown file in repo)</w:t>
      </w:r>
    </w:p>
    <w:bookmarkEnd w:id="65"/>
    <w:bookmarkStart w:id="67" w:name="security-and-data-handling-pass"/>
    <w:p>
      <w:pPr>
        <w:pStyle w:val="Heading3"/>
      </w:pPr>
      <w:r>
        <w:t xml:space="preserve">Security and data handling pass</w:t>
      </w:r>
    </w:p>
    <w:p>
      <w:pPr>
        <w:pStyle w:val="FirstParagraph"/>
      </w:pPr>
      <w:r>
        <w:t xml:space="preserve">Model:</w:t>
      </w:r>
      <w:r>
        <w:t xml:space="preserve"> </w:t>
      </w:r>
      <w:r>
        <w:t xml:space="preserve">- OWASP Top 10 awareness baseline (injection, broken access control, security misconfig, etc.).</w:t>
      </w:r>
      <w:r>
        <w:t xml:space="preserve"> </w:t>
      </w:r>
      <w:hyperlink r:id="rId57">
        <w:r>
          <w:rPr>
            <w:rStyle w:val="Hyperlink"/>
          </w:rPr>
          <w:t xml:space="preserve">[27]</w:t>
        </w:r>
      </w:hyperlink>
    </w:p>
    <w:p>
      <w:pPr>
        <w:pStyle w:val="BodyText"/>
      </w:pPr>
      <w:r>
        <w:t xml:space="preserve">Implementation checks:</w:t>
      </w:r>
      <w:r>
        <w:t xml:space="preserve"> </w:t>
      </w:r>
      <w:r>
        <w:t xml:space="preserve">- CSP set per Next.js guidance (start conservative; avoid inline scripts)</w:t>
      </w:r>
      <w:r>
        <w:t xml:space="preserve"> </w:t>
      </w:r>
      <w:hyperlink r:id="rId58">
        <w:r>
          <w:rPr>
            <w:rStyle w:val="Hyperlink"/>
          </w:rPr>
          <w:t xml:space="preserve">[30]</w:t>
        </w:r>
      </w:hyperlink>
      <w:r>
        <w:t xml:space="preserve"> </w:t>
      </w:r>
      <w:r>
        <w:t xml:space="preserve">- Server Actions not unintentionally exposed; follow Next.js data-security guidance</w:t>
      </w:r>
      <w:r>
        <w:t xml:space="preserve"> </w:t>
      </w:r>
      <w:hyperlink r:id="rId66">
        <w:r>
          <w:rPr>
            <w:rStyle w:val="Hyperlink"/>
          </w:rPr>
          <w:t xml:space="preserve">[31]</w:t>
        </w:r>
      </w:hyperlink>
      <w:r>
        <w:t xml:space="preserve"> </w:t>
      </w:r>
      <w:r>
        <w:t xml:space="preserve">- Secrets only in env vars; no keys in client bundle</w:t>
      </w:r>
      <w:r>
        <w:t xml:space="preserve"> </w:t>
      </w:r>
      <w:r>
        <w:t xml:space="preserve">- Rate limiting on contact/request access endpoints</w:t>
      </w:r>
      <w:r>
        <w:t xml:space="preserve"> </w:t>
      </w:r>
      <w:r>
        <w:t xml:space="preserve">- Strict input validation (zod)</w:t>
      </w:r>
    </w:p>
    <w:p>
      <w:pPr>
        <w:pStyle w:val="BodyText"/>
      </w:pPr>
      <w:r>
        <w:t xml:space="preserve">Artifacts:</w:t>
      </w:r>
      <w:r>
        <w:t xml:space="preserve"> </w:t>
      </w:r>
      <w:r>
        <w:t xml:space="preserve">-</w:t>
      </w:r>
      <w:r>
        <w:t xml:space="preserve"> </w:t>
      </w:r>
      <w:r>
        <w:rPr>
          <w:rStyle w:val="VerbatimChar"/>
        </w:rPr>
        <w:t xml:space="preserve">SECURITY.md</w:t>
      </w:r>
      <w:r>
        <w:t xml:space="preserve"> </w:t>
      </w:r>
      <w:r>
        <w:t xml:space="preserve">with threat model + mitigations</w:t>
      </w:r>
      <w:r>
        <w:t xml:space="preserve"> </w:t>
      </w:r>
      <w:r>
        <w:t xml:space="preserve">- “Security headers snapshot” (documented config)</w:t>
      </w:r>
    </w:p>
    <w:bookmarkEnd w:id="67"/>
    <w:bookmarkStart w:id="68" w:name="performance-seo-and-resilience-pass"/>
    <w:p>
      <w:pPr>
        <w:pStyle w:val="Heading3"/>
      </w:pPr>
      <w:r>
        <w:t xml:space="preserve">Performance, SEO, and resilience pass</w:t>
      </w:r>
    </w:p>
    <w:p>
      <w:pPr>
        <w:pStyle w:val="FirstParagraph"/>
      </w:pPr>
      <w:r>
        <w:t xml:space="preserve">Tooling:</w:t>
      </w:r>
      <w:r>
        <w:t xml:space="preserve"> </w:t>
      </w:r>
      <w:r>
        <w:t xml:space="preserve">- Lighthouse performance + SEO audits</w:t>
      </w:r>
      <w:r>
        <w:t xml:space="preserve"> </w:t>
      </w:r>
      <w:hyperlink r:id="rId59">
        <w:r>
          <w:rPr>
            <w:rStyle w:val="Hyperlink"/>
          </w:rPr>
          <w:t xml:space="preserve">[29]</w:t>
        </w:r>
      </w:hyperlink>
    </w:p>
    <w:p>
      <w:pPr>
        <w:pStyle w:val="BodyText"/>
      </w:pPr>
      <w:r>
        <w:t xml:space="preserve">Gates:</w:t>
      </w:r>
      <w:r>
        <w:t xml:space="preserve"> </w:t>
      </w:r>
      <w:r>
        <w:t xml:space="preserve">- No layout shift disasters (CLS)</w:t>
      </w:r>
      <w:r>
        <w:t xml:space="preserve"> </w:t>
      </w:r>
      <w:r>
        <w:t xml:space="preserve">- Reasonable LCP on a mid-tier device simulation</w:t>
      </w:r>
      <w:r>
        <w:t xml:space="preserve"> </w:t>
      </w:r>
      <w:r>
        <w:t xml:space="preserve">- Proper metadata: title, description, OpenGraph, robots</w:t>
      </w:r>
      <w:r>
        <w:t xml:space="preserve"> </w:t>
      </w:r>
      <w:r>
        <w:t xml:space="preserve">- 404/500 routes have polished fallback pages</w:t>
      </w:r>
      <w:r>
        <w:t xml:space="preserve"> </w:t>
      </w:r>
      <w:r>
        <w:t xml:space="preserve">- Calculators work offline-ish (at minimum: no hard dependency on third-party scripts)</w:t>
      </w:r>
    </w:p>
    <w:p>
      <w:pPr>
        <w:pStyle w:val="BodyText"/>
      </w:pPr>
      <w:r>
        <w:t xml:space="preserve">Artifact:</w:t>
      </w:r>
      <w:r>
        <w:t xml:space="preserve"> </w:t>
      </w:r>
      <w:r>
        <w:t xml:space="preserve">- Lighthouse report exports stored in</w:t>
      </w:r>
      <w:r>
        <w:t xml:space="preserve"> </w:t>
      </w:r>
      <w:r>
        <w:rPr>
          <w:rStyle w:val="VerbatimChar"/>
        </w:rPr>
        <w:t xml:space="preserve">/audit/lighthouse/YYYY-MM-DD/</w:t>
      </w:r>
    </w:p>
    <w:bookmarkEnd w:id="68"/>
    <w:bookmarkEnd w:id="69"/>
    <w:bookmarkStart w:id="70" w:name="Xd5ff4cee95ddfc2c3de061f8c0b1fea9187cd23"/>
    <w:p>
      <w:pPr>
        <w:pStyle w:val="Heading2"/>
      </w:pPr>
      <w:r>
        <w:t xml:space="preserve">Copy-paste Claude Code build specification</w:t>
      </w:r>
    </w:p>
    <w:p>
      <w:pPr>
        <w:pStyle w:val="FirstParagraph"/>
      </w:pPr>
      <w:r>
        <w:t xml:space="preserve">Paste the following into</w:t>
      </w:r>
      <w:r>
        <w:t xml:space="preserve"> </w:t>
      </w:r>
      <w:r>
        <w:rPr>
          <w:b/>
          <w:bCs/>
        </w:rPr>
        <w:t xml:space="preserve">Claude Code</w:t>
      </w:r>
      <w:r>
        <w:t xml:space="preserve"> </w:t>
      </w:r>
      <w:r>
        <w:t xml:space="preserve">(terminal agent). It is written as a “build contract”: what to create, what not to create, and how to verify.</w:t>
      </w:r>
    </w:p>
    <w:p>
      <w:pPr>
        <w:pStyle w:val="SourceCode"/>
      </w:pPr>
      <w:r>
        <w:rPr>
          <w:rStyle w:val="VerbatimChar"/>
        </w:rPr>
        <w:t xml:space="preserve">You are Claude Code acting as:</w:t>
      </w:r>
      <w:r>
        <w:br/>
      </w:r>
      <w:r>
        <w:rPr>
          <w:rStyle w:val="VerbatimChar"/>
        </w:rPr>
        <w:t xml:space="preserve">- Principal full-stack engineer (Next.js App Router + TypeScript) AND senior frontend designer.</w:t>
      </w:r>
      <w:r>
        <w:br/>
      </w:r>
      <w:r>
        <w:rPr>
          <w:rStyle w:val="VerbatimChar"/>
        </w:rPr>
        <w:t xml:space="preserve">- Domain context: Australian fire safety &amp; fire engineering workflows.</w:t>
      </w:r>
      <w:r>
        <w:br/>
      </w:r>
      <w:r>
        <w:rPr>
          <w:rStyle w:val="VerbatimChar"/>
        </w:rPr>
        <w:t xml:space="preserve">- Priority order: (1) truthfulness / non-deceptive content, (2) UX polish, (3) performance, (4) security, (5) dev ergonomics.</w:t>
      </w:r>
      <w:r>
        <w:br/>
      </w:r>
      <w:r>
        <w:br/>
      </w:r>
      <w:r>
        <w:rPr>
          <w:rStyle w:val="VerbatimChar"/>
        </w:rPr>
        <w:t xml:space="preserve">PROJECT:</w:t>
      </w:r>
      <w:r>
        <w:br/>
      </w:r>
      <w:r>
        <w:rPr>
          <w:rStyle w:val="VerbatimChar"/>
        </w:rPr>
        <w:t xml:space="preserve">Build a production-quality, design-forward website for a mock company: "Verex Fire".</w:t>
      </w:r>
      <w:r>
        <w:br/>
      </w:r>
      <w:r>
        <w:rPr>
          <w:rStyle w:val="VerbatimChar"/>
        </w:rPr>
        <w:t xml:space="preserve">Verex Fire sells AI-enabled software and integration products for fire engineering and fire system operations (Australia context).</w:t>
      </w:r>
      <w:r>
        <w:br/>
      </w:r>
      <w:r>
        <w:br/>
      </w:r>
      <w:r>
        <w:rPr>
          <w:rStyle w:val="VerbatimChar"/>
        </w:rPr>
        <w:t xml:space="preserve">ABSOLUTE CONSTRAINTS (DO NOT VIOLATE):</w:t>
      </w:r>
      <w:r>
        <w:br/>
      </w:r>
      <w:r>
        <w:rPr>
          <w:rStyle w:val="VerbatimChar"/>
        </w:rPr>
        <w:t xml:space="preserve">- Do NOT invent testimonials, reviews, customer quotes, client logos, partner logos, case studies, award badges, certifications, or approvals.</w:t>
      </w:r>
      <w:r>
        <w:br/>
      </w:r>
      <w:r>
        <w:rPr>
          <w:rStyle w:val="VerbatimChar"/>
        </w:rPr>
        <w:t xml:space="preserve">- Do NOT invent addresses, office locations, or phone numbers. OK: contact form + email placeholder like "contact@verexfire.example" OR require user to provide real email.</w:t>
      </w:r>
      <w:r>
        <w:br/>
      </w:r>
      <w:r>
        <w:rPr>
          <w:rStyle w:val="VerbatimChar"/>
        </w:rPr>
        <w:t xml:space="preserve">- Do NOT claim compliance with any AS/NZS standard or NCC requirements. You MAY say: "supports workflows aligned with NCC / AFEG" and "designed to fit Australian fire engineering practice", but never "certified", "approved", "compliant".</w:t>
      </w:r>
      <w:r>
        <w:br/>
      </w:r>
      <w:r>
        <w:rPr>
          <w:rStyle w:val="VerbatimChar"/>
        </w:rPr>
        <w:t xml:space="preserve">- Any calculators/demos must be labeled: "For demonstration/estimation only. Not a substitute for competent professional fire engineering judgment."</w:t>
      </w:r>
      <w:r>
        <w:br/>
      </w:r>
      <w:r>
        <w:br/>
      </w:r>
      <w:r>
        <w:rPr>
          <w:rStyle w:val="VerbatimChar"/>
        </w:rPr>
        <w:t xml:space="preserve">TECH STACK:</w:t>
      </w:r>
      <w:r>
        <w:br/>
      </w:r>
      <w:r>
        <w:rPr>
          <w:rStyle w:val="VerbatimChar"/>
        </w:rPr>
        <w:t xml:space="preserve">- Next.js (App Router) + TypeScript</w:t>
      </w:r>
      <w:r>
        <w:br/>
      </w:r>
      <w:r>
        <w:rPr>
          <w:rStyle w:val="VerbatimChar"/>
        </w:rPr>
        <w:t xml:space="preserve">- TailwindCSS</w:t>
      </w:r>
      <w:r>
        <w:br/>
      </w:r>
      <w:r>
        <w:rPr>
          <w:rStyle w:val="VerbatimChar"/>
        </w:rPr>
        <w:t xml:space="preserve">- shadcn/ui components (installed into repo; full code ownership)</w:t>
      </w:r>
      <w:r>
        <w:br/>
      </w:r>
      <w:r>
        <w:rPr>
          <w:rStyle w:val="VerbatimChar"/>
        </w:rPr>
        <w:t xml:space="preserve">- Framer Motion (subtle micro-interactions; obey prefers-reduced-motion)</w:t>
      </w:r>
      <w:r>
        <w:br/>
      </w:r>
      <w:r>
        <w:rPr>
          <w:rStyle w:val="VerbatimChar"/>
        </w:rPr>
        <w:t xml:space="preserve">- MDX for docs/articles (content in repo; no external CMS required)</w:t>
      </w:r>
      <w:r>
        <w:br/>
      </w:r>
      <w:r>
        <w:rPr>
          <w:rStyle w:val="VerbatimChar"/>
        </w:rPr>
        <w:t xml:space="preserve">- Zod for validation</w:t>
      </w:r>
      <w:r>
        <w:br/>
      </w:r>
      <w:r>
        <w:rPr>
          <w:rStyle w:val="VerbatimChar"/>
        </w:rPr>
        <w:t xml:space="preserve">- Playwright for E2E tests (critical flows)</w:t>
      </w:r>
      <w:r>
        <w:br/>
      </w:r>
      <w:r>
        <w:rPr>
          <w:rStyle w:val="VerbatimChar"/>
        </w:rPr>
        <w:t xml:space="preserve">- Optional: SQLite or Postgres only if needed. Prefer no DB for v1; store leads by emailing + optional JSON file write in dev only.</w:t>
      </w:r>
      <w:r>
        <w:br/>
      </w:r>
      <w:r>
        <w:br/>
      </w:r>
      <w:r>
        <w:rPr>
          <w:rStyle w:val="VerbatimChar"/>
        </w:rPr>
        <w:t xml:space="preserve">DESIGN TARGET:</w:t>
      </w:r>
      <w:r>
        <w:br/>
      </w:r>
      <w:r>
        <w:rPr>
          <w:rStyle w:val="VerbatimChar"/>
        </w:rPr>
        <w:t xml:space="preserve">Create a premium SaaS aesthetic (think high-end modern product sites):</w:t>
      </w:r>
      <w:r>
        <w:br/>
      </w:r>
      <w:r>
        <w:rPr>
          <w:rStyle w:val="VerbatimChar"/>
        </w:rPr>
        <w:t xml:space="preserve">- Dark mode default with tasteful gradients/glows (no flame gimmicks).</w:t>
      </w:r>
      <w:r>
        <w:br/>
      </w:r>
      <w:r>
        <w:rPr>
          <w:rStyle w:val="VerbatimChar"/>
        </w:rPr>
        <w:t xml:space="preserve">- Bento grid sections, clean typography, strong spacing.</w:t>
      </w:r>
      <w:r>
        <w:br/>
      </w:r>
      <w:r>
        <w:rPr>
          <w:rStyle w:val="VerbatimChar"/>
        </w:rPr>
        <w:t xml:space="preserve">- Technical “diagram” components (node graphs / system flow) built as SVG/Canvas.</w:t>
      </w:r>
      <w:r>
        <w:br/>
      </w:r>
      <w:r>
        <w:rPr>
          <w:rStyle w:val="VerbatimChar"/>
        </w:rPr>
        <w:t xml:space="preserve">- Crisp motion: hover + section reveal + diagram highlights; no heavy scroll-jank.</w:t>
      </w:r>
      <w:r>
        <w:br/>
      </w:r>
      <w:r>
        <w:br/>
      </w:r>
      <w:r>
        <w:rPr>
          <w:rStyle w:val="VerbatimChar"/>
        </w:rPr>
        <w:t xml:space="preserve">SITE IA (ROUTES):</w:t>
      </w:r>
      <w:r>
        <w:br/>
      </w:r>
      <w:r>
        <w:rPr>
          <w:rStyle w:val="VerbatimChar"/>
        </w:rPr>
        <w:t xml:space="preserve">- / (Home)</w:t>
      </w:r>
      <w:r>
        <w:br/>
      </w:r>
      <w:r>
        <w:rPr>
          <w:rStyle w:val="VerbatimChar"/>
        </w:rPr>
        <w:t xml:space="preserve">- /products (overview)</w:t>
      </w:r>
      <w:r>
        <w:br/>
      </w:r>
      <w:r>
        <w:rPr>
          <w:rStyle w:val="VerbatimChar"/>
        </w:rPr>
        <w:t xml:space="preserve">  - /products/smoke-studio</w:t>
      </w:r>
      <w:r>
        <w:br/>
      </w:r>
      <w:r>
        <w:rPr>
          <w:rStyle w:val="VerbatimChar"/>
        </w:rPr>
        <w:t xml:space="preserve">  - /products/egress-studio</w:t>
      </w:r>
      <w:r>
        <w:br/>
      </w:r>
      <w:r>
        <w:rPr>
          <w:rStyle w:val="VerbatimChar"/>
        </w:rPr>
        <w:t xml:space="preserve">  - /products/design-fire-builder</w:t>
      </w:r>
      <w:r>
        <w:br/>
      </w:r>
      <w:r>
        <w:rPr>
          <w:rStyle w:val="VerbatimChar"/>
        </w:rPr>
        <w:t xml:space="preserve">  - /products/complianceops</w:t>
      </w:r>
      <w:r>
        <w:br/>
      </w:r>
      <w:r>
        <w:rPr>
          <w:rStyle w:val="VerbatimChar"/>
        </w:rPr>
        <w:t xml:space="preserve">  - /products/panelbridge (prototype)</w:t>
      </w:r>
      <w:r>
        <w:br/>
      </w:r>
      <w:r>
        <w:rPr>
          <w:rStyle w:val="VerbatimChar"/>
        </w:rPr>
        <w:t xml:space="preserve">  - /products/lightnode (prototype)</w:t>
      </w:r>
      <w:r>
        <w:br/>
      </w:r>
      <w:r>
        <w:rPr>
          <w:rStyle w:val="VerbatimChar"/>
        </w:rPr>
        <w:t xml:space="preserve">- /solutions</w:t>
      </w:r>
      <w:r>
        <w:br/>
      </w:r>
      <w:r>
        <w:rPr>
          <w:rStyle w:val="VerbatimChar"/>
        </w:rPr>
        <w:t xml:space="preserve">  - /solutions/performance-based-design</w:t>
      </w:r>
      <w:r>
        <w:br/>
      </w:r>
      <w:r>
        <w:rPr>
          <w:rStyle w:val="VerbatimChar"/>
        </w:rPr>
        <w:t xml:space="preserve">  - /solutions/commissioning-handover</w:t>
      </w:r>
      <w:r>
        <w:br/>
      </w:r>
      <w:r>
        <w:rPr>
          <w:rStyle w:val="VerbatimChar"/>
        </w:rPr>
        <w:t xml:space="preserve">  - /solutions/maintenance-operations</w:t>
      </w:r>
      <w:r>
        <w:br/>
      </w:r>
      <w:r>
        <w:rPr>
          <w:rStyle w:val="VerbatimChar"/>
        </w:rPr>
        <w:t xml:space="preserve">- /resources</w:t>
      </w:r>
      <w:r>
        <w:br/>
      </w:r>
      <w:r>
        <w:rPr>
          <w:rStyle w:val="VerbatimChar"/>
        </w:rPr>
        <w:t xml:space="preserve">  - /resources/docs (MDX)</w:t>
      </w:r>
      <w:r>
        <w:br/>
      </w:r>
      <w:r>
        <w:rPr>
          <w:rStyle w:val="VerbatimChar"/>
        </w:rPr>
        <w:t xml:space="preserve">  - /resources/calculators (interactive)</w:t>
      </w:r>
      <w:r>
        <w:br/>
      </w:r>
      <w:r>
        <w:rPr>
          <w:rStyle w:val="VerbatimChar"/>
        </w:rPr>
        <w:t xml:space="preserve">  - /resources/articles (MDX blog)</w:t>
      </w:r>
      <w:r>
        <w:br/>
      </w:r>
      <w:r>
        <w:rPr>
          <w:rStyle w:val="VerbatimChar"/>
        </w:rPr>
        <w:t xml:space="preserve">- /company</w:t>
      </w:r>
      <w:r>
        <w:br/>
      </w:r>
      <w:r>
        <w:rPr>
          <w:rStyle w:val="VerbatimChar"/>
        </w:rPr>
        <w:t xml:space="preserve">  - /company/about</w:t>
      </w:r>
      <w:r>
        <w:br/>
      </w:r>
      <w:r>
        <w:rPr>
          <w:rStyle w:val="VerbatimChar"/>
        </w:rPr>
        <w:t xml:space="preserve">  - /company/security</w:t>
      </w:r>
      <w:r>
        <w:br/>
      </w:r>
      <w:r>
        <w:rPr>
          <w:rStyle w:val="VerbatimChar"/>
        </w:rPr>
        <w:t xml:space="preserve">  - /company/contact</w:t>
      </w:r>
      <w:r>
        <w:br/>
      </w:r>
      <w:r>
        <w:rPr>
          <w:rStyle w:val="VerbatimChar"/>
        </w:rPr>
        <w:t xml:space="preserve">  - /company/legal/privacy</w:t>
      </w:r>
      <w:r>
        <w:br/>
      </w:r>
      <w:r>
        <w:rPr>
          <w:rStyle w:val="VerbatimChar"/>
        </w:rPr>
        <w:t xml:space="preserve">  - /company/legal/terms</w:t>
      </w:r>
      <w:r>
        <w:br/>
      </w:r>
      <w:r>
        <w:br/>
      </w:r>
      <w:r>
        <w:rPr>
          <w:rStyle w:val="VerbatimChar"/>
        </w:rPr>
        <w:t xml:space="preserve">INTERACTIVE FEATURES (MUST IMPLEMENT):</w:t>
      </w:r>
      <w:r>
        <w:br/>
      </w:r>
      <w:r>
        <w:rPr>
          <w:rStyle w:val="VerbatimChar"/>
        </w:rPr>
        <w:t xml:space="preserve">1) Calculators Sandbox page with at least 3 tools:</w:t>
      </w:r>
      <w:r>
        <w:br/>
      </w:r>
      <w:r>
        <w:rPr>
          <w:rStyle w:val="VerbatimChar"/>
        </w:rPr>
        <w:t xml:space="preserve">   A) "t² Design Fire Builder"</w:t>
      </w:r>
      <w:r>
        <w:br/>
      </w:r>
      <w:r>
        <w:rPr>
          <w:rStyle w:val="VerbatimChar"/>
        </w:rPr>
        <w:t xml:space="preserve">      - Implement t-squared HRR curve generator with presets based on NIST CFAST definition:</w:t>
      </w:r>
      <w:r>
        <w:br/>
      </w:r>
      <w:r>
        <w:rPr>
          <w:rStyle w:val="VerbatimChar"/>
        </w:rPr>
        <w:t xml:space="preserve">        slow/medium/fast/ultra-fast defined by time to reach 1054 kW (600/300/150/75 s).</w:t>
      </w:r>
      <w:r>
        <w:br/>
      </w:r>
      <w:r>
        <w:rPr>
          <w:rStyle w:val="VerbatimChar"/>
        </w:rPr>
        <w:t xml:space="preserve">      - Let user set peak HRR and time-to-peak; generate curve; chart it; export CSV.</w:t>
      </w:r>
      <w:r>
        <w:br/>
      </w:r>
      <w:r>
        <w:rPr>
          <w:rStyle w:val="VerbatimChar"/>
        </w:rPr>
        <w:t xml:space="preserve">      - Show the equation and assumptions.</w:t>
      </w:r>
      <w:r>
        <w:br/>
      </w:r>
      <w:r>
        <w:rPr>
          <w:rStyle w:val="VerbatimChar"/>
        </w:rPr>
        <w:t xml:space="preserve">   B) "RSET Builder"</w:t>
      </w:r>
      <w:r>
        <w:br/>
      </w:r>
      <w:r>
        <w:rPr>
          <w:rStyle w:val="VerbatimChar"/>
        </w:rPr>
        <w:t xml:space="preserve">      - Inputs: detection time, pre-movement time, travel time, queue time.</w:t>
      </w:r>
      <w:r>
        <w:br/>
      </w:r>
      <w:r>
        <w:rPr>
          <w:rStyle w:val="VerbatimChar"/>
        </w:rPr>
        <w:t xml:space="preserve">      - Output: total RSET + breakdown + export JSON.</w:t>
      </w:r>
      <w:r>
        <w:br/>
      </w:r>
      <w:r>
        <w:rPr>
          <w:rStyle w:val="VerbatimChar"/>
        </w:rPr>
        <w:t xml:space="preserve">   C) "Tenability Threshold Checker"</w:t>
      </w:r>
      <w:r>
        <w:br/>
      </w:r>
      <w:r>
        <w:rPr>
          <w:rStyle w:val="VerbatimChar"/>
        </w:rPr>
        <w:t xml:space="preserve">      - Inputs: temperature, visibility, CO ppm (user-supplied).</w:t>
      </w:r>
      <w:r>
        <w:br/>
      </w:r>
      <w:r>
        <w:rPr>
          <w:rStyle w:val="VerbatimChar"/>
        </w:rPr>
        <w:t xml:space="preserve">      - Output: compare against user-chosen thresholds (not hard-coded standards). Explain it’s a checker, not a predictor.</w:t>
      </w:r>
      <w:r>
        <w:br/>
      </w:r>
      <w:r>
        <w:br/>
      </w:r>
      <w:r>
        <w:rPr>
          <w:rStyle w:val="VerbatimChar"/>
        </w:rPr>
        <w:t xml:space="preserve">2) Demo Dashboard (no auth required) showing:</w:t>
      </w:r>
      <w:r>
        <w:br/>
      </w:r>
      <w:r>
        <w:rPr>
          <w:rStyle w:val="VerbatimChar"/>
        </w:rPr>
        <w:t xml:space="preserve">   - Simulated "panel/event timeline" stream</w:t>
      </w:r>
      <w:r>
        <w:br/>
      </w:r>
      <w:r>
        <w:rPr>
          <w:rStyle w:val="VerbatimChar"/>
        </w:rPr>
        <w:t xml:space="preserve">   - Filters, search, export</w:t>
      </w:r>
      <w:r>
        <w:br/>
      </w:r>
      <w:r>
        <w:rPr>
          <w:rStyle w:val="VerbatimChar"/>
        </w:rPr>
        <w:t xml:space="preserve">   - A clearly labeled toggle: "Demo data"</w:t>
      </w:r>
      <w:r>
        <w:br/>
      </w:r>
      <w:r>
        <w:br/>
      </w:r>
      <w:r>
        <w:rPr>
          <w:rStyle w:val="VerbatimChar"/>
        </w:rPr>
        <w:t xml:space="preserve">3) Docs portal:</w:t>
      </w:r>
      <w:r>
        <w:br/>
      </w:r>
      <w:r>
        <w:rPr>
          <w:rStyle w:val="VerbatimChar"/>
        </w:rPr>
        <w:t xml:space="preserve">   - MDX docs with sidebar nav + full-text search (client-side index is fine)</w:t>
      </w:r>
      <w:r>
        <w:br/>
      </w:r>
      <w:r>
        <w:rPr>
          <w:rStyle w:val="VerbatimChar"/>
        </w:rPr>
        <w:t xml:space="preserve">   - At least: "Getting Started", "Calculator Methods", "Security Model", "Export Formats"</w:t>
      </w:r>
      <w:r>
        <w:br/>
      </w:r>
      <w:r>
        <w:br/>
      </w:r>
      <w:r>
        <w:rPr>
          <w:rStyle w:val="VerbatimChar"/>
        </w:rPr>
        <w:t xml:space="preserve">CONTENT RULES:</w:t>
      </w:r>
      <w:r>
        <w:br/>
      </w:r>
      <w:r>
        <w:rPr>
          <w:rStyle w:val="VerbatimChar"/>
        </w:rPr>
        <w:t xml:space="preserve">- Write copy as if products are in “preview / early access”.</w:t>
      </w:r>
      <w:r>
        <w:br/>
      </w:r>
      <w:r>
        <w:rPr>
          <w:rStyle w:val="VerbatimChar"/>
        </w:rPr>
        <w:t xml:space="preserve">- No fake social proof. Replace with:</w:t>
      </w:r>
      <w:r>
        <w:br/>
      </w:r>
      <w:r>
        <w:rPr>
          <w:rStyle w:val="VerbatimChar"/>
        </w:rPr>
        <w:t xml:space="preserve">  - "Built for fire engineering teams"</w:t>
      </w:r>
      <w:r>
        <w:br/>
      </w:r>
      <w:r>
        <w:rPr>
          <w:rStyle w:val="VerbatimChar"/>
        </w:rPr>
        <w:t xml:space="preserve">  - "Designed around NCC performance-based workflows" (no compliance claims)</w:t>
      </w:r>
      <w:r>
        <w:br/>
      </w:r>
      <w:r>
        <w:rPr>
          <w:rStyle w:val="VerbatimChar"/>
        </w:rPr>
        <w:t xml:space="preserve">  - "Reference exports for modelling toolchains" (do not claim integration unless we implement export)</w:t>
      </w:r>
      <w:r>
        <w:br/>
      </w:r>
      <w:r>
        <w:rPr>
          <w:rStyle w:val="VerbatimChar"/>
        </w:rPr>
        <w:t xml:space="preserve">- No fake addresses/phone. Contact page should use:</w:t>
      </w:r>
      <w:r>
        <w:br/>
      </w:r>
      <w:r>
        <w:rPr>
          <w:rStyle w:val="VerbatimChar"/>
        </w:rPr>
        <w:t xml:space="preserve">  - A contact form (name, email, message) with spam protection</w:t>
      </w:r>
      <w:r>
        <w:br/>
      </w:r>
      <w:r>
        <w:rPr>
          <w:rStyle w:val="VerbatimChar"/>
        </w:rPr>
        <w:t xml:space="preserve">  - A mailto link or env-provided email</w:t>
      </w:r>
      <w:r>
        <w:br/>
      </w:r>
      <w:r>
        <w:rPr>
          <w:rStyle w:val="VerbatimChar"/>
        </w:rPr>
        <w:t xml:space="preserve">  - Optional region: "Serving Australia &amp; APAC" (no street address)</w:t>
      </w:r>
      <w:r>
        <w:br/>
      </w:r>
      <w:r>
        <w:br/>
      </w:r>
      <w:r>
        <w:rPr>
          <w:rStyle w:val="VerbatimChar"/>
        </w:rPr>
        <w:t xml:space="preserve">SECURITY REQUIREMENTS:</w:t>
      </w:r>
      <w:r>
        <w:br/>
      </w:r>
      <w:r>
        <w:rPr>
          <w:rStyle w:val="VerbatimChar"/>
        </w:rPr>
        <w:t xml:space="preserve">- Add security headers including CSP (prefer nonce-based if needed).</w:t>
      </w:r>
      <w:r>
        <w:br/>
      </w:r>
      <w:r>
        <w:rPr>
          <w:rStyle w:val="VerbatimChar"/>
        </w:rPr>
        <w:t xml:space="preserve">- Validate all form inputs with Zod.</w:t>
      </w:r>
      <w:r>
        <w:br/>
      </w:r>
      <w:r>
        <w:rPr>
          <w:rStyle w:val="VerbatimChar"/>
        </w:rPr>
        <w:t xml:space="preserve">- Add rate limiting to contact endpoint (basic in-memory ok for demo; document caveats).</w:t>
      </w:r>
      <w:r>
        <w:br/>
      </w:r>
      <w:r>
        <w:rPr>
          <w:rStyle w:val="VerbatimChar"/>
        </w:rPr>
        <w:t xml:space="preserve">- Ensure no secrets leak to client bundle.</w:t>
      </w:r>
      <w:r>
        <w:br/>
      </w:r>
      <w:r>
        <w:rPr>
          <w:rStyle w:val="VerbatimChar"/>
        </w:rPr>
        <w:t xml:space="preserve">- Add SECURITY.md and a short threat model.</w:t>
      </w:r>
      <w:r>
        <w:br/>
      </w:r>
      <w:r>
        <w:br/>
      </w:r>
      <w:r>
        <w:rPr>
          <w:rStyle w:val="VerbatimChar"/>
        </w:rPr>
        <w:t xml:space="preserve">ACCESSIBILITY REQUIREMENTS:</w:t>
      </w:r>
      <w:r>
        <w:br/>
      </w:r>
      <w:r>
        <w:rPr>
          <w:rStyle w:val="VerbatimChar"/>
        </w:rPr>
        <w:t xml:space="preserve">- Aim for WCAG 2.2 AA behaviorally:</w:t>
      </w:r>
      <w:r>
        <w:br/>
      </w:r>
      <w:r>
        <w:rPr>
          <w:rStyle w:val="VerbatimChar"/>
        </w:rPr>
        <w:t xml:space="preserve">  - Keyboard navigation works everywhere.</w:t>
      </w:r>
      <w:r>
        <w:br/>
      </w:r>
      <w:r>
        <w:rPr>
          <w:rStyle w:val="VerbatimChar"/>
        </w:rPr>
        <w:t xml:space="preserve">  - Visible focus styles.</w:t>
      </w:r>
      <w:r>
        <w:br/>
      </w:r>
      <w:r>
        <w:rPr>
          <w:rStyle w:val="VerbatimChar"/>
        </w:rPr>
        <w:t xml:space="preserve">  - Reduced motion support.</w:t>
      </w:r>
      <w:r>
        <w:br/>
      </w:r>
      <w:r>
        <w:rPr>
          <w:rStyle w:val="VerbatimChar"/>
        </w:rPr>
        <w:t xml:space="preserve">  - Proper landmarks and headings.</w:t>
      </w:r>
      <w:r>
        <w:br/>
      </w:r>
      <w:r>
        <w:br/>
      </w:r>
      <w:r>
        <w:rPr>
          <w:rStyle w:val="VerbatimChar"/>
        </w:rPr>
        <w:t xml:space="preserve">PERFORMANCE REQUIREMENTS:</w:t>
      </w:r>
      <w:r>
        <w:br/>
      </w:r>
      <w:r>
        <w:rPr>
          <w:rStyle w:val="VerbatimChar"/>
        </w:rPr>
        <w:t xml:space="preserve">- Lighthouse targets (local): Performance &gt;= 90, Accessibility &gt;= 95, SEO &gt;= 90 (best effort).</w:t>
      </w:r>
      <w:r>
        <w:br/>
      </w:r>
      <w:r>
        <w:rPr>
          <w:rStyle w:val="VerbatimChar"/>
        </w:rPr>
        <w:t xml:space="preserve">- Use next/image properly.</w:t>
      </w:r>
      <w:r>
        <w:br/>
      </w:r>
      <w:r>
        <w:rPr>
          <w:rStyle w:val="VerbatimChar"/>
        </w:rPr>
        <w:t xml:space="preserve">- Avoid heavy client bundles in marketing pages (Server Components by default).</w:t>
      </w:r>
      <w:r>
        <w:br/>
      </w:r>
      <w:r>
        <w:br/>
      </w:r>
      <w:r>
        <w:rPr>
          <w:rStyle w:val="VerbatimChar"/>
        </w:rPr>
        <w:t xml:space="preserve">REPO DELIVERABLES:</w:t>
      </w:r>
      <w:r>
        <w:br/>
      </w:r>
      <w:r>
        <w:rPr>
          <w:rStyle w:val="VerbatimChar"/>
        </w:rPr>
        <w:t xml:space="preserve">- README.md with setup, scripts, and audit commands.</w:t>
      </w:r>
      <w:r>
        <w:br/>
      </w:r>
      <w:r>
        <w:rPr>
          <w:rStyle w:val="VerbatimChar"/>
        </w:rPr>
        <w:t xml:space="preserve">- SPEC.md with architecture overview and page map.</w:t>
      </w:r>
      <w:r>
        <w:br/>
      </w:r>
      <w:r>
        <w:rPr>
          <w:rStyle w:val="VerbatimChar"/>
        </w:rPr>
        <w:t xml:space="preserve">- AUDIT_PROTOCOL.md describing the 5-pass audit process and how to generate artifacts.</w:t>
      </w:r>
      <w:r>
        <w:br/>
      </w:r>
      <w:r>
        <w:rPr>
          <w:rStyle w:val="VerbatimChar"/>
        </w:rPr>
        <w:t xml:space="preserve">- /audit folder with placeholders and instructions for Lighthouse reports.</w:t>
      </w:r>
      <w:r>
        <w:br/>
      </w:r>
      <w:r>
        <w:rPr>
          <w:rStyle w:val="VerbatimChar"/>
        </w:rPr>
        <w:t xml:space="preserve">- Playwright E2E tests for:</w:t>
      </w:r>
      <w:r>
        <w:br/>
      </w:r>
      <w:r>
        <w:rPr>
          <w:rStyle w:val="VerbatimChar"/>
        </w:rPr>
        <w:t xml:space="preserve">  - Home loads and nav works</w:t>
      </w:r>
      <w:r>
        <w:br/>
      </w:r>
      <w:r>
        <w:rPr>
          <w:rStyle w:val="VerbatimChar"/>
        </w:rPr>
        <w:t xml:space="preserve">  - Contact form validation works</w:t>
      </w:r>
      <w:r>
        <w:br/>
      </w:r>
      <w:r>
        <w:rPr>
          <w:rStyle w:val="VerbatimChar"/>
        </w:rPr>
        <w:t xml:space="preserve">  - t² calculator produces CSV</w:t>
      </w:r>
      <w:r>
        <w:br/>
      </w:r>
      <w:r>
        <w:rPr>
          <w:rStyle w:val="VerbatimChar"/>
        </w:rPr>
        <w:t xml:space="preserve">  - RSET builder exports JSON</w:t>
      </w:r>
      <w:r>
        <w:br/>
      </w:r>
      <w:r>
        <w:br/>
      </w:r>
      <w:r>
        <w:rPr>
          <w:rStyle w:val="VerbatimChar"/>
        </w:rPr>
        <w:t xml:space="preserve">WORKFLOW:</w:t>
      </w:r>
      <w:r>
        <w:br/>
      </w:r>
      <w:r>
        <w:rPr>
          <w:rStyle w:val="VerbatimChar"/>
        </w:rPr>
        <w:t xml:space="preserve">1) Inspect repo structure (tree, package manager, existing configs). Do not assume tools exist.</w:t>
      </w:r>
      <w:r>
        <w:br/>
      </w:r>
      <w:r>
        <w:rPr>
          <w:rStyle w:val="VerbatimChar"/>
        </w:rPr>
        <w:t xml:space="preserve">2) Propose a minimal diff plan, then implement in increments:</w:t>
      </w:r>
      <w:r>
        <w:br/>
      </w:r>
      <w:r>
        <w:rPr>
          <w:rStyle w:val="VerbatimChar"/>
        </w:rPr>
        <w:t xml:space="preserve">   - Scaffold routes + layout + nav + footer</w:t>
      </w:r>
      <w:r>
        <w:br/>
      </w:r>
      <w:r>
        <w:rPr>
          <w:rStyle w:val="VerbatimChar"/>
        </w:rPr>
        <w:t xml:space="preserve">   - Build design system components</w:t>
      </w:r>
      <w:r>
        <w:br/>
      </w:r>
      <w:r>
        <w:rPr>
          <w:rStyle w:val="VerbatimChar"/>
        </w:rPr>
        <w:t xml:space="preserve">   - Build calculators</w:t>
      </w:r>
      <w:r>
        <w:br/>
      </w:r>
      <w:r>
        <w:rPr>
          <w:rStyle w:val="VerbatimChar"/>
        </w:rPr>
        <w:t xml:space="preserve">   - Build docs system</w:t>
      </w:r>
      <w:r>
        <w:br/>
      </w:r>
      <w:r>
        <w:rPr>
          <w:rStyle w:val="VerbatimChar"/>
        </w:rPr>
        <w:t xml:space="preserve">   - Add security + headers</w:t>
      </w:r>
      <w:r>
        <w:br/>
      </w:r>
      <w:r>
        <w:rPr>
          <w:rStyle w:val="VerbatimChar"/>
        </w:rPr>
        <w:t xml:space="preserve">   - Add tests</w:t>
      </w:r>
      <w:r>
        <w:br/>
      </w:r>
      <w:r>
        <w:rPr>
          <w:rStyle w:val="VerbatimChar"/>
        </w:rPr>
        <w:t xml:space="preserve">   - Run audits and fix failures</w:t>
      </w:r>
      <w:r>
        <w:br/>
      </w:r>
      <w:r>
        <w:rPr>
          <w:rStyle w:val="VerbatimChar"/>
        </w:rPr>
        <w:t xml:space="preserve">3) At each step, run commands and report failures with fixes.</w:t>
      </w:r>
      <w:r>
        <w:br/>
      </w:r>
      <w:r>
        <w:br/>
      </w:r>
      <w:r>
        <w:rPr>
          <w:rStyle w:val="VerbatimChar"/>
        </w:rPr>
        <w:t xml:space="preserve">ARCH LINUX LOCAL DEV NOTES (DOCUMENT IN README):</w:t>
      </w:r>
      <w:r>
        <w:br/>
      </w:r>
      <w:r>
        <w:rPr>
          <w:rStyle w:val="VerbatimChar"/>
        </w:rPr>
        <w:t xml:space="preserve">- Use the repo’s Node engine version if specified.</w:t>
      </w:r>
      <w:r>
        <w:br/>
      </w:r>
      <w:r>
        <w:rPr>
          <w:rStyle w:val="VerbatimChar"/>
        </w:rPr>
        <w:t xml:space="preserve">- Provide pacman install hints for: nodejs npm/pnpm git.</w:t>
      </w:r>
      <w:r>
        <w:br/>
      </w:r>
      <w:r>
        <w:rPr>
          <w:rStyle w:val="VerbatimChar"/>
        </w:rPr>
        <w:t xml:space="preserve">- Provide Playwright dependency hints if needed.</w:t>
      </w:r>
      <w:r>
        <w:br/>
      </w:r>
      <w:r>
        <w:br/>
      </w:r>
      <w:r>
        <w:rPr>
          <w:rStyle w:val="VerbatimChar"/>
        </w:rPr>
        <w:t xml:space="preserve">FINAL ACCEPTANCE CHECKLIST (MUST PASS):</w:t>
      </w:r>
      <w:r>
        <w:br/>
      </w:r>
      <w:r>
        <w:rPr>
          <w:rStyle w:val="VerbatimChar"/>
        </w:rPr>
        <w:t xml:space="preserve">- No fake social proof, no fake address/phone, no fake compliance claims.</w:t>
      </w:r>
      <w:r>
        <w:br/>
      </w:r>
      <w:r>
        <w:rPr>
          <w:rStyle w:val="VerbatimChar"/>
        </w:rPr>
        <w:t xml:space="preserve">- All routes render without console errors.</w:t>
      </w:r>
      <w:r>
        <w:br/>
      </w:r>
      <w:r>
        <w:rPr>
          <w:rStyle w:val="VerbatimChar"/>
        </w:rPr>
        <w:t xml:space="preserve">- Calculators work + export.</w:t>
      </w:r>
      <w:r>
        <w:br/>
      </w:r>
      <w:r>
        <w:rPr>
          <w:rStyle w:val="VerbatimChar"/>
        </w:rPr>
        <w:t xml:space="preserve">- Lighthouse + Playwright runs documented.</w:t>
      </w:r>
      <w:r>
        <w:br/>
      </w:r>
      <w:r>
        <w:rPr>
          <w:rStyle w:val="VerbatimChar"/>
        </w:rPr>
        <w:t xml:space="preserve">- Audit protocol files exist and are actionable.</w:t>
      </w:r>
    </w:p>
    <w:p>
      <w:pPr>
        <w:pStyle w:val="FirstParagraph"/>
      </w:pPr>
      <w:r>
        <w:t xml:space="preserve">This build specification deliberately leans on publicly described modelling concepts (FDS/CFAST/Pathfinder ecosystems) and Australian regulatory framing (NCC/AFEG language) without stepping into fake claims or pretending you have approvals you don’t.</w:t>
      </w:r>
      <w:r>
        <w:t xml:space="preserve"> </w:t>
      </w:r>
      <w:hyperlink r:id="rId32">
        <w:r>
          <w:rPr>
            <w:rStyle w:val="Hyperlink"/>
          </w:rPr>
          <w:t xml:space="preserve">[32]</w:t>
        </w:r>
      </w:hyperlink>
    </w:p>
    <w:bookmarkEnd w:id="70"/>
    <w:bookmarkEnd w:id="71"/>
    <w:bookmarkEnd w:id="72"/>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[15]</w:t>
        </w:r>
      </w:hyperlink>
      <w:r>
        <w:t xml:space="preserve"> </w:t>
      </w:r>
      <w:r>
        <w:t xml:space="preserve">cpd.abcb.gov.au</w:t>
      </w:r>
    </w:p>
    <w:p>
      <w:pPr>
        <w:pStyle w:val="BodyText"/>
      </w:pPr>
      <w:hyperlink r:id="rId21">
        <w:r>
          <w:rPr>
            <w:rStyle w:val="Hyperlink"/>
          </w:rPr>
          <w:t xml:space="preserve">https://cpd.abcb.gov.au/sites/default/files/resources/2022/Handbook-australian-fire-engineering-guideline.pdf</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r>
        <w:t xml:space="preserve">ABCB - National Construction Code | NCC</w:t>
      </w:r>
    </w:p>
    <w:p>
      <w:pPr>
        <w:pStyle w:val="BodyText"/>
      </w:pPr>
      <w:hyperlink r:id="rId22">
        <w:r>
          <w:rPr>
            <w:rStyle w:val="Hyperlink"/>
          </w:rPr>
          <w:t xml:space="preserve">https://ncc.abcb.gov.au/?utm_source=chatgpt.com</w:t>
        </w:r>
      </w:hyperlink>
    </w:p>
    <w:p>
      <w:pPr>
        <w:pStyle w:val="BodyText"/>
      </w:pPr>
      <w:hyperlink r:id="rId25">
        <w:r>
          <w:rPr>
            <w:rStyle w:val="Hyperlink"/>
          </w:rPr>
          <w:t xml:space="preserve">[5]</w:t>
        </w:r>
      </w:hyperlink>
      <w:r>
        <w:t xml:space="preserve"> </w:t>
      </w:r>
      <w:hyperlink r:id="rId25">
        <w:r>
          <w:rPr>
            <w:rStyle w:val="Hyperlink"/>
          </w:rPr>
          <w:t xml:space="preserve">[18]</w:t>
        </w:r>
      </w:hyperlink>
      <w:r>
        <w:t xml:space="preserve"> </w:t>
      </w:r>
      <w:r>
        <w:t xml:space="preserve">https://store.standards.org.au/product/as-1670-1-2018</w:t>
      </w:r>
    </w:p>
    <w:p>
      <w:pPr>
        <w:pStyle w:val="BodyText"/>
      </w:pPr>
      <w:hyperlink r:id="rId25">
        <w:r>
          <w:rPr>
            <w:rStyle w:val="Hyperlink"/>
          </w:rPr>
          <w:t xml:space="preserve">https://store.standards.org.au/product/as-1670-1-2018</w:t>
        </w:r>
      </w:hyperlink>
    </w:p>
    <w:p>
      <w:pPr>
        <w:pStyle w:val="BodyText"/>
      </w:pPr>
      <w:hyperlink r:id="rId26">
        <w:r>
          <w:rPr>
            <w:rStyle w:val="Hyperlink"/>
          </w:rPr>
          <w:t xml:space="preserve">[6]</w:t>
        </w:r>
      </w:hyperlink>
      <w:r>
        <w:t xml:space="preserve"> </w:t>
      </w:r>
      <w:r>
        <w:t xml:space="preserve">https://codehub.building.govt.nz/resources/as-4428-1-1998-r2016</w:t>
      </w:r>
    </w:p>
    <w:p>
      <w:pPr>
        <w:pStyle w:val="BodyText"/>
      </w:pPr>
      <w:hyperlink r:id="rId26">
        <w:r>
          <w:rPr>
            <w:rStyle w:val="Hyperlink"/>
          </w:rPr>
          <w:t xml:space="preserve">https://codehub.building.govt.nz/resources/as-4428-1-1998-r2016</w:t>
        </w:r>
      </w:hyperlink>
    </w:p>
    <w:p>
      <w:pPr>
        <w:pStyle w:val="BodyText"/>
      </w:pPr>
      <w:hyperlink r:id="rId27">
        <w:r>
          <w:rPr>
            <w:rStyle w:val="Hyperlink"/>
          </w:rPr>
          <w:t xml:space="preserve">[7]</w:t>
        </w:r>
      </w:hyperlink>
      <w:r>
        <w:t xml:space="preserve"> </w:t>
      </w:r>
      <w:r>
        <w:t xml:space="preserve">https://www.airah.org.au/Common/Uploaded%20files/Archive/Resources/Technical_Publications/AS-NZS-1668.1-The-use-of-ventilation-and-air-Fire-and-smoke-control-in-buildings.pdf</w:t>
      </w:r>
    </w:p>
    <w:p>
      <w:pPr>
        <w:pStyle w:val="BodyText"/>
      </w:pPr>
      <w:hyperlink r:id="rId27">
        <w:r>
          <w:rPr>
            <w:rStyle w:val="Hyperlink"/>
          </w:rPr>
          <w:t xml:space="preserve">https://www.airah.org.au/Common/Uploaded%20files/Archive/Resources/Technical_Publications/AS-NZS-1668.1-The-use-of-ventilation-and-air-Fire-and-smoke-control-in-buildings.pdf</w:t>
        </w:r>
      </w:hyperlink>
    </w:p>
    <w:p>
      <w:pPr>
        <w:pStyle w:val="BodyText"/>
      </w:pPr>
      <w:hyperlink r:id="rId28">
        <w:r>
          <w:rPr>
            <w:rStyle w:val="Hyperlink"/>
          </w:rPr>
          <w:t xml:space="preserve">[8]</w:t>
        </w:r>
      </w:hyperlink>
      <w:r>
        <w:t xml:space="preserve"> </w:t>
      </w:r>
      <w:r>
        <w:t xml:space="preserve">https://codehub.building.govt.nz/assets/_generated_pdfs/2293-12018-asnzs-17406.pdf</w:t>
      </w:r>
    </w:p>
    <w:p>
      <w:pPr>
        <w:pStyle w:val="BodyText"/>
      </w:pPr>
      <w:hyperlink r:id="rId28">
        <w:r>
          <w:rPr>
            <w:rStyle w:val="Hyperlink"/>
          </w:rPr>
          <w:t xml:space="preserve">https://codehub.building.govt.nz/assets/_generated_pdfs/2293-12018-asnzs-17406.pdf</w:t>
        </w:r>
      </w:hyperlink>
    </w:p>
    <w:p>
      <w:pPr>
        <w:pStyle w:val="BodyText"/>
      </w:pPr>
      <w:hyperlink r:id="rId29">
        <w:r>
          <w:rPr>
            <w:rStyle w:val="Hyperlink"/>
          </w:rPr>
          <w:t xml:space="preserve">[9]</w:t>
        </w:r>
      </w:hyperlink>
      <w:r>
        <w:t xml:space="preserve"> </w:t>
      </w:r>
      <w:r>
        <w:t xml:space="preserve">https://www.nsw.gov.au/departments-and-agencies/building-commission/industry-changes/as1851-2012</w:t>
      </w:r>
    </w:p>
    <w:p>
      <w:pPr>
        <w:pStyle w:val="BodyText"/>
      </w:pPr>
      <w:hyperlink r:id="rId29">
        <w:r>
          <w:rPr>
            <w:rStyle w:val="Hyperlink"/>
          </w:rPr>
          <w:t xml:space="preserve">https://www.nsw.gov.au/departments-and-agencies/building-commission/industry-changes/as1851-2012</w:t>
        </w:r>
      </w:hyperlink>
    </w:p>
    <w:p>
      <w:pPr>
        <w:pStyle w:val="BodyText"/>
      </w:pPr>
      <w:hyperlink r:id="rId30">
        <w:r>
          <w:rPr>
            <w:rStyle w:val="Hyperlink"/>
          </w:rPr>
          <w:t xml:space="preserve">[10]</w:t>
        </w:r>
      </w:hyperlink>
      <w:r>
        <w:t xml:space="preserve"> </w:t>
      </w:r>
      <w:r>
        <w:t xml:space="preserve">https://store.standards.org.au/product/as-2118-1-2017</w:t>
      </w:r>
    </w:p>
    <w:p>
      <w:pPr>
        <w:pStyle w:val="BodyText"/>
      </w:pPr>
      <w:hyperlink r:id="rId30">
        <w:r>
          <w:rPr>
            <w:rStyle w:val="Hyperlink"/>
          </w:rPr>
          <w:t xml:space="preserve">https://store.standards.org.au/product/as-2118-1-2017</w:t>
        </w:r>
      </w:hyperlink>
    </w:p>
    <w:p>
      <w:pPr>
        <w:pStyle w:val="BodyText"/>
      </w:pPr>
      <w:hyperlink r:id="rId32">
        <w:r>
          <w:rPr>
            <w:rStyle w:val="Hyperlink"/>
          </w:rPr>
          <w:t xml:space="preserve">[11]</w:t>
        </w:r>
      </w:hyperlink>
      <w:r>
        <w:t xml:space="preserve"> </w:t>
      </w:r>
      <w:hyperlink r:id="rId32">
        <w:r>
          <w:rPr>
            <w:rStyle w:val="Hyperlink"/>
          </w:rPr>
          <w:t xml:space="preserve">[16]</w:t>
        </w:r>
      </w:hyperlink>
      <w:r>
        <w:t xml:space="preserve"> </w:t>
      </w:r>
      <w:hyperlink r:id="rId32">
        <w:r>
          <w:rPr>
            <w:rStyle w:val="Hyperlink"/>
          </w:rPr>
          <w:t xml:space="preserve">[32]</w:t>
        </w:r>
      </w:hyperlink>
      <w:r>
        <w:t xml:space="preserve"> </w:t>
      </w:r>
      <w:r>
        <w:t xml:space="preserve">https://www.nist.gov/services-resources/software/fds-and-smokeview</w:t>
      </w:r>
    </w:p>
    <w:p>
      <w:pPr>
        <w:pStyle w:val="BodyText"/>
      </w:pPr>
      <w:hyperlink r:id="rId32">
        <w:r>
          <w:rPr>
            <w:rStyle w:val="Hyperlink"/>
          </w:rPr>
          <w:t xml:space="preserve">https://www.nist.gov/services-resources/software/fds-and-smokeview</w:t>
        </w:r>
      </w:hyperlink>
    </w:p>
    <w:p>
      <w:pPr>
        <w:pStyle w:val="BodyText"/>
      </w:pPr>
      <w:hyperlink r:id="rId33">
        <w:r>
          <w:rPr>
            <w:rStyle w:val="Hyperlink"/>
          </w:rPr>
          <w:t xml:space="preserve">[12]</w:t>
        </w:r>
      </w:hyperlink>
      <w:r>
        <w:t xml:space="preserve"> </w:t>
      </w:r>
      <w:r>
        <w:t xml:space="preserve">https://pages.nist.gov/cfast/index.html</w:t>
      </w:r>
    </w:p>
    <w:p>
      <w:pPr>
        <w:pStyle w:val="BodyText"/>
      </w:pPr>
      <w:hyperlink r:id="rId33">
        <w:r>
          <w:rPr>
            <w:rStyle w:val="Hyperlink"/>
          </w:rPr>
          <w:t xml:space="preserve">https://pages.nist.gov/cfast/index.html</w:t>
        </w:r>
      </w:hyperlink>
    </w:p>
    <w:p>
      <w:pPr>
        <w:pStyle w:val="BodyText"/>
      </w:pPr>
      <w:hyperlink r:id="rId34">
        <w:r>
          <w:rPr>
            <w:rStyle w:val="Hyperlink"/>
          </w:rPr>
          <w:t xml:space="preserve">[13]</w:t>
        </w:r>
      </w:hyperlink>
      <w:r>
        <w:t xml:space="preserve"> </w:t>
      </w:r>
      <w:hyperlink r:id="rId34">
        <w:r>
          <w:rPr>
            <w:rStyle w:val="Hyperlink"/>
          </w:rPr>
          <w:t xml:space="preserve">[17]</w:t>
        </w:r>
      </w:hyperlink>
      <w:r>
        <w:t xml:space="preserve"> </w:t>
      </w:r>
      <w:r>
        <w:t xml:space="preserve">https://www.thunderheadeng.com/pathfinder/</w:t>
      </w:r>
    </w:p>
    <w:p>
      <w:pPr>
        <w:pStyle w:val="BodyText"/>
      </w:pPr>
      <w:hyperlink r:id="rId34">
        <w:r>
          <w:rPr>
            <w:rStyle w:val="Hyperlink"/>
          </w:rPr>
          <w:t xml:space="preserve">https://www.thunderheadeng.com/pathfinder/</w:t>
        </w:r>
      </w:hyperlink>
    </w:p>
    <w:p>
      <w:pPr>
        <w:pStyle w:val="BodyText"/>
      </w:pPr>
      <w:hyperlink r:id="rId35">
        <w:r>
          <w:rPr>
            <w:rStyle w:val="Hyperlink"/>
          </w:rPr>
          <w:t xml:space="preserve">[14]</w:t>
        </w:r>
      </w:hyperlink>
      <w:r>
        <w:t xml:space="preserve"> </w:t>
      </w:r>
      <w:r>
        <w:t xml:space="preserve">nvlpubs.nist.gov</w:t>
      </w:r>
    </w:p>
    <w:p>
      <w:pPr>
        <w:pStyle w:val="BodyText"/>
      </w:pPr>
      <w:hyperlink r:id="rId35">
        <w:r>
          <w:rPr>
            <w:rStyle w:val="Hyperlink"/>
          </w:rPr>
          <w:t xml:space="preserve">https://nvlpubs.nist.gov/nistpubs/TechnicalNotes/NIST.TN.1889v2.pdf</w:t>
        </w:r>
      </w:hyperlink>
    </w:p>
    <w:p>
      <w:pPr>
        <w:pStyle w:val="BodyText"/>
      </w:pPr>
      <w:hyperlink r:id="rId42">
        <w:r>
          <w:rPr>
            <w:rStyle w:val="Hyperlink"/>
          </w:rPr>
          <w:t xml:space="preserve">[19]</w:t>
        </w:r>
      </w:hyperlink>
      <w:r>
        <w:t xml:space="preserve"> </w:t>
      </w:r>
      <w:r>
        <w:t xml:space="preserve">https://www.awwwards.com/</w:t>
      </w:r>
    </w:p>
    <w:p>
      <w:pPr>
        <w:pStyle w:val="BodyText"/>
      </w:pPr>
      <w:hyperlink r:id="rId42">
        <w:r>
          <w:rPr>
            <w:rStyle w:val="Hyperlink"/>
          </w:rPr>
          <w:t xml:space="preserve">https://www.awwwards.com/</w:t>
        </w:r>
      </w:hyperlink>
    </w:p>
    <w:p>
      <w:pPr>
        <w:pStyle w:val="BodyText"/>
      </w:pPr>
      <w:hyperlink r:id="rId43">
        <w:r>
          <w:rPr>
            <w:rStyle w:val="Hyperlink"/>
          </w:rPr>
          <w:t xml:space="preserve">[20]</w:t>
        </w:r>
      </w:hyperlink>
      <w:r>
        <w:t xml:space="preserve"> </w:t>
      </w:r>
      <w:r>
        <w:t xml:space="preserve">https://godly.website/</w:t>
      </w:r>
    </w:p>
    <w:p>
      <w:pPr>
        <w:pStyle w:val="BodyText"/>
      </w:pPr>
      <w:hyperlink r:id="rId43">
        <w:r>
          <w:rPr>
            <w:rStyle w:val="Hyperlink"/>
          </w:rPr>
          <w:t xml:space="preserve">https://godly.website/</w:t>
        </w:r>
      </w:hyperlink>
    </w:p>
    <w:p>
      <w:pPr>
        <w:pStyle w:val="BodyText"/>
      </w:pPr>
      <w:hyperlink r:id="rId44">
        <w:r>
          <w:rPr>
            <w:rStyle w:val="Hyperlink"/>
          </w:rPr>
          <w:t xml:space="preserve">[21]</w:t>
        </w:r>
      </w:hyperlink>
      <w:r>
        <w:t xml:space="preserve"> </w:t>
      </w:r>
      <w:r>
        <w:t xml:space="preserve">https://www.siteinspire.com/</w:t>
      </w:r>
    </w:p>
    <w:p>
      <w:pPr>
        <w:pStyle w:val="BodyText"/>
      </w:pPr>
      <w:hyperlink r:id="rId44">
        <w:r>
          <w:rPr>
            <w:rStyle w:val="Hyperlink"/>
          </w:rPr>
          <w:t xml:space="preserve">https://www.siteinspire.com/</w:t>
        </w:r>
      </w:hyperlink>
    </w:p>
    <w:p>
      <w:pPr>
        <w:pStyle w:val="BodyText"/>
      </w:pPr>
      <w:hyperlink r:id="rId46">
        <w:r>
          <w:rPr>
            <w:rStyle w:val="Hyperlink"/>
          </w:rPr>
          <w:t xml:space="preserve">[22]</w:t>
        </w:r>
      </w:hyperlink>
      <w:r>
        <w:t xml:space="preserve"> </w:t>
      </w:r>
      <w:r>
        <w:t xml:space="preserve">https://frontend.horse/articles/the-linear-look/</w:t>
      </w:r>
    </w:p>
    <w:p>
      <w:pPr>
        <w:pStyle w:val="BodyText"/>
      </w:pPr>
      <w:hyperlink r:id="rId46">
        <w:r>
          <w:rPr>
            <w:rStyle w:val="Hyperlink"/>
          </w:rPr>
          <w:t xml:space="preserve">https://frontend.horse/articles/the-linear-look/</w:t>
        </w:r>
      </w:hyperlink>
    </w:p>
    <w:p>
      <w:pPr>
        <w:pStyle w:val="BodyText"/>
      </w:pPr>
      <w:hyperlink r:id="rId47">
        <w:r>
          <w:rPr>
            <w:rStyle w:val="Hyperlink"/>
          </w:rPr>
          <w:t xml:space="preserve">[23]</w:t>
        </w:r>
      </w:hyperlink>
      <w:r>
        <w:t xml:space="preserve"> </w:t>
      </w:r>
      <w:r>
        <w:t xml:space="preserve">What is a Bento Grid Layout? (A Modern Web Design Trend)</w:t>
      </w:r>
    </w:p>
    <w:p>
      <w:pPr>
        <w:pStyle w:val="BodyText"/>
      </w:pPr>
      <w:hyperlink r:id="rId47">
        <w:r>
          <w:rPr>
            <w:rStyle w:val="Hyperlink"/>
          </w:rPr>
          <w:t xml:space="preserve">https://www.oliverrevelo.com/blog/what-is-a-bento-grid-layout-web-design?utm_source=chatgpt.com</w:t>
        </w:r>
      </w:hyperlink>
    </w:p>
    <w:p>
      <w:pPr>
        <w:pStyle w:val="BodyText"/>
      </w:pPr>
      <w:hyperlink r:id="rId49">
        <w:r>
          <w:rPr>
            <w:rStyle w:val="Hyperlink"/>
          </w:rPr>
          <w:t xml:space="preserve">[24]</w:t>
        </w:r>
      </w:hyperlink>
      <w:r>
        <w:t xml:space="preserve"> </w:t>
      </w:r>
      <w:r>
        <w:t xml:space="preserve">https://ui.shadcn.com/docs</w:t>
      </w:r>
    </w:p>
    <w:p>
      <w:pPr>
        <w:pStyle w:val="BodyText"/>
      </w:pPr>
      <w:hyperlink r:id="rId49">
        <w:r>
          <w:rPr>
            <w:rStyle w:val="Hyperlink"/>
          </w:rPr>
          <w:t xml:space="preserve">https://ui.shadcn.com/docs</w:t>
        </w:r>
      </w:hyperlink>
    </w:p>
    <w:p>
      <w:pPr>
        <w:pStyle w:val="BodyText"/>
      </w:pPr>
      <w:hyperlink r:id="rId52">
        <w:r>
          <w:rPr>
            <w:rStyle w:val="Hyperlink"/>
          </w:rPr>
          <w:t xml:space="preserve">[25]</w:t>
        </w:r>
      </w:hyperlink>
      <w:r>
        <w:t xml:space="preserve"> </w:t>
      </w:r>
      <w:r>
        <w:t xml:space="preserve">https://nextjs.org/docs/app</w:t>
      </w:r>
    </w:p>
    <w:p>
      <w:pPr>
        <w:pStyle w:val="BodyText"/>
      </w:pPr>
      <w:hyperlink r:id="rId52">
        <w:r>
          <w:rPr>
            <w:rStyle w:val="Hyperlink"/>
          </w:rPr>
          <w:t xml:space="preserve">https://nextjs.org/docs/app</w:t>
        </w:r>
      </w:hyperlink>
    </w:p>
    <w:p>
      <w:pPr>
        <w:pStyle w:val="BodyText"/>
      </w:pPr>
      <w:hyperlink r:id="rId56">
        <w:r>
          <w:rPr>
            <w:rStyle w:val="Hyperlink"/>
          </w:rPr>
          <w:t xml:space="preserve">[26]</w:t>
        </w:r>
      </w:hyperlink>
      <w:r>
        <w:t xml:space="preserve"> </w:t>
      </w:r>
      <w:r>
        <w:t xml:space="preserve">What's New in WCAG 2.2 | Web Accessibility Initiative (WAI) | W3C</w:t>
      </w:r>
    </w:p>
    <w:p>
      <w:pPr>
        <w:pStyle w:val="BodyText"/>
      </w:pPr>
      <w:hyperlink r:id="rId56">
        <w:r>
          <w:rPr>
            <w:rStyle w:val="Hyperlink"/>
          </w:rPr>
          <w:t xml:space="preserve">https://www.w3.org/WAI/standards-guidelines/wcag/new-in-22/?utm_source=chatgpt.com</w:t>
        </w:r>
      </w:hyperlink>
    </w:p>
    <w:p>
      <w:pPr>
        <w:pStyle w:val="BodyText"/>
      </w:pPr>
      <w:hyperlink r:id="rId57">
        <w:r>
          <w:rPr>
            <w:rStyle w:val="Hyperlink"/>
          </w:rPr>
          <w:t xml:space="preserve">[27]</w:t>
        </w:r>
      </w:hyperlink>
      <w:r>
        <w:t xml:space="preserve"> </w:t>
      </w:r>
      <w:r>
        <w:t xml:space="preserve">OWASP Top 10:2021</w:t>
      </w:r>
    </w:p>
    <w:p>
      <w:pPr>
        <w:pStyle w:val="BodyText"/>
      </w:pPr>
      <w:hyperlink r:id="rId57">
        <w:r>
          <w:rPr>
            <w:rStyle w:val="Hyperlink"/>
          </w:rPr>
          <w:t xml:space="preserve">https://owasp.org/Top10/2021/?utm_source=chatgpt.com</w:t>
        </w:r>
      </w:hyperlink>
    </w:p>
    <w:p>
      <w:pPr>
        <w:pStyle w:val="BodyText"/>
      </w:pPr>
      <w:hyperlink r:id="rId58">
        <w:r>
          <w:rPr>
            <w:rStyle w:val="Hyperlink"/>
          </w:rPr>
          <w:t xml:space="preserve">[28]</w:t>
        </w:r>
      </w:hyperlink>
      <w:r>
        <w:t xml:space="preserve"> </w:t>
      </w:r>
      <w:hyperlink r:id="rId58">
        <w:r>
          <w:rPr>
            <w:rStyle w:val="Hyperlink"/>
          </w:rPr>
          <w:t xml:space="preserve">[30]</w:t>
        </w:r>
      </w:hyperlink>
      <w:r>
        <w:t xml:space="preserve"> </w:t>
      </w:r>
      <w:r>
        <w:t xml:space="preserve">Guides: Content Security Policy | Next.js</w:t>
      </w:r>
    </w:p>
    <w:p>
      <w:pPr>
        <w:pStyle w:val="BodyText"/>
      </w:pPr>
      <w:hyperlink r:id="rId58">
        <w:r>
          <w:rPr>
            <w:rStyle w:val="Hyperlink"/>
          </w:rPr>
          <w:t xml:space="preserve">https://nextjs.org/docs/app/guides/content-security-policy?utm_source=chatgpt.com</w:t>
        </w:r>
      </w:hyperlink>
    </w:p>
    <w:p>
      <w:pPr>
        <w:pStyle w:val="BodyText"/>
      </w:pPr>
      <w:hyperlink r:id="rId59">
        <w:r>
          <w:rPr>
            <w:rStyle w:val="Hyperlink"/>
          </w:rPr>
          <w:t xml:space="preserve">[29]</w:t>
        </w:r>
      </w:hyperlink>
      <w:r>
        <w:t xml:space="preserve"> </w:t>
      </w:r>
      <w:r>
        <w:t xml:space="preserve">Lighthouse | Chrome for Developers</w:t>
      </w:r>
    </w:p>
    <w:p>
      <w:pPr>
        <w:pStyle w:val="BodyText"/>
      </w:pPr>
      <w:hyperlink r:id="rId59">
        <w:r>
          <w:rPr>
            <w:rStyle w:val="Hyperlink"/>
          </w:rPr>
          <w:t xml:space="preserve">https://developer.chrome.com/docs/lighthouse/?utm_source=chatgpt.com</w:t>
        </w:r>
      </w:hyperlink>
    </w:p>
    <w:p>
      <w:pPr>
        <w:pStyle w:val="BodyText"/>
      </w:pPr>
      <w:hyperlink r:id="rId66">
        <w:r>
          <w:rPr>
            <w:rStyle w:val="Hyperlink"/>
          </w:rPr>
          <w:t xml:space="preserve">[31]</w:t>
        </w:r>
      </w:hyperlink>
      <w:r>
        <w:t xml:space="preserve"> </w:t>
      </w:r>
      <w:r>
        <w:t xml:space="preserve">Guides: Data Security | Next.js</w:t>
      </w:r>
    </w:p>
    <w:p>
      <w:pPr>
        <w:pStyle w:val="BodyText"/>
      </w:pPr>
      <w:hyperlink r:id="rId66">
        <w:r>
          <w:rPr>
            <w:rStyle w:val="Hyperlink"/>
          </w:rPr>
          <w:t xml:space="preserve">https://nextjs.org/docs/app/guides/data-security?utm_source=chatgpt.com</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codehub.building.govt.nz/assets/_generated_pdfs/2293-12018-asnzs-17406.pdf" TargetMode="External" /><Relationship Type="http://schemas.openxmlformats.org/officeDocument/2006/relationships/hyperlink" Id="rId26" Target="https://codehub.building.govt.nz/resources/as-4428-1-1998-r2016" TargetMode="External" /><Relationship Type="http://schemas.openxmlformats.org/officeDocument/2006/relationships/hyperlink" Id="rId21" Target="https://cpd.abcb.gov.au/sites/default/files/resources/2022/Handbook-australian-fire-engineering-guideline.pdf" TargetMode="External" /><Relationship Type="http://schemas.openxmlformats.org/officeDocument/2006/relationships/hyperlink" Id="rId59" Target="https://developer.chrome.com/docs/lighthouse/?utm_source=chatgpt.com" TargetMode="External" /><Relationship Type="http://schemas.openxmlformats.org/officeDocument/2006/relationships/hyperlink" Id="rId46" Target="https://frontend.horse/articles/the-linear-look/" TargetMode="External" /><Relationship Type="http://schemas.openxmlformats.org/officeDocument/2006/relationships/hyperlink" Id="rId43" Target="https://godly.website/" TargetMode="External" /><Relationship Type="http://schemas.openxmlformats.org/officeDocument/2006/relationships/hyperlink" Id="rId22" Target="https://ncc.abcb.gov.au/?utm_source=chatgpt.com" TargetMode="External" /><Relationship Type="http://schemas.openxmlformats.org/officeDocument/2006/relationships/hyperlink" Id="rId52" Target="https://nextjs.org/docs/app" TargetMode="External" /><Relationship Type="http://schemas.openxmlformats.org/officeDocument/2006/relationships/hyperlink" Id="rId58" Target="https://nextjs.org/docs/app/guides/content-security-policy?utm_source=chatgpt.com" TargetMode="External" /><Relationship Type="http://schemas.openxmlformats.org/officeDocument/2006/relationships/hyperlink" Id="rId66" Target="https://nextjs.org/docs/app/guides/data-security?utm_source=chatgpt.com" TargetMode="External" /><Relationship Type="http://schemas.openxmlformats.org/officeDocument/2006/relationships/hyperlink" Id="rId35" Target="https://nvlpubs.nist.gov/nistpubs/TechnicalNotes/NIST.TN.1889v2.pdf" TargetMode="External" /><Relationship Type="http://schemas.openxmlformats.org/officeDocument/2006/relationships/hyperlink" Id="rId57" Target="https://owasp.org/Top10/2021/?utm_source=chatgpt.com" TargetMode="External" /><Relationship Type="http://schemas.openxmlformats.org/officeDocument/2006/relationships/hyperlink" Id="rId33" Target="https://pages.nist.gov/cfast/index.html" TargetMode="External" /><Relationship Type="http://schemas.openxmlformats.org/officeDocument/2006/relationships/hyperlink" Id="rId25" Target="https://store.standards.org.au/product/as-1670-1-2018" TargetMode="External" /><Relationship Type="http://schemas.openxmlformats.org/officeDocument/2006/relationships/hyperlink" Id="rId30" Target="https://store.standards.org.au/product/as-2118-1-2017" TargetMode="External" /><Relationship Type="http://schemas.openxmlformats.org/officeDocument/2006/relationships/hyperlink" Id="rId49" Target="https://ui.shadcn.com/docs" TargetMode="External" /><Relationship Type="http://schemas.openxmlformats.org/officeDocument/2006/relationships/hyperlink" Id="rId27" Target="https://www.airah.org.au/Common/Uploaded%20files/Archive/Resources/Technical_Publications/AS-NZS-1668.1-The-use-of-ventilation-and-air-Fire-and-smoke-control-in-buildings.pdf" TargetMode="External" /><Relationship Type="http://schemas.openxmlformats.org/officeDocument/2006/relationships/hyperlink" Id="rId42" Target="https://www.awwwards.com/" TargetMode="External" /><Relationship Type="http://schemas.openxmlformats.org/officeDocument/2006/relationships/hyperlink" Id="rId32" Target="https://www.nist.gov/services-resources/software/fds-and-smokeview" TargetMode="External" /><Relationship Type="http://schemas.openxmlformats.org/officeDocument/2006/relationships/hyperlink" Id="rId29" Target="https://www.nsw.gov.au/departments-and-agencies/building-commission/industry-changes/as1851-2012" TargetMode="External" /><Relationship Type="http://schemas.openxmlformats.org/officeDocument/2006/relationships/hyperlink" Id="rId47" Target="https://www.oliverrevelo.com/blog/what-is-a-bento-grid-layout-web-design?utm_source=chatgpt.com" TargetMode="External" /><Relationship Type="http://schemas.openxmlformats.org/officeDocument/2006/relationships/hyperlink" Id="rId44" Target="https://www.siteinspire.com/" TargetMode="External" /><Relationship Type="http://schemas.openxmlformats.org/officeDocument/2006/relationships/hyperlink" Id="rId34" Target="https://www.thunderheadeng.com/pathfinder/" TargetMode="External" /><Relationship Type="http://schemas.openxmlformats.org/officeDocument/2006/relationships/hyperlink" Id="rId56" Target="https://www.w3.org/WAI/standards-guidelines/wcag/new-in-22/?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8" Target="https://codehub.building.govt.nz/assets/_generated_pdfs/2293-12018-asnzs-17406.pdf" TargetMode="External" /><Relationship Type="http://schemas.openxmlformats.org/officeDocument/2006/relationships/hyperlink" Id="rId26" Target="https://codehub.building.govt.nz/resources/as-4428-1-1998-r2016" TargetMode="External" /><Relationship Type="http://schemas.openxmlformats.org/officeDocument/2006/relationships/hyperlink" Id="rId21" Target="https://cpd.abcb.gov.au/sites/default/files/resources/2022/Handbook-australian-fire-engineering-guideline.pdf" TargetMode="External" /><Relationship Type="http://schemas.openxmlformats.org/officeDocument/2006/relationships/hyperlink" Id="rId59" Target="https://developer.chrome.com/docs/lighthouse/?utm_source=chatgpt.com" TargetMode="External" /><Relationship Type="http://schemas.openxmlformats.org/officeDocument/2006/relationships/hyperlink" Id="rId46" Target="https://frontend.horse/articles/the-linear-look/" TargetMode="External" /><Relationship Type="http://schemas.openxmlformats.org/officeDocument/2006/relationships/hyperlink" Id="rId43" Target="https://godly.website/" TargetMode="External" /><Relationship Type="http://schemas.openxmlformats.org/officeDocument/2006/relationships/hyperlink" Id="rId22" Target="https://ncc.abcb.gov.au/?utm_source=chatgpt.com" TargetMode="External" /><Relationship Type="http://schemas.openxmlformats.org/officeDocument/2006/relationships/hyperlink" Id="rId52" Target="https://nextjs.org/docs/app" TargetMode="External" /><Relationship Type="http://schemas.openxmlformats.org/officeDocument/2006/relationships/hyperlink" Id="rId58" Target="https://nextjs.org/docs/app/guides/content-security-policy?utm_source=chatgpt.com" TargetMode="External" /><Relationship Type="http://schemas.openxmlformats.org/officeDocument/2006/relationships/hyperlink" Id="rId66" Target="https://nextjs.org/docs/app/guides/data-security?utm_source=chatgpt.com" TargetMode="External" /><Relationship Type="http://schemas.openxmlformats.org/officeDocument/2006/relationships/hyperlink" Id="rId35" Target="https://nvlpubs.nist.gov/nistpubs/TechnicalNotes/NIST.TN.1889v2.pdf" TargetMode="External" /><Relationship Type="http://schemas.openxmlformats.org/officeDocument/2006/relationships/hyperlink" Id="rId57" Target="https://owasp.org/Top10/2021/?utm_source=chatgpt.com" TargetMode="External" /><Relationship Type="http://schemas.openxmlformats.org/officeDocument/2006/relationships/hyperlink" Id="rId33" Target="https://pages.nist.gov/cfast/index.html" TargetMode="External" /><Relationship Type="http://schemas.openxmlformats.org/officeDocument/2006/relationships/hyperlink" Id="rId25" Target="https://store.standards.org.au/product/as-1670-1-2018" TargetMode="External" /><Relationship Type="http://schemas.openxmlformats.org/officeDocument/2006/relationships/hyperlink" Id="rId30" Target="https://store.standards.org.au/product/as-2118-1-2017" TargetMode="External" /><Relationship Type="http://schemas.openxmlformats.org/officeDocument/2006/relationships/hyperlink" Id="rId49" Target="https://ui.shadcn.com/docs" TargetMode="External" /><Relationship Type="http://schemas.openxmlformats.org/officeDocument/2006/relationships/hyperlink" Id="rId27" Target="https://www.airah.org.au/Common/Uploaded%20files/Archive/Resources/Technical_Publications/AS-NZS-1668.1-The-use-of-ventilation-and-air-Fire-and-smoke-control-in-buildings.pdf" TargetMode="External" /><Relationship Type="http://schemas.openxmlformats.org/officeDocument/2006/relationships/hyperlink" Id="rId42" Target="https://www.awwwards.com/" TargetMode="External" /><Relationship Type="http://schemas.openxmlformats.org/officeDocument/2006/relationships/hyperlink" Id="rId32" Target="https://www.nist.gov/services-resources/software/fds-and-smokeview" TargetMode="External" /><Relationship Type="http://schemas.openxmlformats.org/officeDocument/2006/relationships/hyperlink" Id="rId29" Target="https://www.nsw.gov.au/departments-and-agencies/building-commission/industry-changes/as1851-2012" TargetMode="External" /><Relationship Type="http://schemas.openxmlformats.org/officeDocument/2006/relationships/hyperlink" Id="rId47" Target="https://www.oliverrevelo.com/blog/what-is-a-bento-grid-layout-web-design?utm_source=chatgpt.com" TargetMode="External" /><Relationship Type="http://schemas.openxmlformats.org/officeDocument/2006/relationships/hyperlink" Id="rId44" Target="https://www.siteinspire.com/" TargetMode="External" /><Relationship Type="http://schemas.openxmlformats.org/officeDocument/2006/relationships/hyperlink" Id="rId34" Target="https://www.thunderheadeng.com/pathfinder/" TargetMode="External" /><Relationship Type="http://schemas.openxmlformats.org/officeDocument/2006/relationships/hyperlink" Id="rId56" Target="https://www.w3.org/WAI/standards-guidelines/wcag/new-in-22/?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2026-03-30T00:55:55Z</dcterms:created>
  <dcterms:modified xsi:type="dcterms:W3CDTF">2026-03-30T00:55:55Z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