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5AD36E2E" w:rsidR="00AD0FD7" w:rsidRPr="005808D7" w:rsidRDefault="00C208E2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CHI Conference on Human Factors in Computing Systems (CHI ’24). </w:t>
            </w:r>
            <w:r w:rsidR="00AD0FD7"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AD0F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Conditionally Accepted</w:t>
            </w:r>
            <w:r w:rsidR="00AD0FD7"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6DBFFD99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CHI Conference on Human Factors in Computing Systems (CHI ’24). </w:t>
            </w:r>
            <w:r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Conditionally Accepted</w:t>
            </w:r>
            <w:r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Minimally-obtrusive Eyewear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lastRenderedPageBreak/>
                <w:t>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23E67B10" w14:textId="1BAE7C09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64077002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2468FA">
              <w:rPr>
                <w:sz w:val="22"/>
                <w:szCs w:val="22"/>
              </w:rPr>
              <w:t>The ACM International Conference on Mobile Systems, Applications, and Services</w:t>
            </w:r>
            <w:r w:rsidRPr="00D352FC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MobiSys</w:t>
            </w:r>
            <w:proofErr w:type="spellEnd"/>
            <w:r w:rsidRPr="00D352FC">
              <w:rPr>
                <w:sz w:val="22"/>
                <w:szCs w:val="22"/>
              </w:rPr>
              <w:t xml:space="preserve">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01612A6C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2024 (Expected)</w:t>
            </w:r>
          </w:p>
          <w:p w14:paraId="21B9500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AD0FD7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AD0F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AD0F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AD0FD7" w:rsidRPr="00BB0806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AD0FD7" w:rsidRPr="00BB080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F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AD0F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D0F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AD0FD7" w:rsidRPr="00D536E3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AD0FD7" w:rsidRPr="00533BC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AD0FD7" w:rsidRPr="0068263C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AD0F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AD0FD7" w:rsidRPr="0068263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AD0FD7" w:rsidRPr="00D536E3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D0F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AD0FD7" w:rsidRPr="00377CC3" w:rsidRDefault="00AD0FD7" w:rsidP="00AD0F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AD0F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Honor bestowed on outstanding graduates from universities in Shanghai</w:t>
            </w:r>
          </w:p>
          <w:p w14:paraId="0788403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AD0FD7" w:rsidRPr="00F55A7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AD0FD7" w:rsidRPr="00B9355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AD0FD7" w:rsidRPr="00417108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AD0FD7" w:rsidRDefault="00AD0FD7" w:rsidP="00AD0F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AD0FD7" w:rsidRDefault="00AD0FD7" w:rsidP="00AD0F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AD0F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AD0FD7" w:rsidRPr="00C275B1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D0F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AD0F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AD0FD7" w:rsidRDefault="00AD0FD7" w:rsidP="00AD0F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AD0FD7" w:rsidRPr="00116367" w:rsidRDefault="00AD0FD7" w:rsidP="00AD0F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AD0F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D0F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3A456A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1E7B" w14:textId="77777777" w:rsidR="003A456A" w:rsidRDefault="003A456A" w:rsidP="002546D7">
      <w:r>
        <w:separator/>
      </w:r>
    </w:p>
  </w:endnote>
  <w:endnote w:type="continuationSeparator" w:id="0">
    <w:p w14:paraId="212757F5" w14:textId="77777777" w:rsidR="003A456A" w:rsidRDefault="003A456A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F882" w14:textId="77777777" w:rsidR="003A456A" w:rsidRDefault="003A456A" w:rsidP="002546D7">
      <w:r>
        <w:separator/>
      </w:r>
    </w:p>
  </w:footnote>
  <w:footnote w:type="continuationSeparator" w:id="0">
    <w:p w14:paraId="1A4A268E" w14:textId="77777777" w:rsidR="003A456A" w:rsidRDefault="003A456A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3735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1.17409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2.12388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715</cp:revision>
  <cp:lastPrinted>2020-11-30T13:08:00Z</cp:lastPrinted>
  <dcterms:created xsi:type="dcterms:W3CDTF">2017-03-24T12:53:00Z</dcterms:created>
  <dcterms:modified xsi:type="dcterms:W3CDTF">2024-02-23T22:35:00Z</dcterms:modified>
</cp:coreProperties>
</file>