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right"/>
      </w:pPr>
      <w:r>
        <w:rPr>
          <w:rFonts w:ascii="Arial" w:cs="Arial" w:eastAsia="Arial" w:hAnsi="Arial"/>
          <w:sz w:val="24"/>
          <w:szCs w:val="24"/>
        </w:rPr>
        <w:t xml:space="preserve">Disciplina: Ética</w:t>
      </w:r>
    </w:p>
    <w:p>
      <w:pPr>
        <w:spacing w:after="0" w:line="360"/>
        <w:jc w:val="right"/>
      </w:pPr>
      <w:r>
        <w:rPr>
          <w:rFonts w:ascii="Arial" w:cs="Arial" w:eastAsia="Arial" w:hAnsi="Arial"/>
          <w:sz w:val="24"/>
          <w:szCs w:val="24"/>
        </w:rPr>
        <w:t xml:space="preserve">Aluna: [seu nome completo]</w:t>
      </w:r>
    </w:p>
    <w:p>
      <w:pPr>
        <w:spacing w:after="200" w:line="36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 infância como mercado: uma leitura ética de Criança, a Alma do Negócio</w:t>
      </w:r>
    </w:p>
    <w:p>
      <w:pPr>
        <w:spacing w:after="0" w:line="360"/>
        <w:ind w:firstLine="0"/>
        <w:jc w:val="both"/>
      </w:pPr>
      <w:r>
        <w:rPr>
          <w:rFonts w:ascii="Arial" w:cs="Arial" w:eastAsia="Arial" w:hAnsi="Arial"/>
          <w:sz w:val="24"/>
          <w:szCs w:val="24"/>
        </w:rPr>
        <w:t xml:space="preserve">CRIANÇA, a alma do negócio. Dir. Estela Renner. Maria Farinha Filmes, 2008, aprox. 50 min.</w:t>
      </w:r>
    </w:p>
    <w:p>
      <w:pPr>
        <w:spacing w:after="0" w:before="20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Introdução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Lançado em 2008, Criança, a Alma do Negócio discutia a televisão aberta, mas produziu algo mais durável: um método para enxergar a publicidade infantil. O cenário técnico envelheceu; o problema cresceu. Sustento que sua crítica se radicalizou no ambiente digital — a publicidade dirigida a crianças é eticamente insustentável porque depende exatamente do que sua destinatária ainda não tem: a capacidade de reconhecer que está sendo persuadida. A internet não corrigiu essa assimetria; tornou-a invisível, contínua e personalizada.</w:t>
      </w:r>
    </w:p>
    <w:p>
      <w:pPr>
        <w:spacing w:after="0" w:before="20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As críticas centrais do documentário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escolha formal do filme é também sua tese: em vez de acumular especialistas, ele põe a câmera diante de crianças e as deixa falar. Meninos e meninas de classes diferentes recitam jingles inteiros e descrevem produtos com precisão que não demonstram diante de conteúdo escolar algum. Daí a crítica cognitiva: a criança pequena não distingue programa de comercial e, quando distingue, não apreende a intenção persuasiva — não se defende do que não identifica como ataque.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crítica estratégica mostra a criança em três papéis: consumidora atual, consumidora futura, pela fidelização precoce à marca, e agente de pressão sobre o orçamento familiar — o que o mercado chama de "fator amolação". A consequencial elenca obesidade, adultização precoce e conflito doméstico. Mais desconfortáveis são as falas dos profissionais de marketing: não há vilania, há competência técnica descrevendo com naturalidade a exploração de uma vulnerabilidade — racionalidade instrumental sem atrito moral.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filme tem limites: é mais forte no diagnóstico que na proposta e trata a família de modo indiferenciado, sem examinar as condições materiais que tornam a mediação parental muito mais difícil para umas do que para outras. Ainda assim, para acusar, basta-lhe mostrar.</w:t>
      </w:r>
    </w:p>
    <w:p>
      <w:pPr>
        <w:spacing w:after="0" w:before="20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O que a internet mudou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televisão oferecia uma moldura: o comercial tinha começo, fim e bloco próprio, o que tornava possível ensinar a criança a reconhecê-lo. No digital ela desapareceu, porque a publicidade deixou de interromper o conteúdo para se tornar o conteúdo. Outros três deslocamentos importam. Da audiência ao dado: a criança virou fonte de informação comportamental que alimenta perfis. Da massa à personalização: a mensagem se ajusta às fragilidades de uma criança específica. E a ubiquidade — o TIC Kids Online Brasil aponta que quase todas as crianças e adolescentes brasileiros estão conectados, sobretudo pelo celular, aparelho pessoal fora da supervisão que a televisão da sala permitia. Não há mais intervalo comercial porque não há intervalo.</w:t>
      </w:r>
    </w:p>
    <w:p>
      <w:pPr>
        <w:spacing w:after="0" w:before="20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Influenciadores, jogos e aplicativos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influenciadores são a mutação mais eficaz do modelo: a publicidade migrou da interrupção para o vínculo afetivo. A criança não vê um anunciante, vê alguém que percebe como amigo e em quem confia. Vídeos de unboxing são anúncios de meia hora que ela escolhe assistir, repetidamente. Quando o influenciador é ele mesmo uma criança, ela deixa de ser apenas alvo e vira instrumento de venda para outras crianças.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Os jogos operam por outro mecanismo. Moedas virtuais como Robux, V-Bucks ou diamantes dissociam preço de valor, tornando o gasto abstrato para quem mal domina a noção de dinheiro. Caixas de recompensa funcionam por reforço intermitente variável, a arquitetura psicológica das máquinas de apostas. Passes de temporada fabricam escassez; skins convertem pertencimento em compra. Aplicativos completam o quadro com reprodução automática, rolagem infinita e sequências de dias, desenhados para maximizar o tempo de tela — a matéria-prima vendida ao anunciante.</w:t>
      </w:r>
    </w:p>
    <w:p>
      <w:pPr>
        <w:spacing w:after="0" w:before="20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Os desafios éticos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primeiro é o consentimento: toda relação de consumo eticamente defensável pressupõe um agente informado e capaz de decidir, e a criança não é esse agente. A publicidade infantil não é uma relação de consumo mal protegida — é uma relação à qual falta o próprio pressuposto ético. O segundo é a instrumentalização: na formulação kantiana, a pessoa deve ser tratada sempre também como fim, nunca apenas como meio, e o marketing infantil converte a criança em canal de acesso ao orçamento familiar.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terceiro, e o mais decisivo, é a opacidade: essa publicidade só funciona enquanto não é percebida como tal. Uma prática cuja eficácia depende do desconhecimento de quem a recebe não sobrevive à divulgação dos próprios métodos — por isso o documentário incomoda apenas exibindo o que existe. O quarto é a vigilância: perfilar uma criança é modelar quem ainda está se constituindo como sujeito. O quinto é a diluição da responsabilidade entre anunciante, agência, plataforma e influenciador. Vale Hans Jonas: quanto maior a vulnerabilidade do afetado e o poder de quem age, mais extenso é o dever — não menos, como a fragmentação sugere.</w:t>
      </w:r>
    </w:p>
    <w:p>
      <w:pPr>
        <w:spacing w:after="0" w:before="20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A regulamentação é suficiente?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Na minha avaliação, a regulação brasileira é razoável no papel e insuficiente na prática. O arcabouço não é pequeno: o artigo 227 da Constituição estabelece a proteção integral; o Código de Defesa do Consumidor, no artigo 37, §2º, considera abusiva a publicidade que se aproveita da deficiência de julgamento e experiência da criança; a Resolução nº 163/2014 do CONANDA declara abusiva a publicidade dirigida ao público infantil; a LGPD restringe o tratamento de dados de crianças; e a Lei nº 15.211/2025, o "ECA Digital", passou a exigir das plataformas verificação de idade e vinculação das contas de menores às dos responsáveis.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distância está entre norma e efeito. A fiscalização é reativa e depende de denúncia, chegando depois de a campanha cumprir seu objetivo. O CONAR é autorregulação: o setor julga a si mesmo, com sanção máxima de recomendação de sustação. As plataformas são globais e a jurisdição é nacional; a verificação de idade segue autodeclarada. E há falha de desenho: nossas normas descrevem publicidade com categorias televisivas — jingle, personagem, desenho animado — que se encaixam mal no vídeo de um influenciador ou na loja interna de um jogo. Enquanto o negócio for a monetização da atenção, cada regra corrigirá um sintoma e a causa seguirá intacta. Suécia e Noruega proíbem publicidade dirigida a menores há décadas: proibir é possível.</w:t>
      </w:r>
    </w:p>
    <w:p>
      <w:pPr>
        <w:spacing w:after="0" w:before="20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Responsabilidades e considerações finais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 responsabilidade primária é das marcas, porque a decisão de existir a campanha é delas — o que inclui responder pela cadeia inteira, do briefing à escolha do influenciador. As plataformas deixaram de ser neutras quando passaram a recomendar conteúdo: quem ordena, edita, e quem edita responde. Delas se exige não perfilar menores para fins publicitários, desativar por padrão o engajamento compulsivo e abrir-se a auditoria independente. Aos profissionais da comunicação cabe o núcleo ético: saber construir desejo é poder, e poder exige critério — o direito de recusa precisa ser parte legítima do ofício, não insubordinação.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As famílias têm o dever de mediação, mas é preciso recusar a transferência integral do problema para os pais. "Cabe aos pais dizer não" é o argumento preferido do setor porque individualiza um problema estrutural e penaliza mais as famílias com menos tempo e recursos — as que o documentário mostra mais frágeis. A mediação parental é necessária e insuficiente. À escola cabe a educação midiática, única resposta que constrói autonomia em vez de apenas restringir.</w:t>
      </w:r>
    </w:p>
    <w:p>
      <w:pPr>
        <w:spacing w:after="0" w:line="360"/>
        <w:ind w:firstLine="709"/>
        <w:jc w:val="both"/>
      </w:pPr>
      <w:r>
        <w:rPr>
          <w:rFonts w:ascii="Arial" w:cs="Arial" w:eastAsia="Arial" w:hAnsi="Arial"/>
          <w:sz w:val="24"/>
          <w:szCs w:val="24"/>
        </w:rPr>
        <w:t xml:space="preserve">O maior mérito do documentário foi nomear a operação em curso: a conversão da infância em mercado. Mudou o meio — a publicidade televisiva era visível e finita, a digital é invisível e contínua —, não a estrutura. A pergunta ética do filme segue sem resposta: até que ponto é legítimo mobilizar as técnicas de persuasão mais sofisticadas já criadas contra alguém que não sabe que está sendo persuadido? Uma sociedade que responde "depende dos pais" já respondeu — e respondeu mal.</w:t>
      </w:r>
    </w:p>
    <w:p>
      <w:pPr>
        <w:spacing w:after="0" w:before="20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Referências</w:t>
      </w:r>
    </w:p>
    <w:p>
      <w:pPr>
        <w:spacing w:after="0" w:line="360"/>
        <w:jc w:val="left"/>
      </w:pPr>
      <w:r>
        <w:rPr>
          <w:rFonts w:ascii="Arial" w:cs="Arial" w:eastAsia="Arial" w:hAnsi="Arial"/>
          <w:sz w:val="24"/>
          <w:szCs w:val="24"/>
        </w:rPr>
        <w:t xml:space="preserve">BRASIL. Código de Defesa do Consumidor. Lei nº 8.078/1990. Brasília, 1990.</w:t>
      </w:r>
    </w:p>
    <w:p>
      <w:pPr>
        <w:spacing w:after="0" w:line="360"/>
        <w:jc w:val="left"/>
      </w:pPr>
      <w:r>
        <w:rPr>
          <w:rFonts w:ascii="Arial" w:cs="Arial" w:eastAsia="Arial" w:hAnsi="Arial"/>
          <w:sz w:val="24"/>
          <w:szCs w:val="24"/>
        </w:rPr>
        <w:t xml:space="preserve">BRASIL. Lei Geral de Proteção de Dados. Lei nº 13.709/2018. Brasília, 2018.</w:t>
      </w:r>
    </w:p>
    <w:p>
      <w:pPr>
        <w:spacing w:after="0" w:line="360"/>
        <w:jc w:val="left"/>
      </w:pPr>
      <w:r>
        <w:rPr>
          <w:rFonts w:ascii="Arial" w:cs="Arial" w:eastAsia="Arial" w:hAnsi="Arial"/>
          <w:sz w:val="24"/>
          <w:szCs w:val="24"/>
        </w:rPr>
        <w:t xml:space="preserve">BRASIL. ECA Digital. Lei nº 15.211/2025. Brasília, 2025.</w:t>
      </w:r>
    </w:p>
    <w:p>
      <w:pPr>
        <w:spacing w:after="0" w:line="360"/>
        <w:jc w:val="left"/>
      </w:pPr>
      <w:r>
        <w:rPr>
          <w:rFonts w:ascii="Arial" w:cs="Arial" w:eastAsia="Arial" w:hAnsi="Arial"/>
          <w:sz w:val="24"/>
          <w:szCs w:val="24"/>
        </w:rPr>
        <w:t xml:space="preserve">CONANDA. Resolução nº 163, de 13 de março de 2014. Brasília, 2014.</w:t>
      </w:r>
    </w:p>
    <w:p>
      <w:pPr>
        <w:spacing w:after="0" w:line="360"/>
        <w:jc w:val="left"/>
      </w:pPr>
      <w:r>
        <w:rPr>
          <w:rFonts w:ascii="Arial" w:cs="Arial" w:eastAsia="Arial" w:hAnsi="Arial"/>
          <w:sz w:val="24"/>
          <w:szCs w:val="24"/>
        </w:rPr>
        <w:t xml:space="preserve">CRIANÇA, a alma do negócio. Dir. Estela Renner. São Paulo: Maria Farinha, 2008.</w:t>
      </w:r>
    </w:p>
    <w:p>
      <w:pPr>
        <w:spacing w:after="0" w:line="360"/>
        <w:jc w:val="left"/>
      </w:pPr>
      <w:r>
        <w:rPr>
          <w:rFonts w:ascii="Arial" w:cs="Arial" w:eastAsia="Arial" w:hAnsi="Arial"/>
          <w:sz w:val="24"/>
          <w:szCs w:val="24"/>
        </w:rPr>
        <w:t xml:space="preserve">JONAS, Hans. O princípio responsabilidade. Rio de Janeiro: Contraponto, 2006.</w:t>
      </w:r>
    </w:p>
    <w:p>
      <w:pPr>
        <w:spacing w:after="0" w:line="360"/>
        <w:jc w:val="left"/>
      </w:pPr>
      <w:r>
        <w:rPr>
          <w:rFonts w:ascii="Arial" w:cs="Arial" w:eastAsia="Arial" w:hAnsi="Arial"/>
          <w:sz w:val="24"/>
          <w:szCs w:val="24"/>
        </w:rPr>
        <w:t xml:space="preserve">KANT, I. Fundamentação da metafísica dos costumes. São Paulo: Barcarolla, 2009.</w:t>
      </w:r>
    </w:p>
    <w:sectPr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2026-08-09T02:07:31.605Z</dcterms:created>
  <dcterms:modified xsi:type="dcterms:W3CDTF">2026-08-09T02:07:31.605Z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