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Arial" w:cs="Arial" w:eastAsia="Arial" w:hAnsi="Arial"/>
          <w:sz w:val="24"/>
          <w:szCs w:val="24"/>
        </w:rPr>
        <w:t xml:space="preserve">[Nome da Universidade]</w:t>
      </w:r>
    </w:p>
    <w:p>
      <w:pPr>
        <w:spacing w:after="0" w:line="240"/>
        <w:jc w:val="left"/>
      </w:pPr>
      <w:r>
        <w:rPr>
          <w:rFonts w:ascii="Arial" w:cs="Arial" w:eastAsia="Arial" w:hAnsi="Arial"/>
          <w:sz w:val="24"/>
          <w:szCs w:val="24"/>
        </w:rPr>
        <w:t xml:space="preserve">[Faculdade ou Centro]</w:t>
      </w:r>
    </w:p>
    <w:p>
      <w:pPr>
        <w:spacing w:after="0" w:line="240"/>
        <w:jc w:val="left"/>
      </w:pPr>
      <w:r>
        <w:rPr>
          <w:rFonts w:ascii="Arial" w:cs="Arial" w:eastAsia="Arial" w:hAnsi="Arial"/>
          <w:sz w:val="24"/>
          <w:szCs w:val="24"/>
        </w:rPr>
        <w:t xml:space="preserve">[Departamento ou Curso]</w:t>
      </w:r>
    </w:p>
    <w:p>
      <w:pPr>
        <w:spacing w:after="0" w:line="240"/>
        <w:jc w:val="left"/>
      </w:pPr>
      <w:r>
        <w:rPr>
          <w:rFonts w:ascii="Arial" w:cs="Arial" w:eastAsia="Arial" w:hAnsi="Arial"/>
          <w:sz w:val="24"/>
          <w:szCs w:val="24"/>
        </w:rPr>
        <w:t xml:space="preserve">Disciplina: Ética</w:t>
      </w:r>
    </w:p>
    <w:p>
      <w:pPr>
        <w:spacing w:after="0" w:line="240"/>
        <w:jc w:val="left"/>
      </w:pPr>
      <w:r>
        <w:rPr>
          <w:rFonts w:ascii="Arial" w:cs="Arial" w:eastAsia="Arial" w:hAnsi="Arial"/>
          <w:sz w:val="24"/>
          <w:szCs w:val="24"/>
        </w:rPr>
        <w:t xml:space="preserve">Professor(a): [nome do(a) professor(a)]</w:t>
      </w:r>
    </w:p>
    <w:p>
      <w:pPr>
        <w:spacing w:after="0" w:line="240"/>
      </w:pPr>
      <w:r>
        <w:rPr>
          <w:rFonts w:ascii="Arial" w:cs="Arial" w:eastAsia="Arial" w:hAnsi="Arial"/>
          <w:sz w:val="24"/>
          <w:szCs w:val="24"/>
        </w:rPr>
        <w:t xml:space="preserve"/>
      </w:r>
    </w:p>
    <w:p>
      <w:pPr>
        <w:spacing w:after="0" w:line="240"/>
        <w:jc w:val="right"/>
      </w:pPr>
      <w:r>
        <w:rPr>
          <w:rFonts w:ascii="Arial" w:cs="Arial" w:eastAsia="Arial" w:hAnsi="Arial"/>
          <w:sz w:val="24"/>
          <w:szCs w:val="24"/>
        </w:rPr>
        <w:t xml:space="preserve">[Seu nome completo]</w:t>
      </w:r>
    </w:p>
    <w:p>
      <w:pPr>
        <w:spacing w:after="0" w:line="240"/>
      </w:pPr>
      <w:r>
        <w:rPr>
          <w:rFonts w:ascii="Arial" w:cs="Arial" w:eastAsia="Arial" w:hAnsi="Arial"/>
          <w:sz w:val="24"/>
          <w:szCs w:val="24"/>
        </w:rPr>
        <w:t xml:space="preserve"/>
      </w:r>
    </w:p>
    <w:p>
      <w:pPr>
        <w:spacing w:after="240" w:before="0" w:line="360"/>
        <w:jc w:val="center"/>
      </w:pPr>
      <w:r>
        <w:rPr>
          <w:rFonts w:ascii="Arial" w:cs="Arial" w:eastAsia="Arial" w:hAnsi="Arial"/>
          <w:b/>
          <w:bCs/>
          <w:sz w:val="24"/>
          <w:szCs w:val="24"/>
        </w:rPr>
        <w:t xml:space="preserve">RESENHA CRÍTICA</w:t>
      </w:r>
    </w:p>
    <w:p>
      <w:pPr>
        <w:spacing w:after="0" w:line="360"/>
        <w:ind w:firstLine="0"/>
        <w:jc w:val="both"/>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0" w:line="240"/>
      </w:pPr>
      <w:r>
        <w:rPr>
          <w:rFonts w:ascii="Arial" w:cs="Arial" w:eastAsia="Arial" w:hAnsi="Arial"/>
          <w:sz w:val="24"/>
          <w:szCs w:val="24"/>
        </w:rPr>
        <w:t xml:space="preserve"/>
      </w:r>
    </w:p>
    <w:p>
      <w:pPr>
        <w:spacing w:after="0" w:line="360"/>
        <w:ind w:firstLine="709"/>
        <w:jc w:val="both"/>
      </w:pPr>
      <w:r>
        <w:rPr>
          <w:rFonts w:ascii="Arial" w:cs="Arial" w:eastAsia="Arial" w:hAnsi="Arial"/>
          <w:sz w:val="24"/>
          <w:szCs w:val="24"/>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 e ao voltar ao Brasil passou a dedicar sua obra a causas sociais e ambientais. Sua filmografia se concentra na infância: além de Criança, a Alma do Negócio, de 2008, ela assina Muito Além do Peso, de 2012, sobre obesidade infantil, e O Começo da Vida, de 2016, sobre os primeiros anos de desenvolvimento humano. Também dirigiu a série Aruanas. Seus dois primeiros documentários foram vistos por mais de dois milhões de pessoas e alimentaram o debate público sobre a regulação da publicidade dirigida a crianças.</w:t>
      </w:r>
    </w:p>
    <w:p>
      <w:pPr>
        <w:spacing w:after="0" w:line="360"/>
        <w:ind w:firstLine="709"/>
        <w:jc w:val="both"/>
      </w:pPr>
      <w:r>
        <w:rPr>
          <w:rFonts w:ascii="Arial" w:cs="Arial" w:eastAsia="Arial" w:hAnsi="Arial"/>
          <w:sz w:val="24"/>
          <w:szCs w:val="24"/>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p>
    <w:p>
      <w:pPr>
        <w:spacing w:after="0" w:line="360"/>
        <w:ind w:firstLine="709"/>
        <w:jc w:val="both"/>
      </w:pPr>
      <w:r>
        <w:rPr>
          <w:rFonts w:ascii="Arial" w:cs="Arial" w:eastAsia="Arial" w:hAnsi="Arial"/>
          <w:sz w:val="24"/>
          <w:szCs w:val="24"/>
        </w:rPr>
        <w:t xml:space="preserve">A partir daí a obra acumula evidência. Dos 13 aos 16 minutos aparecem crianças cercadas de brinquedos que nem conseguem usar. Entre 18 e 20 minutos, com a psicóloga Julia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CONAR.</w:t>
      </w:r>
    </w:p>
    <w:p>
      <w:pPr>
        <w:spacing w:after="0" w:line="360"/>
        <w:ind w:firstLine="709"/>
        <w:jc w:val="both"/>
      </w:pPr>
      <w:r>
        <w:rPr>
          <w:rFonts w:ascii="Arial" w:cs="Arial" w:eastAsia="Arial" w:hAnsi="Arial"/>
          <w:sz w:val="24"/>
          <w:szCs w:val="24"/>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 A obra descreve o comportamento dos pais sem perguntar o que o produziu. Quem cede não está sendo permissivo por preguiça, está comprimido por uma jornada de trabalho que não deixa espaço para muito mais, e comprar vira a forma disponível de dizer que se importa. Chamar isso de fracasso individual é ignorar que a mesma lógica econômica que vende para a criança é a que consome o tempo do pai.</w:t>
      </w:r>
    </w:p>
    <w:p>
      <w:pPr>
        <w:spacing w:after="0" w:line="360"/>
        <w:ind w:firstLine="709"/>
        <w:jc w:val="both"/>
      </w:pPr>
      <w:r>
        <w:rPr>
          <w:rFonts w:ascii="Arial" w:cs="Arial" w:eastAsia="Arial" w:hAnsi="Arial"/>
          <w:sz w:val="24"/>
          <w:szCs w:val="24"/>
        </w:rPr>
        <w:t xml:space="preserve">O segundo reparo é de época, e não é culpa da direção. Em 2008 o comercial ainda tinha moldura, porque começava, terminava e ocupava um bloco separado, coisa que dava para ensinar uma criança a reconhecer. Essa borda sumiu. Hoje a publicidade não interrompe o conteúdo, ela é o conteúdo, e mudou também de onde vem: não é mais a campanha de uma grande marca em horário nobre, é um vídeo no YouTube ou no TikTok feito por alguém que a criança acompanha todo dia. Luccas Neto é o caso mais evidente no Brasil, com plateia de milhões de crianças e produtos licenciados próprios. Os jogos operam por outro mecanismo, com moedas virtuais que afastam o preço do valor e caixas de recompensa que repetem a lógica de prêmio aleatório das máquinas de apostas.</w:t>
      </w:r>
    </w:p>
    <w:p>
      <w:pPr>
        <w:spacing w:after="0" w:line="360"/>
        <w:ind w:firstLine="709"/>
        <w:jc w:val="both"/>
      </w:pPr>
      <w:r>
        <w:rPr>
          <w:rFonts w:ascii="Arial" w:cs="Arial" w:eastAsia="Arial" w:hAnsi="Arial"/>
          <w:sz w:val="24"/>
          <w:szCs w:val="24"/>
        </w:rPr>
        <w:t xml:space="preserve">No plano ético, o problema mais básico é o consentimento, porque qualquer relação de consumo defensável supõe alguém informado, capaz de avaliar e recusar, e criança não é isso. Vem depois a instrumentalização: se a pessoa deve ser tratada sempre também como fim e nunca apenas como meio (KANT, 2009), aqueles 80% da abertura dizem tudo. A crítica ao CONAR também segue de pé e hoje tem respaldo empírico, pois 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descreve como base de um capitalismo que lucra prevendo comportamento, e a responsabilidade repartida entre anunciante, agência, plataforma e influenciador. Jonas (2006) serve aqui: o dever cresce com a fragilidade de quem é afetado e o poder de quem age.</w:t>
      </w:r>
    </w:p>
    <w:p>
      <w:pPr>
        <w:spacing w:after="0" w:line="360"/>
        <w:ind w:firstLine="709"/>
        <w:jc w:val="both"/>
      </w:pPr>
      <w:r>
        <w:rPr>
          <w:rFonts w:ascii="Arial" w:cs="Arial" w:eastAsia="Arial" w:hAnsi="Arial"/>
          <w:sz w:val="24"/>
          <w:szCs w:val="24"/>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 Na prática a fiscalização é reativa e depende de denúncia, as empresas são globais enquanto a lei é nacional, e a verificação de idade segue sendo a criança digitando outro ano de nascimento. Cabe às marcas a responsabilidade primária, às plataformas o fim da alegação de neutralidade, aos profissionais de comunicação o critério sobre o que aceitam produzir, e à escola a educação midiática.</w:t>
      </w:r>
    </w:p>
    <w:p>
      <w:pPr>
        <w:spacing w:after="0" w:line="360"/>
        <w:ind w:firstLine="709"/>
        <w:jc w:val="both"/>
      </w:pPr>
      <w:r>
        <w:rPr>
          <w:rFonts w:ascii="Arial" w:cs="Arial" w:eastAsia="Arial" w:hAnsi="Arial"/>
          <w:sz w:val="24"/>
          <w:szCs w:val="24"/>
        </w:rPr>
        <w:t xml:space="preserve">O maior mérito da obra foi ter nomeado um processo que já estava em curso: a transformação da infância em mercado consumidor. De 2008 para cá mudou o meio, não a estrutura, porque a propaganda de televisão era visível e acabava, enquanto a digital não é visível e não acaba. A linguagem é acessível e o filme não exige repertório prévio, o que amplia bastante seu alcance. A obra interessa diretamente a quem estuda ou trabalha com comunicação, publicidade e marketing, mas rende também na educação básica, na saúde e no direito da infância, além de valer a conversa dentro de casa. Faço uma ressalva quanto ao uso, não quanto à qualidade: por ser de 2008, ela precisa ser vista como documento de época e discutida junto com o que a publicidade infantil se tornou nos canais de influenciadores e nas compras dentro dos jogos. Isso não diminui o filme, apenas confirma que ele chegou cedo a um problema que só piorou.</w:t>
      </w:r>
    </w:p>
    <w:p>
      <w:pPr>
        <w:spacing w:after="240" w:before="28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BAUMAN, Zygmunt. Vida para consumo: a transformação das pessoas em mercadoria. Rio de Janeiro: Zahar, 2008.</w:t>
      </w:r>
    </w:p>
    <w:p>
      <w:pPr>
        <w:spacing w:after="240" w:line="240"/>
        <w:jc w:val="left"/>
      </w:pPr>
      <w:r>
        <w:rPr>
          <w:rFonts w:ascii="Arial" w:cs="Arial" w:eastAsia="Arial" w:hAnsi="Arial"/>
          <w:sz w:val="24"/>
          <w:szCs w:val="24"/>
        </w:rPr>
        <w:t xml:space="preserve">BRASIL. [Constituição (1988)]. Constituição da República Federativa do Brasil de 1988. Brasília, DF: Presidência da República, 1988. Disponível em: https://www.planalto.gov.br/ccivil_03/constituicao/constituicao.htm. Acesso em: 9 ago. 2026.</w:t>
      </w:r>
    </w:p>
    <w:p>
      <w:pPr>
        <w:spacing w:after="240" w:line="240"/>
        <w:jc w:val="left"/>
      </w:pPr>
      <w:r>
        <w:rPr>
          <w:rFonts w:ascii="Arial" w:cs="Arial" w:eastAsia="Arial" w:hAnsi="Arial"/>
          <w:sz w:val="24"/>
          <w:szCs w:val="24"/>
        </w:rPr>
        <w:t xml:space="preserve">BRASIL. Lei nº 8.078, de 11 de setembro de 1990. Dispõe sobre a proteção do consumidor e dá outras providências. Brasília, DF: Presidência da República, 1990. Disponível em: https://www.planalto.gov.br/ccivil_03/leis/l8078compilado.htm. Acesso em: 9 ago. 2026.</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 Disponível em: https://www.planalto.gov.br/ccivil_03/_ato2015-2018/2018/lei/l13709.htm. Acesso em: 9 ago. 2026.</w:t>
      </w:r>
    </w:p>
    <w:p>
      <w:pPr>
        <w:spacing w:after="240" w:line="240"/>
        <w:jc w:val="left"/>
      </w:pPr>
      <w:r>
        <w:rPr>
          <w:rFonts w:ascii="Arial" w:cs="Arial" w:eastAsia="Arial" w:hAnsi="Arial"/>
          <w:sz w:val="24"/>
          <w:szCs w:val="24"/>
        </w:rPr>
        <w:t xml:space="preserve">BRASIL. Lei nº 15.211, de 17 de setembro de 2025. Institui o Estatuto Digital da Criança e do Adolescente. Brasília, DF: Presidência da República, 2025. Disponível em: https://www.planalto.gov.br/ccivil_03/_ato2023-2026/2025/lei/L15211.htm. Acesso em: 9 ago. 2026.</w:t>
      </w:r>
    </w:p>
    <w:p>
      <w:pPr>
        <w:spacing w:after="240" w:line="240"/>
        <w:jc w:val="left"/>
      </w:pPr>
      <w:r>
        <w:rPr>
          <w:rFonts w:ascii="Arial" w:cs="Arial" w:eastAsia="Arial" w:hAnsi="Arial"/>
          <w:sz w:val="24"/>
          <w:szCs w:val="24"/>
        </w:rPr>
        <w:t xml:space="preserve">CONANDA. Resolução nº 163, de 13 de março de 2014. Dispõe sobre a abusividade do direcionamento de publicidade e de comunicação mercadológica à criança e ao adolescente. Brasília, DF: Conselho Nacional dos Direitos da Criança e do Adolescente, 2014. Disponível em: https://www.gov.br/mdh/pt-br/acesso-a-informacao/participacao-social/conselho-nacional-dos-direitos-da-crianca-e-do-adolescente-conanda/resolucoes/resolucao-163-_publicidade-infantil.pdf. Acesso em: 9 ago. 2026.</w:t>
      </w:r>
    </w:p>
    <w:p>
      <w:pPr>
        <w:spacing w:after="240" w:line="240"/>
        <w:jc w:val="left"/>
      </w:pPr>
      <w:r>
        <w:rPr>
          <w:rFonts w:ascii="Arial" w:cs="Arial" w:eastAsia="Arial" w:hAnsi="Arial"/>
          <w:sz w:val="24"/>
          <w:szCs w:val="24"/>
        </w:rPr>
        <w:t xml:space="preserve">JONAS, Hans. O princípio responsabilidade: ensaio de uma ética para a civilização tecnológica. Rio de Janeiro: Contraponto, 2006.</w:t>
      </w:r>
    </w:p>
    <w:p>
      <w:pPr>
        <w:spacing w:after="240" w:line="240"/>
        <w:jc w:val="left"/>
      </w:pPr>
      <w:r>
        <w:rPr>
          <w:rFonts w:ascii="Arial" w:cs="Arial" w:eastAsia="Arial" w:hAnsi="Arial"/>
          <w:sz w:val="24"/>
          <w:szCs w:val="24"/>
        </w:rPr>
        <w:t xml:space="preserve">KANT, Immanuel. Fundamentação da metafísica dos costumes. São Paulo: Barcarolla, 2009.</w:t>
      </w:r>
    </w:p>
    <w:p>
      <w:pPr>
        <w:spacing w:after="240" w:line="240"/>
        <w:jc w:val="left"/>
      </w:pPr>
      <w:r>
        <w:rPr>
          <w:rFonts w:ascii="Arial" w:cs="Arial" w:eastAsia="Arial" w:hAnsi="Arial"/>
          <w:sz w:val="24"/>
          <w:szCs w:val="24"/>
        </w:rPr>
        <w:t xml:space="preserve">MATOS, J. P.; GONDO, M.; MOTA, L. S. E.; HORTA, P. M. Publicidade de alimentos direcionada à criança e ao adolescente no Brasil: análise longitudinal de denúncias no CONAR. Ciência &amp; Saúde Coletiva, v. 28, n. 7, p. 1959-1970, 2023. DOI: https://doi.org/10.1590/1413-81232023287.14752022. Acesso em: 9 ago. 2026.</w:t>
      </w:r>
    </w:p>
    <w:p>
      <w:pPr>
        <w:spacing w:after="240" w:line="240"/>
        <w:jc w:val="left"/>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240" w:line="240"/>
        <w:jc w:val="left"/>
      </w:pPr>
      <w:r>
        <w:rPr>
          <w:rFonts w:ascii="Arial" w:cs="Arial" w:eastAsia="Arial" w:hAnsi="Arial"/>
          <w:sz w:val="24"/>
          <w:szCs w:val="24"/>
        </w:rPr>
        <w:t xml:space="preserve">ZUBOFF, Shoshana. A era do capitalismo de vigilância: a luta por um futuro humano na nova fronteira do poder. Rio de Janeiro: Intrínseca, 2021.</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2026-08-09T15:50:33.771Z</dcterms:created>
  <dcterms:modified xsi:type="dcterms:W3CDTF">2026-08-09T15:50:33.771Z</dcterms:modified>
</cp:coreProperties>
</file>

<file path=docProps/custom.xml><?xml version="1.0" encoding="utf-8"?>
<Properties xmlns="http://schemas.openxmlformats.org/officeDocument/2006/custom-properties" xmlns:vt="http://schemas.openxmlformats.org/officeDocument/2006/docPropsVTypes"/>
</file>