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left"/>
      </w:pPr>
      <w:r>
        <w:rPr>
          <w:rFonts w:ascii="Arial" w:cs="Arial" w:eastAsia="Arial" w:hAnsi="Arial"/>
          <w:sz w:val="24"/>
          <w:szCs w:val="24"/>
        </w:rPr>
        <w:t xml:space="preserve">[Nome da Universidade]</w:t>
      </w:r>
    </w:p>
    <w:p>
      <w:pPr>
        <w:spacing w:after="0" w:line="240"/>
        <w:jc w:val="left"/>
      </w:pPr>
      <w:r>
        <w:rPr>
          <w:rFonts w:ascii="Arial" w:cs="Arial" w:eastAsia="Arial" w:hAnsi="Arial"/>
          <w:sz w:val="24"/>
          <w:szCs w:val="24"/>
        </w:rPr>
        <w:t xml:space="preserve">[Faculdade ou Centro]</w:t>
      </w:r>
    </w:p>
    <w:p>
      <w:pPr>
        <w:spacing w:after="0" w:line="240"/>
        <w:jc w:val="left"/>
      </w:pPr>
      <w:r>
        <w:rPr>
          <w:rFonts w:ascii="Arial" w:cs="Arial" w:eastAsia="Arial" w:hAnsi="Arial"/>
          <w:sz w:val="24"/>
          <w:szCs w:val="24"/>
        </w:rPr>
        <w:t xml:space="preserve">[Departamento ou Curso]</w:t>
      </w:r>
    </w:p>
    <w:p>
      <w:pPr>
        <w:spacing w:after="0" w:line="240"/>
        <w:jc w:val="left"/>
      </w:pPr>
      <w:r>
        <w:rPr>
          <w:rFonts w:ascii="Arial" w:cs="Arial" w:eastAsia="Arial" w:hAnsi="Arial"/>
          <w:sz w:val="24"/>
          <w:szCs w:val="24"/>
        </w:rPr>
        <w:t xml:space="preserve">Disciplina: Ética</w:t>
      </w:r>
    </w:p>
    <w:p>
      <w:pPr>
        <w:spacing w:after="0" w:line="240"/>
        <w:jc w:val="left"/>
      </w:pPr>
      <w:r>
        <w:rPr>
          <w:rFonts w:ascii="Arial" w:cs="Arial" w:eastAsia="Arial" w:hAnsi="Arial"/>
          <w:sz w:val="24"/>
          <w:szCs w:val="24"/>
        </w:rPr>
        <w:t xml:space="preserve">Professor(a): [nome do(a) professor(a)]</w:t>
      </w:r>
    </w:p>
    <w:p>
      <w:pPr>
        <w:spacing w:after="0" w:line="240"/>
      </w:pPr>
      <w:r>
        <w:rPr>
          <w:rFonts w:ascii="Arial" w:cs="Arial" w:eastAsia="Arial" w:hAnsi="Arial"/>
          <w:sz w:val="24"/>
          <w:szCs w:val="24"/>
        </w:rPr>
        <w:t xml:space="preserve"/>
      </w:r>
    </w:p>
    <w:p>
      <w:pPr>
        <w:spacing w:after="0" w:line="240"/>
        <w:jc w:val="right"/>
      </w:pPr>
      <w:r>
        <w:rPr>
          <w:rFonts w:ascii="Arial" w:cs="Arial" w:eastAsia="Arial" w:hAnsi="Arial"/>
          <w:sz w:val="24"/>
          <w:szCs w:val="24"/>
        </w:rPr>
        <w:t xml:space="preserve">[Seu nome completo]</w:t>
      </w:r>
    </w:p>
    <w:p>
      <w:pPr>
        <w:spacing w:after="0" w:line="240"/>
      </w:pPr>
      <w:r>
        <w:rPr>
          <w:rFonts w:ascii="Arial" w:cs="Arial" w:eastAsia="Arial" w:hAnsi="Arial"/>
          <w:sz w:val="24"/>
          <w:szCs w:val="24"/>
        </w:rPr>
        <w:t xml:space="preserve"/>
      </w:r>
    </w:p>
    <w:p>
      <w:pPr>
        <w:spacing w:after="240" w:before="0" w:line="360"/>
        <w:jc w:val="center"/>
      </w:pPr>
      <w:r>
        <w:rPr>
          <w:rFonts w:ascii="Arial" w:cs="Arial" w:eastAsia="Arial" w:hAnsi="Arial"/>
          <w:b/>
          <w:bCs/>
          <w:sz w:val="24"/>
          <w:szCs w:val="24"/>
        </w:rPr>
        <w:t xml:space="preserve">RESENHA CRÍTICA</w:t>
      </w:r>
    </w:p>
    <w:p>
      <w:pPr>
        <w:spacing w:after="0" w:line="360"/>
        <w:ind w:firstLine="0"/>
        <w:jc w:val="both"/>
      </w:pPr>
      <w:r>
        <w:rPr>
          <w:rFonts w:ascii="Arial" w:cs="Arial" w:eastAsia="Arial" w:hAnsi="Arial"/>
          <w:sz w:val="24"/>
          <w:szCs w:val="24"/>
        </w:rPr>
        <w:t xml:space="preserve">RENNER, Estela. Criança, a alma do negócio. São Paulo: Maria Farinha Filmes, 2008. 1 vídeo (49 min), son., color. Disponível em: https://www.youtube.com/watch?v=ur9lIf4RaZ4. Acesso em: 9 ago. 2026.</w:t>
      </w:r>
    </w:p>
    <w:p>
      <w:pPr>
        <w:spacing w:after="0" w:line="240"/>
      </w:pPr>
      <w:r>
        <w:rPr>
          <w:rFonts w:ascii="Arial" w:cs="Arial" w:eastAsia="Arial" w:hAnsi="Arial"/>
          <w:sz w:val="24"/>
          <w:szCs w:val="24"/>
        </w:rPr>
        <w:t xml:space="preserve"/>
      </w:r>
    </w:p>
    <w:p>
      <w:pPr>
        <w:spacing w:after="0" w:line="360"/>
        <w:ind w:firstLine="709"/>
        <w:jc w:val="both"/>
      </w:pPr>
      <w:r>
        <w:rPr>
          <w:rFonts w:ascii="Arial" w:cs="Arial" w:eastAsia="Arial" w:hAnsi="Arial"/>
          <w:sz w:val="24"/>
          <w:szCs w:val="24"/>
        </w:rPr>
        <w:t xml:space="preserve">Estela Renner é diretora e roteirista, cofundadora da Maria Farinha Filmes, produtora paulistana especializada em documentários de impacto social. Passou sete anos nos Estados Unidos, onde concluiu mestrado em Motion Pictures e trabalhou escrevendo e dirigindo séries de televisão, e ao voltar ao Brasil passou a dedicar sua obra a causas sociais e ambientais. Sua filmografia se concentra na infância: além de Criança, a Alma do Negócio, de 2008, ela assina Muito Além do Peso, de 2012, sobre obesidade infantil, e O Começo da Vida, de 2016, sobre os primeiros anos de desenvolvimento humano. Também dirigiu a série Aruanas. Seus dois primeiros documentários foram vistos por mais de dois milhões de pessoas e alimentaram o debate público sobre a regulação da publicidade dirigida a crianças.</w:t>
      </w:r>
    </w:p>
    <w:p>
      <w:pPr>
        <w:spacing w:after="0" w:line="360"/>
        <w:ind w:firstLine="709"/>
        <w:jc w:val="both"/>
      </w:pPr>
      <w:r>
        <w:rPr>
          <w:rFonts w:ascii="Arial" w:cs="Arial" w:eastAsia="Arial" w:hAnsi="Arial"/>
          <w:sz w:val="24"/>
          <w:szCs w:val="24"/>
        </w:rPr>
        <w:t xml:space="preserve">O documentário resenhado tem 49 minutos e dispensa narração, alternando depoimentos de crianças, entrevistas com especialistas e falas de profissionais de marketing. Logo no início, entre 1 e 3 minutos, aparece o dado que organiza a obra: cerca de 80% das decisões de compra de uma casa passam pela criança. Isso não descreve gosto infantil, descreve função, porque a criança é tratada como canal de venda para o orçamento da família. Entre 5 e 8 minutos o filme mostra que a publicidade não vende o produto, vende pertencimento, já que a promessa não é o brinquedo e sim ser aceito por causa dele. Bauman (2008) descreve esse movimento ao mostrar uma sociedade em que as pessoas viram mercadoria e se validam pelo que exibem.</w:t>
      </w:r>
    </w:p>
    <w:p>
      <w:pPr>
        <w:spacing w:after="0" w:line="360"/>
        <w:ind w:firstLine="709"/>
        <w:jc w:val="both"/>
      </w:pPr>
      <w:r>
        <w:rPr>
          <w:rFonts w:ascii="Arial" w:cs="Arial" w:eastAsia="Arial" w:hAnsi="Arial"/>
          <w:sz w:val="24"/>
          <w:szCs w:val="24"/>
        </w:rPr>
        <w:t xml:space="preserve">A partir daí a obra acumula evidência. Dos 13 aos 16 minutos aparecem crianças cercadas de brinquedos que nem conseguem usar. Entre 18 e 20 minutos, com a psicóloga Julia Marques, a discussão vai para a pressão do grupo, mostrando que o consumo decide quem entra e quem fica de fora e produz uma padronização de festas e roupas. Entre 21 e 23 minutos o filme trata dos pais, da culpa e da falta de tempo, com o presente ocupando o lugar da presença. Dos 36 aos 38 minutos entra a saúde, ligando publicidade de ultraprocessado, sedentarismo e obesidade infantil. O trecho entre 40 e 44 minutos é o mais político da obra e dirige sua crítica ao CONAR.</w:t>
      </w:r>
    </w:p>
    <w:p>
      <w:pPr>
        <w:spacing w:after="0" w:line="360"/>
        <w:ind w:firstLine="709"/>
        <w:jc w:val="both"/>
      </w:pPr>
      <w:r>
        <w:rPr>
          <w:rFonts w:ascii="Arial" w:cs="Arial" w:eastAsia="Arial" w:hAnsi="Arial"/>
          <w:sz w:val="24"/>
          <w:szCs w:val="24"/>
        </w:rPr>
        <w:t xml:space="preserve">O ponto mais forte do filme é formal: ele não precisa argumentar, basta mostrar. As falas dos profissionais de marketing são mais desconfortáveis do que qualquer cena com criança, porque não há vilania ali, há competência técnica descrevendo com naturalidade a exploração de uma vulnerabilidade. Meu principal reparo, porém, está no tratamento dado às famílias. A obra descreve o comportamento dos pais sem perguntar o que o produziu. Quem cede não está sendo permissivo por preguiça, está comprimido por uma jornada de trabalho que não deixa espaço para muito mais, e comprar vira a forma disponível de dizer que se importa. Chamar isso de fracasso individual é ignorar que a mesma lógica econômica que vende para a criança é a que consome o tempo do pai.</w:t>
      </w:r>
    </w:p>
    <w:p>
      <w:pPr>
        <w:spacing w:after="0" w:line="360"/>
        <w:ind w:firstLine="709"/>
        <w:jc w:val="both"/>
      </w:pPr>
      <w:r>
        <w:rPr>
          <w:rFonts w:ascii="Arial" w:cs="Arial" w:eastAsia="Arial" w:hAnsi="Arial"/>
          <w:sz w:val="24"/>
          <w:szCs w:val="24"/>
        </w:rPr>
        <w:t xml:space="preserve">O segundo reparo é de época, e não é culpa da direção. Em 2008 o comercial ainda tinha moldura, porque começava, terminava e ocupava um bloco separado, coisa que dava para ensinar uma criança a reconhecer. Essa borda sumiu. Hoje a publicidade não interrompe o conteúdo, ela é o conteúdo, e mudou também de onde vem: não é mais a campanha de uma grande marca em horário nobre, é um vídeo no YouTube ou no TikTok feito por alguém que a criança acompanha todo dia. Luccas Neto é o caso mais evidente no Brasil, com plateia de milhões de crianças e produtos licenciados próprios. Os jogos operam por outro mecanismo, com moedas virtuais que afastam o preço do valor e caixas de recompensa que repetem a lógica de prêmio aleatório das máquinas de apostas.</w:t>
      </w:r>
    </w:p>
    <w:p>
      <w:pPr>
        <w:spacing w:after="0" w:line="360"/>
        <w:ind w:firstLine="709"/>
        <w:jc w:val="both"/>
      </w:pPr>
      <w:r>
        <w:rPr>
          <w:rFonts w:ascii="Arial" w:cs="Arial" w:eastAsia="Arial" w:hAnsi="Arial"/>
          <w:sz w:val="24"/>
          <w:szCs w:val="24"/>
        </w:rPr>
        <w:t xml:space="preserve">No plano ético, o problema mais básico é o consentimento, porque qualquer relação de consumo defensável supõe alguém informado, capaz de avaliar e recusar, e criança não é isso. Vem depois a instrumentalização: se a pessoa deve ser tratada sempre também como fim e nunca apenas como meio (KANT, 2009), aqueles 80% da abertura dizem tudo. A crítica ao CONAR também segue de pé e hoje tem respaldo empírico, pois Matos et al. (2023) analisaram as denúncias de publicidade de alimentos dirigida a crianças enviadas ao órgão entre 2010 e 2020 e encontraram apenas 98 casos, com tendência de queda, o que indica que a autorregulação não protege quem deveria proteger. Some a isso a coleta de dados, que Zuboff (2021) descreve como base de um capitalismo que lucra prevendo comportamento, e a responsabilidade repartida entre anunciante, agência, plataforma e influenciador. Jonas (2006) serve aqui: o dever cresce com a fragilidade de quem é afetado e o poder de quem age.</w:t>
      </w:r>
    </w:p>
    <w:p>
      <w:pPr>
        <w:spacing w:after="0" w:line="360"/>
        <w:ind w:firstLine="709"/>
        <w:jc w:val="both"/>
      </w:pPr>
      <w:r>
        <w:rPr>
          <w:rFonts w:ascii="Arial" w:cs="Arial" w:eastAsia="Arial" w:hAnsi="Arial"/>
          <w:sz w:val="24"/>
          <w:szCs w:val="24"/>
        </w:rPr>
        <w:t xml:space="preserve">Quanto à legislação, avalio que ainda não é suficiente, embora o país tenha avançado desde 2008. Hoje existem o artigo 227 da Constituição (BRASIL, 1988), o artigo 37, §2º, do Código de Defesa do Consumidor (BRASIL, 1990), a Resolução nº 163 do CONANDA (2014), que considera abusiva a publicidade dirigida ao público infantil, a Lei Geral de Proteção de Dados (BRASIL, 2018) e o Estatuto Digital da Criança e do Adolescente (BRASIL, 2025), em vigor desde março de 2026. No papel é bastante. Na prática a fiscalização é reativa e depende de denúncia, as empresas são globais enquanto a lei é nacional, e a verificação de idade segue sendo a criança digitando outro ano de nascimento. Cabe às marcas a responsabilidade primária, às plataformas o fim da alegação de neutralidade, aos profissionais de comunicação o critério sobre o que aceitam produzir, e à escola a educação midiática.</w:t>
      </w:r>
    </w:p>
    <w:p>
      <w:pPr>
        <w:spacing w:after="0" w:line="360"/>
        <w:ind w:firstLine="709"/>
        <w:jc w:val="both"/>
      </w:pPr>
      <w:r>
        <w:rPr>
          <w:rFonts w:ascii="Arial" w:cs="Arial" w:eastAsia="Arial" w:hAnsi="Arial"/>
          <w:sz w:val="24"/>
          <w:szCs w:val="24"/>
        </w:rPr>
        <w:t xml:space="preserve">O maior mérito da obra foi ter nomeado um processo que já estava em curso: a transformação da infância em mercado consumidor. De 2008 para cá mudou o meio, não a estrutura, porque a propaganda de televisão era visível e acabava, enquanto a digital não é visível e não acaba. A linguagem é acessível e o filme não exige repertório prévio, o que amplia bastante seu alcance. Recomendo a obra a estudantes e profissionais de comunicação, publicidade e marketing, a professores da educação básica, a profissionais de saúde e do direito da criança e às próprias famílias, com uma ressalva: hoje ela precisa ser assistida também como documento histórico e complementada por material sobre influenciadores digitais e economia de jogos, terreno onde a publicidade infantil de fato acontece.</w:t>
      </w:r>
    </w:p>
    <w:p>
      <w:pPr>
        <w:spacing w:after="240" w:before="280" w:line="360"/>
        <w:jc w:val="center"/>
      </w:pPr>
      <w:r>
        <w:rPr>
          <w:rFonts w:ascii="Arial" w:cs="Arial" w:eastAsia="Arial" w:hAnsi="Arial"/>
          <w:b/>
          <w:bCs/>
          <w:sz w:val="24"/>
          <w:szCs w:val="24"/>
        </w:rPr>
        <w:t xml:space="preserve">REFERÊNCIAS</w:t>
      </w:r>
    </w:p>
    <w:p>
      <w:pPr>
        <w:spacing w:after="240" w:line="240"/>
        <w:jc w:val="left"/>
      </w:pPr>
      <w:r>
        <w:rPr>
          <w:rFonts w:ascii="Arial" w:cs="Arial" w:eastAsia="Arial" w:hAnsi="Arial"/>
          <w:sz w:val="24"/>
          <w:szCs w:val="24"/>
        </w:rPr>
        <w:t xml:space="preserve">BAUMAN, Zygmunt. Vida para consumo: a transformação das pessoas em mercadoria. Rio de Janeiro: Zahar, 2008.</w:t>
      </w:r>
    </w:p>
    <w:p>
      <w:pPr>
        <w:spacing w:after="240" w:line="240"/>
        <w:jc w:val="left"/>
      </w:pPr>
      <w:r>
        <w:rPr>
          <w:rFonts w:ascii="Arial" w:cs="Arial" w:eastAsia="Arial" w:hAnsi="Arial"/>
          <w:sz w:val="24"/>
          <w:szCs w:val="24"/>
        </w:rPr>
        <w:t xml:space="preserve">BRASIL. [Constituição (1988)]. Constituição da República Federativa do Brasil de 1988. Brasília, DF: Presidência da República, 1988. Disponível em: https://www.planalto.gov.br/ccivil_03/constituicao/constituicao.htm. Acesso em: 9 ago. 2026.</w:t>
      </w:r>
    </w:p>
    <w:p>
      <w:pPr>
        <w:spacing w:after="240" w:line="240"/>
        <w:jc w:val="left"/>
      </w:pPr>
      <w:r>
        <w:rPr>
          <w:rFonts w:ascii="Arial" w:cs="Arial" w:eastAsia="Arial" w:hAnsi="Arial"/>
          <w:sz w:val="24"/>
          <w:szCs w:val="24"/>
        </w:rPr>
        <w:t xml:space="preserve">BRASIL. Lei nº 8.078, de 11 de setembro de 1990. Dispõe sobre a proteção do consumidor e dá outras providências. Brasília, DF: Presidência da República, 1990. Disponível em: https://www.planalto.gov.br/ccivil_03/leis/l8078compilado.htm. Acesso em: 9 ago. 2026.</w:t>
      </w:r>
    </w:p>
    <w:p>
      <w:pPr>
        <w:spacing w:after="240" w:line="240"/>
        <w:jc w:val="left"/>
      </w:pPr>
      <w:r>
        <w:rPr>
          <w:rFonts w:ascii="Arial" w:cs="Arial" w:eastAsia="Arial" w:hAnsi="Arial"/>
          <w:sz w:val="24"/>
          <w:szCs w:val="24"/>
        </w:rPr>
        <w:t xml:space="preserve">BRASIL. Lei nº 13.709, de 14 de agosto de 2018. Lei Geral de Proteção de Dados Pessoais (LGPD). Brasília, DF: Presidência da República, 2018. Disponível em: https://www.planalto.gov.br/ccivil_03/_ato2015-2018/2018/lei/l13709.htm. Acesso em: 9 ago. 2026.</w:t>
      </w:r>
    </w:p>
    <w:p>
      <w:pPr>
        <w:spacing w:after="240" w:line="240"/>
        <w:jc w:val="left"/>
      </w:pPr>
      <w:r>
        <w:rPr>
          <w:rFonts w:ascii="Arial" w:cs="Arial" w:eastAsia="Arial" w:hAnsi="Arial"/>
          <w:sz w:val="24"/>
          <w:szCs w:val="24"/>
        </w:rPr>
        <w:t xml:space="preserve">BRASIL. Lei nº 15.211, de 17 de setembro de 2025. Institui o Estatuto Digital da Criança e do Adolescente. Brasília, DF: Presidência da República, 2025. Disponível em: https://www.planalto.gov.br/ccivil_03/_ato2023-2026/2025/lei/L15211.htm. Acesso em: 9 ago. 2026.</w:t>
      </w:r>
    </w:p>
    <w:p>
      <w:pPr>
        <w:spacing w:after="240" w:line="240"/>
        <w:jc w:val="left"/>
      </w:pPr>
      <w:r>
        <w:rPr>
          <w:rFonts w:ascii="Arial" w:cs="Arial" w:eastAsia="Arial" w:hAnsi="Arial"/>
          <w:sz w:val="24"/>
          <w:szCs w:val="24"/>
        </w:rPr>
        <w:t xml:space="preserve">CONANDA. Resolução nº 163, de 13 de março de 2014. Dispõe sobre a abusividade do direcionamento de publicidade e de comunicação mercadológica à criança e ao adolescente. Brasília, DF: Conselho Nacional dos Direitos da Criança e do Adolescente, 2014. Disponível em: https://www.gov.br/mdh/pt-br/acesso-a-informacao/participacao-social/conselho-nacional-dos-direitos-da-crianca-e-do-adolescente-conanda/resolucoes/resolucao-163-_publicidade-infantil.pdf. Acesso em: 9 ago. 2026.</w:t>
      </w:r>
    </w:p>
    <w:p>
      <w:pPr>
        <w:spacing w:after="240" w:line="240"/>
        <w:jc w:val="left"/>
      </w:pPr>
      <w:r>
        <w:rPr>
          <w:rFonts w:ascii="Arial" w:cs="Arial" w:eastAsia="Arial" w:hAnsi="Arial"/>
          <w:sz w:val="24"/>
          <w:szCs w:val="24"/>
        </w:rPr>
        <w:t xml:space="preserve">JONAS, Hans. O princípio responsabilidade: ensaio de uma ética para a civilização tecnológica. Rio de Janeiro: Contraponto, 2006.</w:t>
      </w:r>
    </w:p>
    <w:p>
      <w:pPr>
        <w:spacing w:after="240" w:line="240"/>
        <w:jc w:val="left"/>
      </w:pPr>
      <w:r>
        <w:rPr>
          <w:rFonts w:ascii="Arial" w:cs="Arial" w:eastAsia="Arial" w:hAnsi="Arial"/>
          <w:sz w:val="24"/>
          <w:szCs w:val="24"/>
        </w:rPr>
        <w:t xml:space="preserve">KANT, Immanuel. Fundamentação da metafísica dos costumes. São Paulo: Barcarolla, 2009.</w:t>
      </w:r>
    </w:p>
    <w:p>
      <w:pPr>
        <w:spacing w:after="240" w:line="240"/>
        <w:jc w:val="left"/>
      </w:pPr>
      <w:r>
        <w:rPr>
          <w:rFonts w:ascii="Arial" w:cs="Arial" w:eastAsia="Arial" w:hAnsi="Arial"/>
          <w:sz w:val="24"/>
          <w:szCs w:val="24"/>
        </w:rPr>
        <w:t xml:space="preserve">MATOS, J. P.; GONDO, M.; MOTA, L. S. E.; HORTA, P. M. Publicidade de alimentos direcionada à criança e ao adolescente no Brasil: análise longitudinal de denúncias no CONAR. Ciência &amp; Saúde Coletiva, v. 28, n. 7, p. 1959-1970, 2023. DOI: https://doi.org/10.1590/1413-81232023287.14752022. Acesso em: 9 ago. 2026.</w:t>
      </w:r>
    </w:p>
    <w:p>
      <w:pPr>
        <w:spacing w:after="240" w:line="240"/>
        <w:jc w:val="left"/>
      </w:pPr>
      <w:r>
        <w:rPr>
          <w:rFonts w:ascii="Arial" w:cs="Arial" w:eastAsia="Arial" w:hAnsi="Arial"/>
          <w:sz w:val="24"/>
          <w:szCs w:val="24"/>
        </w:rPr>
        <w:t xml:space="preserve">RENNER, Estela. Criança, a alma do negócio. São Paulo: Maria Farinha Filmes, 2008. 1 vídeo (49 min), son., color. Disponível em: https://www.youtube.com/watch?v=ur9lIf4RaZ4. Acesso em: 9 ago. 2026.</w:t>
      </w:r>
    </w:p>
    <w:p>
      <w:pPr>
        <w:spacing w:after="240" w:line="240"/>
        <w:jc w:val="left"/>
      </w:pPr>
      <w:r>
        <w:rPr>
          <w:rFonts w:ascii="Arial" w:cs="Arial" w:eastAsia="Arial" w:hAnsi="Arial"/>
          <w:sz w:val="24"/>
          <w:szCs w:val="24"/>
        </w:rPr>
        <w:t xml:space="preserve">ZUBOFF, Shoshana. A era do capitalismo de vigilância: a luta por um futuro humano na nova fronteira do poder. Rio de Janeiro: Intrínseca, 2021.</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2026-08-09T15:45:38.190Z</dcterms:created>
  <dcterms:modified xsi:type="dcterms:W3CDTF">2026-08-09T15:45:38.203Z</dcterms:modified>
</cp:coreProperties>
</file>

<file path=docProps/custom.xml><?xml version="1.0" encoding="utf-8"?>
<Properties xmlns="http://schemas.openxmlformats.org/officeDocument/2006/custom-properties" xmlns:vt="http://schemas.openxmlformats.org/officeDocument/2006/docPropsVTypes"/>
</file>