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sz w:val="22"/>
        </w:rPr>
        <w:t>CENTRO UNIVERSITÁRIO CAMPO REAL</w:t>
      </w:r>
    </w:p>
    <w:p>
      <w:pPr>
        <w:spacing w:after="0" w:line="276" w:lineRule="auto"/>
      </w:pPr>
      <w:r>
        <w:rPr>
          <w:b/>
          <w:sz w:val="22"/>
        </w:rPr>
        <w:t xml:space="preserve">Acadêmico(a): </w:t>
      </w:r>
      <w:r>
        <w:rPr>
          <w:sz w:val="22"/>
        </w:rPr>
        <w:t>Kélita Schulz</w:t>
      </w:r>
    </w:p>
    <w:p>
      <w:pPr>
        <w:spacing w:after="0" w:line="276" w:lineRule="auto"/>
      </w:pPr>
      <w:r>
        <w:rPr>
          <w:b/>
          <w:sz w:val="22"/>
        </w:rPr>
        <w:t xml:space="preserve">Matéria: </w:t>
      </w:r>
      <w:r>
        <w:rPr>
          <w:sz w:val="22"/>
        </w:rPr>
        <w:t>Publicidade Responsável</w:t>
      </w:r>
    </w:p>
    <w:p>
      <w:pPr>
        <w:spacing w:after="0" w:line="276" w:lineRule="auto"/>
      </w:pPr>
      <w:r>
        <w:rPr>
          <w:b/>
          <w:sz w:val="22"/>
        </w:rPr>
        <w:t xml:space="preserve">Professor(a): </w:t>
      </w:r>
      <w:r>
        <w:rPr>
          <w:sz w:val="22"/>
        </w:rPr>
        <w:t>Vanessa Lobato</w:t>
      </w:r>
    </w:p>
    <w:p>
      <w:pPr>
        <w:spacing w:after="0" w:line="276" w:lineRule="auto"/>
      </w:pPr>
      <w:r>
        <w:rPr>
          <w:b/>
          <w:sz w:val="22"/>
        </w:rPr>
        <w:t xml:space="preserve">Livro: </w:t>
      </w:r>
      <w:r>
        <w:rPr>
          <w:sz w:val="22"/>
        </w:rPr>
        <w:t>Convite à Filosofia</w:t>
      </w:r>
    </w:p>
    <w:p>
      <w:pPr>
        <w:spacing w:after="0" w:line="276" w:lineRule="auto"/>
      </w:pPr>
      <w:r>
        <w:rPr>
          <w:b/>
          <w:sz w:val="22"/>
        </w:rPr>
        <w:t xml:space="preserve">Autora: </w:t>
      </w:r>
      <w:r>
        <w:rPr>
          <w:sz w:val="22"/>
        </w:rPr>
        <w:t>Marilena Chauí</w:t>
      </w:r>
    </w:p>
    <w:p>
      <w:pPr>
        <w:spacing w:after="0" w:line="276" w:lineRule="auto"/>
      </w:pPr>
      <w:r>
        <w:rPr>
          <w:b/>
          <w:sz w:val="22"/>
        </w:rPr>
        <w:t xml:space="preserve">Referência: </w:t>
      </w:r>
      <w:r>
        <w:rPr>
          <w:sz w:val="22"/>
        </w:rPr>
        <w:t>CHAUÍ, Marilena. Convite à Filosofia. São Paulo: Ática, 2000.</w:t>
      </w:r>
    </w:p>
    <w:p>
      <w:pPr>
        <w:spacing w:before="280" w:after="200"/>
        <w:jc w:val="center"/>
      </w:pPr>
      <w:r>
        <w:rPr>
          <w:b/>
          <w:sz w:val="24"/>
        </w:rPr>
        <w:t>FICHAMENTO CAPÍTULO 4: A EXISTÊNCIA ÉTICA</w:t>
      </w:r>
    </w:p>
    <w:tbl>
      <w:tblPr>
        <w:tblW w:type="auto" w:w="0"/>
        <w:jc w:val="center"/>
        <w:tblLayout w:type="fixed"/>
        <w:tblLook w:firstColumn="1" w:firstRow="1" w:lastColumn="0" w:lastRow="0" w:noHBand="0" w:noVBand="1" w:val="04A0"/>
      </w:tblPr>
      <w:tblGrid>
        <w:gridCol w:w="4853"/>
        <w:gridCol w:w="4853"/>
        <w:gridCol w:w="4853"/>
      </w:tblGrid>
      <w:tr>
        <w:trPr>
          <w:tblHeader w:val="true"/>
        </w:trPr>
        <w:tc>
          <w:tcPr>
            <w:tcW w:type="dxa" w:w="1250"/>
            <w:vAlign w:val="center"/>
            <w:tcBorders>
              <w:top w:val="single" w:sz="8" w:color="000000"/>
              <w:left w:val="single" w:sz="8" w:color="000000"/>
              <w:bottom w:val="single" w:sz="8" w:color="000000"/>
              <w:right w:val="single" w:sz="8" w:color="000000"/>
            </w:tcBorders>
          </w:tcPr>
          <w:p>
            <w:pPr>
              <w:spacing w:before="60" w:after="60" w:line="276" w:lineRule="auto"/>
              <w:jc w:val="center"/>
            </w:pPr>
            <w:r>
              <w:rPr>
                <w:rFonts w:ascii="Arial" w:hAnsi="Arial"/>
                <w:b/>
                <w:sz w:val="22"/>
              </w:rPr>
              <w:t>PÁGINA</w:t>
            </w:r>
          </w:p>
        </w:tc>
        <w:tc>
          <w:tcPr>
            <w:tcW w:type="dxa" w:w="5960"/>
            <w:vAlign w:val="center"/>
            <w:tcBorders>
              <w:top w:val="single" w:sz="8" w:color="000000"/>
              <w:left w:val="single" w:sz="8" w:color="000000"/>
              <w:bottom w:val="single" w:sz="8" w:color="000000"/>
              <w:right w:val="single" w:sz="8" w:color="000000"/>
            </w:tcBorders>
          </w:tcPr>
          <w:p>
            <w:pPr>
              <w:spacing w:before="60" w:after="60" w:line="276" w:lineRule="auto"/>
              <w:jc w:val="center"/>
            </w:pPr>
            <w:r>
              <w:rPr>
                <w:rFonts w:ascii="Arial" w:hAnsi="Arial"/>
                <w:b/>
                <w:sz w:val="22"/>
              </w:rPr>
              <w:t>CITAÇÃO</w:t>
            </w:r>
          </w:p>
        </w:tc>
        <w:tc>
          <w:tcPr>
            <w:tcW w:type="dxa" w:w="7340"/>
            <w:vAlign w:val="center"/>
            <w:tcBorders>
              <w:top w:val="single" w:sz="8" w:color="000000"/>
              <w:left w:val="single" w:sz="8" w:color="000000"/>
              <w:bottom w:val="single" w:sz="8" w:color="000000"/>
              <w:right w:val="single" w:sz="8" w:color="000000"/>
            </w:tcBorders>
          </w:tcPr>
          <w:p>
            <w:pPr>
              <w:spacing w:before="60" w:after="60" w:line="276" w:lineRule="auto"/>
              <w:jc w:val="center"/>
            </w:pPr>
            <w:r>
              <w:rPr>
                <w:rFonts w:ascii="Arial" w:hAnsi="Arial"/>
                <w:b/>
                <w:sz w:val="22"/>
              </w:rPr>
              <w:t>COMENTÁRIOS, IDEIAS E ASSOCIAÇÕES SOBRE O TEXTO</w:t>
            </w:r>
          </w:p>
        </w:tc>
      </w:tr>
      <w:tr>
        <w:tc>
          <w:tcPr>
            <w:tcW w:type="dxa" w:w="1250"/>
            <w:vAlign w:val="center"/>
            <w:tcBorders>
              <w:top w:val="single" w:sz="8" w:color="000000"/>
              <w:left w:val="single" w:sz="8" w:color="000000"/>
              <w:bottom w:val="single" w:sz="8" w:color="000000"/>
              <w:right w:val="single" w:sz="8" w:color="000000"/>
            </w:tcBorders>
          </w:tcPr>
          <w:p>
            <w:pPr>
              <w:spacing w:before="60" w:after="60" w:line="276" w:lineRule="auto"/>
              <w:jc w:val="center"/>
            </w:pPr>
            <w:r>
              <w:rPr>
                <w:rFonts w:ascii="Arial" w:hAnsi="Arial"/>
                <w:b w:val="0"/>
                <w:sz w:val="20"/>
              </w:rPr>
              <w:t>429</w:t>
            </w:r>
          </w:p>
        </w:tc>
        <w:tc>
          <w:tcPr>
            <w:tcW w:type="dxa" w:w="5960"/>
            <w:vAlign w:val="center"/>
            <w:tcBorders>
              <w:top w:val="single" w:sz="8" w:color="000000"/>
              <w:left w:val="single" w:sz="8" w:color="000000"/>
              <w:bottom w:val="single" w:sz="8" w:color="000000"/>
              <w:right w:val="single" w:sz="8" w:color="000000"/>
            </w:tcBorders>
          </w:tcPr>
          <w:p>
            <w:pPr>
              <w:spacing w:before="60" w:after="60" w:line="276" w:lineRule="auto"/>
              <w:jc w:val="both"/>
            </w:pPr>
            <w:r>
              <w:rPr>
                <w:rFonts w:ascii="Arial" w:hAnsi="Arial"/>
                <w:b w:val="0"/>
                <w:sz w:val="20"/>
              </w:rPr>
              <w:t>“Sentimos piedade. Sentimos indignação diante de tamanha injustiça [...] Sentimos responsabilidade. Movidos pela solidariedade, participamos de campanhas contra a fome. Nossos sentimentos e nossas ações exprimem nosso senso moral.”</w:t>
            </w:r>
          </w:p>
        </w:tc>
        <w:tc>
          <w:tcPr>
            <w:tcW w:type="dxa" w:w="7340"/>
            <w:vAlign w:val="center"/>
            <w:tcBorders>
              <w:top w:val="single" w:sz="8" w:color="000000"/>
              <w:left w:val="single" w:sz="8" w:color="000000"/>
              <w:bottom w:val="single" w:sz="8" w:color="000000"/>
              <w:right w:val="single" w:sz="8" w:color="000000"/>
            </w:tcBorders>
          </w:tcPr>
          <w:p>
            <w:pPr>
              <w:spacing w:before="60" w:after="60" w:line="276" w:lineRule="auto"/>
              <w:jc w:val="both"/>
            </w:pPr>
            <w:r>
              <w:rPr>
                <w:rFonts w:ascii="Arial" w:hAnsi="Arial"/>
                <w:b w:val="0"/>
                <w:sz w:val="20"/>
              </w:rPr>
              <w:t>Chauí abre o capítulo sem apresentar nenhuma definição, ela parte de situações que qualquer pessoa já viveu. Achei essa escolha significativa, porque mostra que o senso moral não é algo que aprendemos numa aula de ética: ele já está funcionando quando sentimos piedade ou indignação diante da fome alheia. A autora trata o sentimento como manifestação moral legítima, e não como reação irracional que atrapalha o julgamento. Isso desloca o ponto de partida do capítulo, já que antes de qualquer raciocínio sobre o que é certo existe uma reação afetiva nos orientando.</w:t>
            </w:r>
          </w:p>
        </w:tc>
      </w:tr>
      <w:tr>
        <w:tc>
          <w:tcPr>
            <w:tcW w:type="dxa" w:w="1250"/>
            <w:vAlign w:val="center"/>
            <w:tcBorders>
              <w:top w:val="single" w:sz="8" w:color="000000"/>
              <w:left w:val="single" w:sz="8" w:color="000000"/>
              <w:bottom w:val="single" w:sz="8" w:color="000000"/>
              <w:right w:val="single" w:sz="8" w:color="000000"/>
            </w:tcBorders>
          </w:tcPr>
          <w:p>
            <w:pPr>
              <w:spacing w:before="60" w:after="60" w:line="276" w:lineRule="auto"/>
              <w:jc w:val="center"/>
            </w:pPr>
            <w:r>
              <w:rPr>
                <w:rFonts w:ascii="Arial" w:hAnsi="Arial"/>
                <w:b w:val="0"/>
                <w:sz w:val="20"/>
              </w:rPr>
              <w:t>429</w:t>
            </w:r>
          </w:p>
        </w:tc>
        <w:tc>
          <w:tcPr>
            <w:tcW w:type="dxa" w:w="5960"/>
            <w:vAlign w:val="center"/>
            <w:tcBorders>
              <w:top w:val="single" w:sz="8" w:color="000000"/>
              <w:left w:val="single" w:sz="8" w:color="000000"/>
              <w:bottom w:val="single" w:sz="8" w:color="000000"/>
              <w:right w:val="single" w:sz="8" w:color="000000"/>
            </w:tcBorders>
          </w:tcPr>
          <w:p>
            <w:pPr>
              <w:spacing w:before="60" w:after="60" w:line="276" w:lineRule="auto"/>
              <w:jc w:val="both"/>
            </w:pPr>
            <w:r>
              <w:rPr>
                <w:rFonts w:ascii="Arial" w:hAnsi="Arial"/>
                <w:b w:val="0"/>
                <w:sz w:val="20"/>
              </w:rPr>
              <w:t>“Sentimos cólera diante do cinismo dos mentirosos, dos que usam outras pessoas como instrumento para seus interesses e para conseguir vantagens às custas da boa-fé de outros. Todos esses sentimentos manifestam nosso senso moral.”</w:t>
            </w:r>
          </w:p>
        </w:tc>
        <w:tc>
          <w:tcPr>
            <w:tcW w:type="dxa" w:w="7340"/>
            <w:vAlign w:val="center"/>
            <w:tcBorders>
              <w:top w:val="single" w:sz="8" w:color="000000"/>
              <w:left w:val="single" w:sz="8" w:color="000000"/>
              <w:bottom w:val="single" w:sz="8" w:color="000000"/>
              <w:right w:val="single" w:sz="8" w:color="000000"/>
            </w:tcBorders>
          </w:tcPr>
          <w:p>
            <w:pPr>
              <w:spacing w:before="60" w:after="60" w:line="276" w:lineRule="auto"/>
              <w:jc w:val="both"/>
            </w:pPr>
            <w:r>
              <w:rPr>
                <w:rFonts w:ascii="Arial" w:hAnsi="Arial"/>
                <w:b w:val="0"/>
                <w:sz w:val="20"/>
              </w:rPr>
              <w:t>Dentro da lista de situações que provocam nossa cólera, esta é a que mais me interessou. Chauí coloca lado a lado o mentiroso e aquele que usa o outro como instrumento, tratando os dois como formas de um mesmo problema. Pensando na comunicação, fica difícil não relacionar isso com peças construídas sobre informação incompleta, em que o público deixa de ser destinatário de uma mensagem e vira meio para atingir uma meta. A expressão “às custas da boa-fé de outros” descreve bem esse mecanismo, porque a confiança de quem recebe a mensagem é justamente o recurso que está sendo explorado.</w:t>
            </w:r>
          </w:p>
        </w:tc>
      </w:tr>
      <w:tr>
        <w:tc>
          <w:tcPr>
            <w:tcW w:type="dxa" w:w="1250"/>
            <w:vAlign w:val="center"/>
            <w:tcBorders>
              <w:top w:val="single" w:sz="8" w:color="000000"/>
              <w:left w:val="single" w:sz="8" w:color="000000"/>
              <w:bottom w:val="single" w:sz="8" w:color="000000"/>
              <w:right w:val="single" w:sz="8" w:color="000000"/>
            </w:tcBorders>
          </w:tcPr>
          <w:p>
            <w:pPr>
              <w:spacing w:before="60" w:after="60" w:line="276" w:lineRule="auto"/>
              <w:jc w:val="center"/>
            </w:pPr>
            <w:r>
              <w:rPr>
                <w:rFonts w:ascii="Arial" w:hAnsi="Arial"/>
                <w:b w:val="0"/>
                <w:sz w:val="20"/>
              </w:rPr>
              <w:t>430</w:t>
            </w:r>
          </w:p>
        </w:tc>
        <w:tc>
          <w:tcPr>
            <w:tcW w:type="dxa" w:w="5960"/>
            <w:vAlign w:val="center"/>
            <w:tcBorders>
              <w:top w:val="single" w:sz="8" w:color="000000"/>
              <w:left w:val="single" w:sz="8" w:color="000000"/>
              <w:bottom w:val="single" w:sz="8" w:color="000000"/>
              <w:right w:val="single" w:sz="8" w:color="000000"/>
            </w:tcBorders>
          </w:tcPr>
          <w:p>
            <w:pPr>
              <w:spacing w:before="60" w:after="60" w:line="276" w:lineRule="auto"/>
              <w:jc w:val="both"/>
            </w:pPr>
            <w:r>
              <w:rPr>
                <w:rFonts w:ascii="Arial" w:hAnsi="Arial"/>
                <w:b w:val="0"/>
                <w:sz w:val="20"/>
              </w:rPr>
              <w:t>“Situações como essas [...] surgem sempre em nossas vidas. Nossas dúvidas quanto à decisão a tomar não manifestam apenas nosso senso moral, mas também põem à prova nossa consciência moral, pois exigem que decidamos o que fazer [...]”</w:t>
            </w:r>
          </w:p>
        </w:tc>
        <w:tc>
          <w:tcPr>
            <w:tcW w:type="dxa" w:w="7340"/>
            <w:vAlign w:val="center"/>
            <w:tcBorders>
              <w:top w:val="single" w:sz="8" w:color="000000"/>
              <w:left w:val="single" w:sz="8" w:color="000000"/>
              <w:bottom w:val="single" w:sz="8" w:color="000000"/>
              <w:right w:val="single" w:sz="8" w:color="000000"/>
            </w:tcBorders>
          </w:tcPr>
          <w:p>
            <w:pPr>
              <w:spacing w:before="60" w:after="60" w:line="276" w:lineRule="auto"/>
              <w:jc w:val="both"/>
            </w:pPr>
            <w:r>
              <w:rPr>
                <w:rFonts w:ascii="Arial" w:hAnsi="Arial"/>
                <w:b w:val="0"/>
                <w:sz w:val="20"/>
              </w:rPr>
              <w:t>Aqui aparece a diferença entre sentir e decidir. O senso moral reage sozinho, mas a consciência moral só entra em cena quando a situação não tem saída óbvia e alguém precisa escolher. Reparei que a autora construiu os exemplos anteriores exatamente sem solução limpa, todos eles colocam valores legítimos em choque entre si. O que sustenta a consciência moral, então, não é acertar a resposta, e sim conseguir dar razões pela escolha feita e continuar respondendo por ela depois.</w:t>
            </w:r>
          </w:p>
        </w:tc>
      </w:tr>
      <w:tr>
        <w:tc>
          <w:tcPr>
            <w:tcW w:type="dxa" w:w="1250"/>
            <w:vAlign w:val="center"/>
            <w:tcBorders>
              <w:top w:val="single" w:sz="8" w:color="000000"/>
              <w:left w:val="single" w:sz="8" w:color="000000"/>
              <w:bottom w:val="single" w:sz="8" w:color="000000"/>
              <w:right w:val="single" w:sz="8" w:color="000000"/>
            </w:tcBorders>
          </w:tcPr>
          <w:p>
            <w:pPr>
              <w:spacing w:before="60" w:after="60" w:line="276" w:lineRule="auto"/>
              <w:jc w:val="center"/>
            </w:pPr>
            <w:r>
              <w:rPr>
                <w:rFonts w:ascii="Arial" w:hAnsi="Arial"/>
                <w:b w:val="0"/>
                <w:sz w:val="20"/>
              </w:rPr>
              <w:t>431</w:t>
            </w:r>
          </w:p>
        </w:tc>
        <w:tc>
          <w:tcPr>
            <w:tcW w:type="dxa" w:w="5960"/>
            <w:vAlign w:val="center"/>
            <w:tcBorders>
              <w:top w:val="single" w:sz="8" w:color="000000"/>
              <w:left w:val="single" w:sz="8" w:color="000000"/>
              <w:bottom w:val="single" w:sz="8" w:color="000000"/>
              <w:right w:val="single" w:sz="8" w:color="000000"/>
            </w:tcBorders>
          </w:tcPr>
          <w:p>
            <w:pPr>
              <w:spacing w:before="60" w:after="60" w:line="276" w:lineRule="auto"/>
              <w:jc w:val="both"/>
            </w:pPr>
            <w:r>
              <w:rPr>
                <w:rFonts w:ascii="Arial" w:hAnsi="Arial"/>
                <w:b w:val="0"/>
                <w:sz w:val="20"/>
              </w:rPr>
              <w:t>“O senso e a consciência moral dizem respeito a valores, sentimentos, intenções, decisões e ações referidos ao bem e ao mal e ao desejo de felicidade. Dizem respeito às relações que mantemos com os outros e, portanto, nascem e existem como parte de nossa vida intersubjetiva.”</w:t>
            </w:r>
          </w:p>
        </w:tc>
        <w:tc>
          <w:tcPr>
            <w:tcW w:type="dxa" w:w="7340"/>
            <w:vAlign w:val="center"/>
            <w:tcBorders>
              <w:top w:val="single" w:sz="8" w:color="000000"/>
              <w:left w:val="single" w:sz="8" w:color="000000"/>
              <w:bottom w:val="single" w:sz="8" w:color="000000"/>
              <w:right w:val="single" w:sz="8" w:color="000000"/>
            </w:tcBorders>
          </w:tcPr>
          <w:p>
            <w:pPr>
              <w:spacing w:before="60" w:after="60" w:line="276" w:lineRule="auto"/>
              <w:jc w:val="both"/>
            </w:pPr>
            <w:r>
              <w:rPr>
                <w:rFonts w:ascii="Arial" w:hAnsi="Arial"/>
                <w:b w:val="0"/>
                <w:sz w:val="20"/>
              </w:rPr>
              <w:t>Depois de tantos exemplos, a autora enfim organiza o que vinha construindo. Considero importante o final da frase, quando ela afirma que a moral nasce da nossa vida intersubjetiva. A ética, nesse sentido, não é um assunto que a pessoa resolve sozinha consigo mesma, ela existe porque convivemos. Se a moral fosse puramente individual, bastaria a coerência interna de cada um e o restante do capítulo perderia o sentido, já que não haveria por que discutir consequências para os outros.</w:t>
            </w:r>
          </w:p>
        </w:tc>
      </w:tr>
      <w:tr>
        <w:tc>
          <w:tcPr>
            <w:tcW w:type="dxa" w:w="1250"/>
            <w:vAlign w:val="center"/>
            <w:tcBorders>
              <w:top w:val="single" w:sz="8" w:color="000000"/>
              <w:left w:val="single" w:sz="8" w:color="000000"/>
              <w:bottom w:val="single" w:sz="8" w:color="000000"/>
              <w:right w:val="single" w:sz="8" w:color="000000"/>
            </w:tcBorders>
          </w:tcPr>
          <w:p>
            <w:pPr>
              <w:spacing w:before="60" w:after="60" w:line="276" w:lineRule="auto"/>
              <w:jc w:val="center"/>
            </w:pPr>
            <w:r>
              <w:rPr>
                <w:rFonts w:ascii="Arial" w:hAnsi="Arial"/>
                <w:b w:val="0"/>
                <w:sz w:val="20"/>
              </w:rPr>
              <w:t>431</w:t>
            </w:r>
          </w:p>
        </w:tc>
        <w:tc>
          <w:tcPr>
            <w:tcW w:type="dxa" w:w="5960"/>
            <w:vAlign w:val="center"/>
            <w:tcBorders>
              <w:top w:val="single" w:sz="8" w:color="000000"/>
              <w:left w:val="single" w:sz="8" w:color="000000"/>
              <w:bottom w:val="single" w:sz="8" w:color="000000"/>
              <w:right w:val="single" w:sz="8" w:color="000000"/>
            </w:tcBorders>
          </w:tcPr>
          <w:p>
            <w:pPr>
              <w:spacing w:before="60" w:after="60" w:line="276" w:lineRule="auto"/>
              <w:jc w:val="both"/>
            </w:pPr>
            <w:r>
              <w:rPr>
                <w:rFonts w:ascii="Arial" w:hAnsi="Arial"/>
                <w:b w:val="0"/>
                <w:sz w:val="20"/>
              </w:rPr>
              <w:t>“Juízos de fato são aqueles que dizem o que as coisas são, como são e por que são. [...] Juízos de valor avaliam coisas, pessoas, ações, experiências, acontecimentos, sentimentos, estados de espírito, intenções e decisões como bons ou maus, desejáveis ou indesejáveis.”</w:t>
            </w:r>
          </w:p>
        </w:tc>
        <w:tc>
          <w:tcPr>
            <w:tcW w:type="dxa" w:w="7340"/>
            <w:vAlign w:val="center"/>
            <w:tcBorders>
              <w:top w:val="single" w:sz="8" w:color="000000"/>
              <w:left w:val="single" w:sz="8" w:color="000000"/>
              <w:bottom w:val="single" w:sz="8" w:color="000000"/>
              <w:right w:val="single" w:sz="8" w:color="000000"/>
            </w:tcBorders>
          </w:tcPr>
          <w:p>
            <w:pPr>
              <w:spacing w:before="60" w:after="60" w:line="276" w:lineRule="auto"/>
              <w:jc w:val="both"/>
            </w:pPr>
            <w:r>
              <w:rPr>
                <w:rFonts w:ascii="Arial" w:hAnsi="Arial"/>
                <w:b w:val="0"/>
                <w:sz w:val="20"/>
              </w:rPr>
              <w:t>A distinção parece simples numa primeira leitura, mas sustenta boa parte do capítulo. Constatar e avaliar são operações diferentes, e o problema começa quando uma se disfarça da outra. Isso me fez pensar em quanto da linguagem publicitária opera nessa fronteira, apresentando como característica do produto aquilo que é, na verdade, um julgamento de valor embutido. Quando uma avaliação chega ao público com aparência de fato constatado, o interlocutor perde a chance de discordar, porque nem percebe que havia ali alguma coisa para ser discutida.</w:t>
            </w:r>
          </w:p>
        </w:tc>
      </w:tr>
      <w:tr>
        <w:tc>
          <w:tcPr>
            <w:tcW w:type="dxa" w:w="1250"/>
            <w:vAlign w:val="center"/>
            <w:tcBorders>
              <w:top w:val="single" w:sz="8" w:color="000000"/>
              <w:left w:val="single" w:sz="8" w:color="000000"/>
              <w:bottom w:val="single" w:sz="8" w:color="000000"/>
              <w:right w:val="single" w:sz="8" w:color="000000"/>
            </w:tcBorders>
          </w:tcPr>
          <w:p>
            <w:pPr>
              <w:spacing w:before="60" w:after="60" w:line="276" w:lineRule="auto"/>
              <w:jc w:val="center"/>
            </w:pPr>
            <w:r>
              <w:rPr>
                <w:rFonts w:ascii="Arial" w:hAnsi="Arial"/>
                <w:b w:val="0"/>
                <w:sz w:val="20"/>
              </w:rPr>
              <w:t>431</w:t>
            </w:r>
          </w:p>
        </w:tc>
        <w:tc>
          <w:tcPr>
            <w:tcW w:type="dxa" w:w="5960"/>
            <w:vAlign w:val="center"/>
            <w:tcBorders>
              <w:top w:val="single" w:sz="8" w:color="000000"/>
              <w:left w:val="single" w:sz="8" w:color="000000"/>
              <w:bottom w:val="single" w:sz="8" w:color="000000"/>
              <w:right w:val="single" w:sz="8" w:color="000000"/>
            </w:tcBorders>
          </w:tcPr>
          <w:p>
            <w:pPr>
              <w:spacing w:before="60" w:after="60" w:line="276" w:lineRule="auto"/>
              <w:jc w:val="both"/>
            </w:pPr>
            <w:r>
              <w:rPr>
                <w:rFonts w:ascii="Arial" w:hAnsi="Arial"/>
                <w:b w:val="0"/>
                <w:sz w:val="20"/>
              </w:rPr>
              <w:t>“Os juízos éticos de valor são também normativos, isto é, enunciam normas que determinam o dever ser de nossos sentimentos, nossos atos, nossos comportamentos. São juízos que enunciam obrigações e avaliam intenções e ações segundo o critério do correto e do incorreto.”</w:t>
            </w:r>
          </w:p>
        </w:tc>
        <w:tc>
          <w:tcPr>
            <w:tcW w:type="dxa" w:w="7340"/>
            <w:vAlign w:val="center"/>
            <w:tcBorders>
              <w:top w:val="single" w:sz="8" w:color="000000"/>
              <w:left w:val="single" w:sz="8" w:color="000000"/>
              <w:bottom w:val="single" w:sz="8" w:color="000000"/>
              <w:right w:val="single" w:sz="8" w:color="000000"/>
            </w:tcBorders>
          </w:tcPr>
          <w:p>
            <w:pPr>
              <w:spacing w:before="60" w:after="60" w:line="276" w:lineRule="auto"/>
              <w:jc w:val="both"/>
            </w:pPr>
            <w:r>
              <w:rPr>
                <w:rFonts w:ascii="Arial" w:hAnsi="Arial"/>
                <w:b w:val="0"/>
                <w:sz w:val="20"/>
              </w:rPr>
              <w:t>O que a autora acrescenta neste ponto é que o juízo ético não para na avaliação, ele prescreve. Não diz apenas que alguma coisa é boa, diz que devemos buscá-la. Esse caráter obrigatório ajuda a entender por que discussões morais costumam ser bem mais tensas que discussões factuais: quando alguém discorda de um juízo ético, não está corrigindo uma informação, está recusando uma obrigação que estava sendo atribuída a ele.</w:t>
            </w:r>
          </w:p>
        </w:tc>
      </w:tr>
      <w:tr>
        <w:tc>
          <w:tcPr>
            <w:tcW w:type="dxa" w:w="1250"/>
            <w:vAlign w:val="center"/>
            <w:tcBorders>
              <w:top w:val="single" w:sz="8" w:color="000000"/>
              <w:left w:val="single" w:sz="8" w:color="000000"/>
              <w:bottom w:val="single" w:sz="8" w:color="000000"/>
              <w:right w:val="single" w:sz="8" w:color="000000"/>
            </w:tcBorders>
          </w:tcPr>
          <w:p>
            <w:pPr>
              <w:spacing w:before="60" w:after="60" w:line="276" w:lineRule="auto"/>
              <w:jc w:val="center"/>
            </w:pPr>
            <w:r>
              <w:rPr>
                <w:rFonts w:ascii="Arial" w:hAnsi="Arial"/>
                <w:b w:val="0"/>
                <w:sz w:val="20"/>
              </w:rPr>
              <w:t>432</w:t>
            </w:r>
          </w:p>
        </w:tc>
        <w:tc>
          <w:tcPr>
            <w:tcW w:type="dxa" w:w="5960"/>
            <w:vAlign w:val="center"/>
            <w:tcBorders>
              <w:top w:val="single" w:sz="8" w:color="000000"/>
              <w:left w:val="single" w:sz="8" w:color="000000"/>
              <w:bottom w:val="single" w:sz="8" w:color="000000"/>
              <w:right w:val="single" w:sz="8" w:color="000000"/>
            </w:tcBorders>
          </w:tcPr>
          <w:p>
            <w:pPr>
              <w:spacing w:before="60" w:after="60" w:line="276" w:lineRule="auto"/>
              <w:jc w:val="both"/>
            </w:pPr>
            <w:r>
              <w:rPr>
                <w:rFonts w:ascii="Arial" w:hAnsi="Arial"/>
                <w:b w:val="0"/>
                <w:sz w:val="20"/>
              </w:rPr>
              <w:t>“Freqüentemente, não notamos a origem cultural dos valores éticos, do senso moral e da consciência moral, porque somos educados (cultivados) para eles e neles, como se fossem naturais ou fáticos, existentes em si e por si mesmos. [...] A naturalização da existência moral esconde, portanto, o mais importante da ética: o fato de ela ser criação histórico-cultural.”</w:t>
            </w:r>
          </w:p>
        </w:tc>
        <w:tc>
          <w:tcPr>
            <w:tcW w:type="dxa" w:w="7340"/>
            <w:vAlign w:val="center"/>
            <w:tcBorders>
              <w:top w:val="single" w:sz="8" w:color="000000"/>
              <w:left w:val="single" w:sz="8" w:color="000000"/>
              <w:bottom w:val="single" w:sz="8" w:color="000000"/>
              <w:right w:val="single" w:sz="8" w:color="000000"/>
            </w:tcBorders>
          </w:tcPr>
          <w:p>
            <w:pPr>
              <w:spacing w:before="60" w:after="60" w:line="276" w:lineRule="auto"/>
              <w:jc w:val="both"/>
            </w:pPr>
            <w:r>
              <w:rPr>
                <w:rFonts w:ascii="Arial" w:hAnsi="Arial"/>
                <w:b w:val="0"/>
                <w:sz w:val="20"/>
              </w:rPr>
              <w:t>Este é o ponto do capítulo que mais me fez parar. Chauí afirma que as sociedades naturalizam seus valores para conservá-los, e o efeito disso é que passamos a viver a moral como se fosse paisagem, não construção. O incômodo está justamente aí: se os valores são criação histórico-cultural, eles podem ser revistos, e a naturalização serve para impedir que essa revisão aconteça. Vale registrar que a autora não está dizendo que os valores sejam arbitrários ou dispensáveis, e sim que eles têm origem e história, coisa que costumamos esquecer.</w:t>
            </w:r>
          </w:p>
        </w:tc>
      </w:tr>
      <w:tr>
        <w:tc>
          <w:tcPr>
            <w:tcW w:type="dxa" w:w="1250"/>
            <w:vAlign w:val="center"/>
            <w:tcBorders>
              <w:top w:val="single" w:sz="8" w:color="000000"/>
              <w:left w:val="single" w:sz="8" w:color="000000"/>
              <w:bottom w:val="single" w:sz="8" w:color="000000"/>
              <w:right w:val="single" w:sz="8" w:color="000000"/>
            </w:tcBorders>
          </w:tcPr>
          <w:p>
            <w:pPr>
              <w:spacing w:before="60" w:after="60" w:line="276" w:lineRule="auto"/>
              <w:jc w:val="center"/>
            </w:pPr>
            <w:r>
              <w:rPr>
                <w:rFonts w:ascii="Arial" w:hAnsi="Arial"/>
                <w:b w:val="0"/>
                <w:sz w:val="20"/>
              </w:rPr>
              <w:t>432</w:t>
            </w:r>
          </w:p>
        </w:tc>
        <w:tc>
          <w:tcPr>
            <w:tcW w:type="dxa" w:w="5960"/>
            <w:vAlign w:val="center"/>
            <w:tcBorders>
              <w:top w:val="single" w:sz="8" w:color="000000"/>
              <w:left w:val="single" w:sz="8" w:color="000000"/>
              <w:bottom w:val="single" w:sz="8" w:color="000000"/>
              <w:right w:val="single" w:sz="8" w:color="000000"/>
            </w:tcBorders>
          </w:tcPr>
          <w:p>
            <w:pPr>
              <w:spacing w:before="60" w:after="60" w:line="276" w:lineRule="auto"/>
              <w:jc w:val="both"/>
            </w:pPr>
            <w:r>
              <w:rPr>
                <w:rFonts w:ascii="Arial" w:hAnsi="Arial"/>
                <w:b w:val="0"/>
                <w:sz w:val="20"/>
              </w:rPr>
              <w:t>“Fundamentalmente, a violência é percebida como exercício da força física e da coação psíquica para obrigar alguém a fazer alguma coisa contrária a si, contrária aos seus interesses e desejos, contrária ao seu corpo e à sua consciência, causando-lhe danos profundos e irreparáveis, como a morte, a loucura, a auto-agressão ou a agressão aos outros.”</w:t>
            </w:r>
          </w:p>
        </w:tc>
        <w:tc>
          <w:tcPr>
            <w:tcW w:type="dxa" w:w="7340"/>
            <w:vAlign w:val="center"/>
            <w:tcBorders>
              <w:top w:val="single" w:sz="8" w:color="000000"/>
              <w:left w:val="single" w:sz="8" w:color="000000"/>
              <w:bottom w:val="single" w:sz="8" w:color="000000"/>
              <w:right w:val="single" w:sz="8" w:color="000000"/>
            </w:tcBorders>
          </w:tcPr>
          <w:p>
            <w:pPr>
              <w:spacing w:before="60" w:after="60" w:line="276" w:lineRule="auto"/>
              <w:jc w:val="both"/>
            </w:pPr>
            <w:r>
              <w:rPr>
                <w:rFonts w:ascii="Arial" w:hAnsi="Arial"/>
                <w:b w:val="0"/>
                <w:sz w:val="20"/>
              </w:rPr>
              <w:t>Chamou minha atenção que a definição apresentada não se limite à agressão física. A coação psíquica aparece no mesmo nível, e o critério que unifica as duas é obrigar alguém a agir contra si mesmo, contra seus próprios interesses, desejos e consciência. Com esse critério, a violência deixa de ser identificada pelo tipo de ato praticado e passa a ser identificada pelo que ela faz com a vontade da pessoa. É uma definição bem mais ampla e, por isso mesmo, bem mais exigente do que a que costumamos usar no dia a dia.</w:t>
            </w:r>
          </w:p>
        </w:tc>
      </w:tr>
      <w:tr>
        <w:tc>
          <w:tcPr>
            <w:tcW w:type="dxa" w:w="1250"/>
            <w:vAlign w:val="center"/>
            <w:tcBorders>
              <w:top w:val="single" w:sz="8" w:color="000000"/>
              <w:left w:val="single" w:sz="8" w:color="000000"/>
              <w:bottom w:val="single" w:sz="8" w:color="000000"/>
              <w:right w:val="single" w:sz="8" w:color="000000"/>
            </w:tcBorders>
          </w:tcPr>
          <w:p>
            <w:pPr>
              <w:spacing w:before="60" w:after="60" w:line="276" w:lineRule="auto"/>
              <w:jc w:val="center"/>
            </w:pPr>
            <w:r>
              <w:rPr>
                <w:rFonts w:ascii="Arial" w:hAnsi="Arial"/>
                <w:b w:val="0"/>
                <w:sz w:val="20"/>
              </w:rPr>
              <w:t>433</w:t>
            </w:r>
          </w:p>
        </w:tc>
        <w:tc>
          <w:tcPr>
            <w:tcW w:type="dxa" w:w="5960"/>
            <w:vAlign w:val="center"/>
            <w:tcBorders>
              <w:top w:val="single" w:sz="8" w:color="000000"/>
              <w:left w:val="single" w:sz="8" w:color="000000"/>
              <w:bottom w:val="single" w:sz="8" w:color="000000"/>
              <w:right w:val="single" w:sz="8" w:color="000000"/>
            </w:tcBorders>
          </w:tcPr>
          <w:p>
            <w:pPr>
              <w:spacing w:before="60" w:after="60" w:line="276" w:lineRule="auto"/>
              <w:jc w:val="both"/>
            </w:pPr>
            <w:r>
              <w:rPr>
                <w:rFonts w:ascii="Arial" w:hAnsi="Arial"/>
                <w:b w:val="0"/>
                <w:sz w:val="20"/>
              </w:rPr>
              <w:t>“A violência é a violação da integridade física e psíquica, da dignidade humana de alguém. Eis por que o assassinato, a tortura, a injustiça, a mentira, o estupro, a calúnia, a má-fé, o roubo são considerados violência, imoralidade e crime.”</w:t>
            </w:r>
          </w:p>
        </w:tc>
        <w:tc>
          <w:tcPr>
            <w:tcW w:type="dxa" w:w="7340"/>
            <w:vAlign w:val="center"/>
            <w:tcBorders>
              <w:top w:val="single" w:sz="8" w:color="000000"/>
              <w:left w:val="single" w:sz="8" w:color="000000"/>
              <w:bottom w:val="single" w:sz="8" w:color="000000"/>
              <w:right w:val="single" w:sz="8" w:color="000000"/>
            </w:tcBorders>
          </w:tcPr>
          <w:p>
            <w:pPr>
              <w:spacing w:before="60" w:after="60" w:line="276" w:lineRule="auto"/>
              <w:jc w:val="both"/>
            </w:pPr>
            <w:r>
              <w:rPr>
                <w:rFonts w:ascii="Arial" w:hAnsi="Arial"/>
                <w:b w:val="0"/>
                <w:sz w:val="20"/>
              </w:rPr>
              <w:t>Ao reunir assassinato, tortura, mentira e calúnia numa mesma lista, a autora produz um efeito que pode causar estranheza na primeira leitura. Mentir e matar evidentemente não têm a mesma gravidade, e ela não afirma que tenham. O que a lista mostra é que esses atos compartilham a mesma natureza, todos violam a integridade de alguém. A mentira entra aí porque atinge a dimensão psíquica da pessoa, interferindo naquilo que ela consegue saber e, por consequência, naquilo que ela consegue decidir.</w:t>
            </w:r>
          </w:p>
        </w:tc>
      </w:tr>
      <w:tr>
        <w:tc>
          <w:tcPr>
            <w:tcW w:type="dxa" w:w="1250"/>
            <w:vAlign w:val="center"/>
            <w:tcBorders>
              <w:top w:val="single" w:sz="8" w:color="000000"/>
              <w:left w:val="single" w:sz="8" w:color="000000"/>
              <w:bottom w:val="single" w:sz="8" w:color="000000"/>
              <w:right w:val="single" w:sz="8" w:color="000000"/>
            </w:tcBorders>
          </w:tcPr>
          <w:p>
            <w:pPr>
              <w:spacing w:before="60" w:after="60" w:line="276" w:lineRule="auto"/>
              <w:jc w:val="center"/>
            </w:pPr>
            <w:r>
              <w:rPr>
                <w:rFonts w:ascii="Arial" w:hAnsi="Arial"/>
                <w:b w:val="0"/>
                <w:sz w:val="20"/>
              </w:rPr>
              <w:t>433</w:t>
            </w:r>
          </w:p>
        </w:tc>
        <w:tc>
          <w:tcPr>
            <w:tcW w:type="dxa" w:w="5960"/>
            <w:vAlign w:val="center"/>
            <w:tcBorders>
              <w:top w:val="single" w:sz="8" w:color="000000"/>
              <w:left w:val="single" w:sz="8" w:color="000000"/>
              <w:bottom w:val="single" w:sz="8" w:color="000000"/>
              <w:right w:val="single" w:sz="8" w:color="000000"/>
            </w:tcBorders>
          </w:tcPr>
          <w:p>
            <w:pPr>
              <w:spacing w:before="60" w:after="60" w:line="276" w:lineRule="auto"/>
              <w:jc w:val="both"/>
            </w:pPr>
            <w:r>
              <w:rPr>
                <w:rFonts w:ascii="Arial" w:hAnsi="Arial"/>
                <w:b w:val="0"/>
                <w:sz w:val="20"/>
              </w:rPr>
              <w:t>“[...] nossa cultura e sociedade nos definem como sujeitos do conhecimento e da ação, localizando a violência em tudo aquilo que reduz um sujeito à condição de objeto. Do ponto de vista ético, somos pessoas e não podemos ser tratados como coisas. Os valores éticos se oferecem, portanto, como expressão e garantia de nossa condição de sujeitos, proibindo moralmente o que nos transforme em coisa usada e manipulada por outros.”</w:t>
            </w:r>
          </w:p>
        </w:tc>
        <w:tc>
          <w:tcPr>
            <w:tcW w:type="dxa" w:w="7340"/>
            <w:vAlign w:val="center"/>
            <w:tcBorders>
              <w:top w:val="single" w:sz="8" w:color="000000"/>
              <w:left w:val="single" w:sz="8" w:color="000000"/>
              <w:bottom w:val="single" w:sz="8" w:color="000000"/>
              <w:right w:val="single" w:sz="8" w:color="000000"/>
            </w:tcBorders>
          </w:tcPr>
          <w:p>
            <w:pPr>
              <w:spacing w:before="60" w:after="60" w:line="276" w:lineRule="auto"/>
              <w:jc w:val="both"/>
            </w:pPr>
            <w:r>
              <w:rPr>
                <w:rFonts w:ascii="Arial" w:hAnsi="Arial"/>
                <w:b w:val="0"/>
                <w:sz w:val="20"/>
              </w:rPr>
              <w:t>Se eu tivesse que escolher o trecho central do capítulo, seria este. A norma ética não existe para limitar a liberdade das pessoas, existe para impedir que alguém seja rebaixado à condição de coisa. Pensando na disciplina, é o critério mais concreto que encontrei até aqui para avaliar uma peça publicitária: a pergunta não é se ela vende, é se ela trata quem está do outro lado como alguém capaz de decidir ou como um comportamento a ser produzido. A expressão “coisa usada e manipulada por outros” é dura, mas descreve com precisão certos usos da comunicação.</w:t>
            </w:r>
          </w:p>
        </w:tc>
      </w:tr>
      <w:tr>
        <w:tc>
          <w:tcPr>
            <w:tcW w:type="dxa" w:w="1250"/>
            <w:vAlign w:val="center"/>
            <w:tcBorders>
              <w:top w:val="single" w:sz="8" w:color="000000"/>
              <w:left w:val="single" w:sz="8" w:color="000000"/>
              <w:bottom w:val="single" w:sz="8" w:color="000000"/>
              <w:right w:val="single" w:sz="8" w:color="000000"/>
            </w:tcBorders>
          </w:tcPr>
          <w:p>
            <w:pPr>
              <w:spacing w:before="60" w:after="60" w:line="276" w:lineRule="auto"/>
              <w:jc w:val="center"/>
            </w:pPr>
            <w:r>
              <w:rPr>
                <w:rFonts w:ascii="Arial" w:hAnsi="Arial"/>
                <w:b w:val="0"/>
                <w:sz w:val="20"/>
              </w:rPr>
              <w:t>433</w:t>
            </w:r>
          </w:p>
        </w:tc>
        <w:tc>
          <w:tcPr>
            <w:tcW w:type="dxa" w:w="5960"/>
            <w:vAlign w:val="center"/>
            <w:tcBorders>
              <w:top w:val="single" w:sz="8" w:color="000000"/>
              <w:left w:val="single" w:sz="8" w:color="000000"/>
              <w:bottom w:val="single" w:sz="8" w:color="000000"/>
              <w:right w:val="single" w:sz="8" w:color="000000"/>
            </w:tcBorders>
          </w:tcPr>
          <w:p>
            <w:pPr>
              <w:spacing w:before="60" w:after="60" w:line="276" w:lineRule="auto"/>
              <w:jc w:val="both"/>
            </w:pPr>
            <w:r>
              <w:rPr>
                <w:rFonts w:ascii="Arial" w:hAnsi="Arial"/>
                <w:b w:val="0"/>
                <w:sz w:val="20"/>
              </w:rPr>
              <w:t>“Para que haja conduta ética é preciso que exista o agente consciente, isto é, aquele que conhece a diferença entre bem e mal, certo e errado, permitido e proibido, virtude e vício. [...] Consciência e responsabilidade são condições indispensáveis da vida ética. [...] A vontade é esse poder deliberativo e decisório do agente moral. Para que exerça tal poder sobre o sujeito moral, a vontade deve ser livre, isto é, não pode estar submetida à vontade de um outro nem pode estar submetida aos instintos e às paixões [...]”</w:t>
            </w:r>
          </w:p>
        </w:tc>
        <w:tc>
          <w:tcPr>
            <w:tcW w:type="dxa" w:w="7340"/>
            <w:vAlign w:val="center"/>
            <w:tcBorders>
              <w:top w:val="single" w:sz="8" w:color="000000"/>
              <w:left w:val="single" w:sz="8" w:color="000000"/>
              <w:bottom w:val="single" w:sz="8" w:color="000000"/>
              <w:right w:val="single" w:sz="8" w:color="000000"/>
            </w:tcBorders>
          </w:tcPr>
          <w:p>
            <w:pPr>
              <w:spacing w:before="60" w:after="60" w:line="276" w:lineRule="auto"/>
              <w:jc w:val="both"/>
            </w:pPr>
            <w:r>
              <w:rPr>
                <w:rFonts w:ascii="Arial" w:hAnsi="Arial"/>
                <w:b w:val="0"/>
                <w:sz w:val="20"/>
              </w:rPr>
              <w:t>Chauí está delimitando quem pode ser cobrado eticamente. Não basta praticar a ação, é preciso reconhecer o que está em jogo nela e ter tido condições reais de escolher outra coisa. O detalhe que considero mais exigente vem no fim, quando ela diz que a vontade precisa não estar submetida à vontade de outro. Levando isso para o campo profissional, cumprir ordem não isenta ninguém, e a responsabilidade continua com quem executa mesmo quando a decisão veio de cima.</w:t>
            </w:r>
          </w:p>
        </w:tc>
      </w:tr>
      <w:tr>
        <w:tc>
          <w:tcPr>
            <w:tcW w:type="dxa" w:w="1250"/>
            <w:vAlign w:val="center"/>
            <w:tcBorders>
              <w:top w:val="single" w:sz="8" w:color="000000"/>
              <w:left w:val="single" w:sz="8" w:color="000000"/>
              <w:bottom w:val="single" w:sz="8" w:color="000000"/>
              <w:right w:val="single" w:sz="8" w:color="000000"/>
            </w:tcBorders>
          </w:tcPr>
          <w:p>
            <w:pPr>
              <w:spacing w:before="60" w:after="60" w:line="276" w:lineRule="auto"/>
              <w:jc w:val="center"/>
            </w:pPr>
            <w:r>
              <w:rPr>
                <w:rFonts w:ascii="Arial" w:hAnsi="Arial"/>
                <w:b w:val="0"/>
                <w:sz w:val="20"/>
              </w:rPr>
              <w:t>434</w:t>
            </w:r>
          </w:p>
        </w:tc>
        <w:tc>
          <w:tcPr>
            <w:tcW w:type="dxa" w:w="5960"/>
            <w:vAlign w:val="center"/>
            <w:tcBorders>
              <w:top w:val="single" w:sz="8" w:color="000000"/>
              <w:left w:val="single" w:sz="8" w:color="000000"/>
              <w:bottom w:val="single" w:sz="8" w:color="000000"/>
              <w:right w:val="single" w:sz="8" w:color="000000"/>
            </w:tcBorders>
          </w:tcPr>
          <w:p>
            <w:pPr>
              <w:spacing w:before="60" w:after="60" w:line="276" w:lineRule="auto"/>
              <w:jc w:val="both"/>
            </w:pPr>
            <w:r>
              <w:rPr>
                <w:rFonts w:ascii="Arial" w:hAnsi="Arial"/>
                <w:b w:val="0"/>
                <w:sz w:val="20"/>
              </w:rPr>
              <w:t>“ser livre, isto é, ser capaz de oferecer-se como causa interna de seus sentimentos, atitudes e ações, por não estar submetido a poderes externos que o forcem e o constranjam a sentir, a querer e a fazer alguma coisa. A liberdade não é tanto o poder para escolher entre vários possíveis, mas o poder para autodeterminar-se, dando a si mesmo as regras de conduta.”</w:t>
            </w:r>
          </w:p>
        </w:tc>
        <w:tc>
          <w:tcPr>
            <w:tcW w:type="dxa" w:w="7340"/>
            <w:vAlign w:val="center"/>
            <w:tcBorders>
              <w:top w:val="single" w:sz="8" w:color="000000"/>
              <w:left w:val="single" w:sz="8" w:color="000000"/>
              <w:bottom w:val="single" w:sz="8" w:color="000000"/>
              <w:right w:val="single" w:sz="8" w:color="000000"/>
            </w:tcBorders>
          </w:tcPr>
          <w:p>
            <w:pPr>
              <w:spacing w:before="60" w:after="60" w:line="276" w:lineRule="auto"/>
              <w:jc w:val="both"/>
            </w:pPr>
            <w:r>
              <w:rPr>
                <w:rFonts w:ascii="Arial" w:hAnsi="Arial"/>
                <w:b w:val="0"/>
                <w:sz w:val="20"/>
              </w:rPr>
              <w:t>A definição de liberdade oferecida aqui contraria o senso comum. Estamos acostumados a pensar liberdade como quantidade de opções disponíveis, e a autora desloca isso para a capacidade de dar a si mesmo as regras de conduta. Por esse critério, alguém pode ter muitas alternativas diante de si e ainda assim não ser livre, caso as escolha empurrado por pressões que nunca examinou. O contrário também vale: uma pessoa com poucas opções pode agir com liberdade se responde por elas a partir de si mesma.</w:t>
            </w:r>
          </w:p>
        </w:tc>
      </w:tr>
      <w:tr>
        <w:tc>
          <w:tcPr>
            <w:tcW w:type="dxa" w:w="1250"/>
            <w:vAlign w:val="center"/>
            <w:tcBorders>
              <w:top w:val="single" w:sz="8" w:color="000000"/>
              <w:left w:val="single" w:sz="8" w:color="000000"/>
              <w:bottom w:val="single" w:sz="8" w:color="000000"/>
              <w:right w:val="single" w:sz="8" w:color="000000"/>
            </w:tcBorders>
          </w:tcPr>
          <w:p>
            <w:pPr>
              <w:spacing w:before="60" w:after="60" w:line="276" w:lineRule="auto"/>
              <w:jc w:val="center"/>
            </w:pPr>
            <w:r>
              <w:rPr>
                <w:rFonts w:ascii="Arial" w:hAnsi="Arial"/>
                <w:b w:val="0"/>
                <w:sz w:val="20"/>
              </w:rPr>
              <w:t>434</w:t>
            </w:r>
          </w:p>
        </w:tc>
        <w:tc>
          <w:tcPr>
            <w:tcW w:type="dxa" w:w="5960"/>
            <w:vAlign w:val="center"/>
            <w:tcBorders>
              <w:top w:val="single" w:sz="8" w:color="000000"/>
              <w:left w:val="single" w:sz="8" w:color="000000"/>
              <w:bottom w:val="single" w:sz="8" w:color="000000"/>
              <w:right w:val="single" w:sz="8" w:color="000000"/>
            </w:tcBorders>
          </w:tcPr>
          <w:p>
            <w:pPr>
              <w:spacing w:before="60" w:after="60" w:line="276" w:lineRule="auto"/>
              <w:jc w:val="both"/>
            </w:pPr>
            <w:r>
              <w:rPr>
                <w:rFonts w:ascii="Arial" w:hAnsi="Arial"/>
                <w:b w:val="0"/>
                <w:sz w:val="20"/>
              </w:rPr>
              <w:t>“Passivo é aquele que se deixa governar e arrastar por seus impulsos, inclinações e paixões, pelas circunstâncias, pela boa ou má sorte, pela opinião alheia, pelo medo dos outros, pela vontade de um outro, não exercendo sua própria consciência, vontade, liberdade e responsabilidade.”</w:t>
            </w:r>
          </w:p>
        </w:tc>
        <w:tc>
          <w:tcPr>
            <w:tcW w:type="dxa" w:w="7340"/>
            <w:vAlign w:val="center"/>
            <w:tcBorders>
              <w:top w:val="single" w:sz="8" w:color="000000"/>
              <w:left w:val="single" w:sz="8" w:color="000000"/>
              <w:bottom w:val="single" w:sz="8" w:color="000000"/>
              <w:right w:val="single" w:sz="8" w:color="000000"/>
            </w:tcBorders>
          </w:tcPr>
          <w:p>
            <w:pPr>
              <w:spacing w:before="60" w:after="60" w:line="276" w:lineRule="auto"/>
              <w:jc w:val="both"/>
            </w:pPr>
            <w:r>
              <w:rPr>
                <w:rFonts w:ascii="Arial" w:hAnsi="Arial"/>
                <w:b w:val="0"/>
                <w:sz w:val="20"/>
              </w:rPr>
              <w:t>Poucas passagens do capítulo são tão diretas quanto esta. Chauí lista com bastante precisão as coisas que governam alguém por fora: impulsos, circunstâncias, sorte, opinião alheia, medo, vontade de outra pessoa. Transportando para o campo profissional, o passivo seria quem executa uma demanda sem nunca perguntar a que ela serve, e é uma posição confortável exatamente porque dispensa a pessoa de responder pelo resultado. O ativo, na descrição da autora, não é quem recusa tudo, é quem discute o sentido daquilo que faz antes de fazer.</w:t>
            </w:r>
          </w:p>
        </w:tc>
      </w:tr>
      <w:tr>
        <w:tc>
          <w:tcPr>
            <w:tcW w:type="dxa" w:w="1250"/>
            <w:vAlign w:val="center"/>
            <w:tcBorders>
              <w:top w:val="single" w:sz="8" w:color="000000"/>
              <w:left w:val="single" w:sz="8" w:color="000000"/>
              <w:bottom w:val="single" w:sz="8" w:color="000000"/>
              <w:right w:val="single" w:sz="8" w:color="000000"/>
            </w:tcBorders>
          </w:tcPr>
          <w:p>
            <w:pPr>
              <w:spacing w:before="60" w:after="60" w:line="276" w:lineRule="auto"/>
              <w:jc w:val="center"/>
            </w:pPr>
            <w:r>
              <w:rPr>
                <w:rFonts w:ascii="Arial" w:hAnsi="Arial"/>
                <w:b w:val="0"/>
                <w:sz w:val="20"/>
              </w:rPr>
              <w:t>435</w:t>
            </w:r>
          </w:p>
        </w:tc>
        <w:tc>
          <w:tcPr>
            <w:tcW w:type="dxa" w:w="5960"/>
            <w:vAlign w:val="center"/>
            <w:tcBorders>
              <w:top w:val="single" w:sz="8" w:color="000000"/>
              <w:left w:val="single" w:sz="8" w:color="000000"/>
              <w:bottom w:val="single" w:sz="8" w:color="000000"/>
              <w:right w:val="single" w:sz="8" w:color="000000"/>
            </w:tcBorders>
          </w:tcPr>
          <w:p>
            <w:pPr>
              <w:spacing w:before="60" w:after="60" w:line="276" w:lineRule="auto"/>
              <w:jc w:val="both"/>
            </w:pPr>
            <w:r>
              <w:rPr>
                <w:rFonts w:ascii="Arial" w:hAnsi="Arial"/>
                <w:b w:val="0"/>
                <w:sz w:val="20"/>
              </w:rPr>
              <w:t>“Costuma-se dizer que os fins justificam os meios, de modo que, para alcançar um fim legítimo, todos os meios disponíveis são válidos. No caso da ética, porém, essa afirmação deixa de ser óbvia. [...] A resposta ética é: não. Por quê? Porque esses meios desrespeitam a consciência e a liberdade da pessoa moral, que agiria por coação externa e não por reconhecimento interior e verdadeiro do fim ético. [...] fins éticos exigem meios éticos.”</w:t>
            </w:r>
          </w:p>
        </w:tc>
        <w:tc>
          <w:tcPr>
            <w:tcW w:type="dxa" w:w="7340"/>
            <w:vAlign w:val="center"/>
            <w:tcBorders>
              <w:top w:val="single" w:sz="8" w:color="000000"/>
              <w:left w:val="single" w:sz="8" w:color="000000"/>
              <w:bottom w:val="single" w:sz="8" w:color="000000"/>
              <w:right w:val="single" w:sz="8" w:color="000000"/>
            </w:tcBorders>
          </w:tcPr>
          <w:p>
            <w:pPr>
              <w:spacing w:before="60" w:after="60" w:line="276" w:lineRule="auto"/>
              <w:jc w:val="both"/>
            </w:pPr>
            <w:r>
              <w:rPr>
                <w:rFonts w:ascii="Arial" w:hAnsi="Arial"/>
                <w:b w:val="0"/>
                <w:sz w:val="20"/>
              </w:rPr>
              <w:t>O capítulo termina desmontando uma frase que a gente repete sem pensar muito. A autora não nega que existam fins legítimos, ela mostra que o meio escolhido também é uma ação e também precisa passar pelo crivo ético. O argumento que ela usa amarra o capítulo inteiro: medo e mentira até funcionam, mas obtêm o resultado por coação, atropelando a consciência de quem deveria aderir por convicção. Aplicado à comunicação, isso põe em xeque a ideia de que uma boa causa autoriza qualquer estratégia, porque conseguir a adesão de alguém sem que ele tenha condições de avaliar o que está aceitando já é, pelo critério da autora, uma forma de violência.</w:t>
            </w:r>
          </w:p>
        </w:tc>
      </w:tr>
    </w:tbl>
    <w:sectPr w:rsidR="00FC693F" w:rsidRPr="0006063C" w:rsidSect="00034616">
      <w:headerReference w:type="default" r:id="rId9"/>
      <w:pgSz w:w="16838" w:h="11906" w:orient="landscape"/>
      <w:pgMar w:top="1120" w:right="1160" w:bottom="840" w:left="1120" w:header="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drawing>
        <wp:inline xmlns:a="http://schemas.openxmlformats.org/drawingml/2006/main" xmlns:pic="http://schemas.openxmlformats.org/drawingml/2006/picture">
          <wp:extent cx="10692003" cy="609405"/>
          <wp:docPr id="1" name="Picture 1"/>
          <wp:cNvGraphicFramePr>
            <a:graphicFrameLocks noChangeAspect="1"/>
          </wp:cNvGraphicFramePr>
          <a:graphic>
            <a:graphicData uri="http://schemas.openxmlformats.org/drawingml/2006/picture">
              <pic:pic>
                <pic:nvPicPr>
                  <pic:cNvPr id="0" name="campo_real_header.png"/>
                  <pic:cNvPicPr/>
                </pic:nvPicPr>
                <pic:blipFill>
                  <a:blip r:embed="rId1"/>
                  <a:stretch>
                    <a:fillRect/>
                  </a:stretch>
                </pic:blipFill>
                <pic:spPr>
                  <a:xfrm>
                    <a:off x="0" y="0"/>
                    <a:ext cx="10692003" cy="60940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