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sz w:val="22"/>
        </w:rPr>
        <w:t>CENTRO UNIVERSITÁRIO CAMPO REAL</w:t>
      </w:r>
    </w:p>
    <w:p>
      <w:pPr>
        <w:spacing w:after="0" w:line="276" w:lineRule="auto"/>
      </w:pPr>
      <w:r>
        <w:rPr>
          <w:b/>
          <w:sz w:val="22"/>
        </w:rPr>
        <w:t xml:space="preserve">Acadêmico(a): </w:t>
      </w:r>
      <w:r>
        <w:rPr>
          <w:sz w:val="22"/>
        </w:rPr>
        <w:t>Kélita Schulz</w:t>
      </w:r>
    </w:p>
    <w:p>
      <w:pPr>
        <w:spacing w:after="0" w:line="276" w:lineRule="auto"/>
      </w:pPr>
      <w:r>
        <w:rPr>
          <w:b/>
          <w:sz w:val="22"/>
        </w:rPr>
        <w:t xml:space="preserve">Matéria: </w:t>
      </w:r>
      <w:r>
        <w:rPr>
          <w:sz w:val="22"/>
        </w:rPr>
        <w:t>Publicidade Responsável</w:t>
      </w:r>
    </w:p>
    <w:p>
      <w:pPr>
        <w:spacing w:after="0" w:line="276" w:lineRule="auto"/>
      </w:pPr>
      <w:r>
        <w:rPr>
          <w:b/>
          <w:sz w:val="22"/>
        </w:rPr>
        <w:t xml:space="preserve">Professor(a): </w:t>
      </w:r>
      <w:r>
        <w:rPr>
          <w:sz w:val="22"/>
        </w:rPr>
        <w:t>Vanessa Lobato</w:t>
      </w:r>
    </w:p>
    <w:p>
      <w:pPr>
        <w:spacing w:after="0" w:line="276" w:lineRule="auto"/>
      </w:pPr>
      <w:r>
        <w:rPr>
          <w:b/>
          <w:sz w:val="22"/>
        </w:rPr>
        <w:t xml:space="preserve">Livro: </w:t>
      </w:r>
      <w:r>
        <w:rPr>
          <w:sz w:val="22"/>
        </w:rPr>
        <w:t>Convite à Filosofia</w:t>
      </w:r>
    </w:p>
    <w:p>
      <w:pPr>
        <w:spacing w:after="0" w:line="276" w:lineRule="auto"/>
      </w:pPr>
      <w:r>
        <w:rPr>
          <w:b/>
          <w:sz w:val="22"/>
        </w:rPr>
        <w:t xml:space="preserve">Autora: </w:t>
      </w:r>
      <w:r>
        <w:rPr>
          <w:sz w:val="22"/>
        </w:rPr>
        <w:t>Marilena Chauí</w:t>
      </w:r>
    </w:p>
    <w:p>
      <w:pPr>
        <w:spacing w:after="0" w:line="276" w:lineRule="auto"/>
      </w:pPr>
      <w:r>
        <w:rPr>
          <w:b/>
          <w:sz w:val="22"/>
        </w:rPr>
        <w:t xml:space="preserve">Referência: </w:t>
      </w:r>
      <w:r>
        <w:rPr>
          <w:sz w:val="22"/>
        </w:rPr>
        <w:t>CHAUÍ, Marilena. Convite à Filosofia. São Paulo: Ática, 2000.</w:t>
      </w:r>
    </w:p>
    <w:p>
      <w:pPr>
        <w:spacing w:before="280" w:after="200"/>
        <w:jc w:val="center"/>
      </w:pPr>
      <w:r>
        <w:rPr>
          <w:b/>
          <w:sz w:val="24"/>
        </w:rPr>
        <w:t>FICHAMENTO CAPÍTULO 4: A EXISTÊNCIA ÉTICA</w:t>
      </w:r>
    </w:p>
    <w:tbl>
      <w:tblPr>
        <w:tblW w:type="auto" w:w="0"/>
        <w:jc w:val="center"/>
        <w:tblLayout w:type="fixed"/>
        <w:tblLook w:firstColumn="1" w:firstRow="1" w:lastColumn="0" w:lastRow="0" w:noHBand="0" w:noVBand="1" w:val="04A0"/>
      </w:tblPr>
      <w:tblGrid>
        <w:gridCol w:w="4833"/>
        <w:gridCol w:w="4833"/>
      </w:tblGrid>
      <w:tr>
        <w:trPr>
          <w:tblHeader w:val="true"/>
        </w:trP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sz w:val="22"/>
              </w:rPr>
              <w:t>PÁGINA</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sz w:val="22"/>
              </w:rPr>
              <w:t>CITAÇÃO</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429</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“Sentimos piedade. Sentimos indignação diante de tamanha injustiça [...] Sentimos responsabilidade. Movidos pela solidariedade, participamos de campanhas contra a fome. Nossos sentimentos e nossas ações exprimem nosso senso moral.”</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429</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“Sentimos cólera diante do cinismo dos mentirosos, dos que usam outras pessoas como instrumento para seus interesses e para conseguir vantagens às custas da boa-fé de outros. Todos esses sentimentos manifestam nosso senso moral.”</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430</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“Situações como essas [...] surgem sempre em nossas vidas. Nossas dúvidas quanto à decisão a tomar não manifestam apenas nosso senso moral, mas também põem à prova nossa consciência moral, pois exigem que decidamos o que fazer [...]”</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431</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“O senso e a consciência moral dizem respeito a valores, sentimentos, intenções, decisões e ações referidos ao bem e ao mal e ao desejo de felicidade. Dizem respeito às relações que mantemos com os outros e, portanto, nascem e existem como parte de nossa vida intersubjetiva.”</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431</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“Juízos de fato são aqueles que dizem o que as coisas são, como são e por que são. [...] Juízos de valor avaliam coisas, pessoas, ações, experiências, acontecimentos, sentimentos, estados de espírito, intenções e decisões como bons ou maus, desejáveis ou indesejáveis.”</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431</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“Os juízos éticos de valor são também normativos, isto é, enunciam normas que determinam o dever ser de nossos sentimentos, nossos atos, nossos comportamentos. São juízos que enunciam obrigações e avaliam intenções e ações segundo o critério do correto e do incorreto.”</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432</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“Freqüentemente, não notamos a origem cultural dos valores éticos, do senso moral e da consciência moral, porque somos educados (cultivados) para eles e neles, como se fossem naturais ou fáticos, existentes em si e por si mesmos. [...] A naturalização da existência moral esconde, portanto, o mais importante da ética: o fato de ela ser criação histórico-cultural.”</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432</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“Fundamentalmente, a violência é percebida como exercício da força física e da coação psíquica para obrigar alguém a fazer alguma coisa contrária a si, contrária aos seus interesses e desejos, contrária ao seu corpo e à sua consciência, causando-lhe danos profundos e irreparáveis, como a morte, a loucura, a auto-agressão ou a agressão aos outros.”</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433</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“A violência é a violação da integridade física e psíquica, da dignidade humana de alguém. Eis por que o assassinato, a tortura, a injustiça, a mentira, o estupro, a calúnia, a má-fé, o roubo são considerados violência, imoralidade e crime.”</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433</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 nossa cultura e sociedade nos definem como sujeitos do conhecimento e da ação, localizando a violência em tudo aquilo que reduz um sujeito à condição de objeto. Do ponto de vista ético, somos pessoas e não podemos ser tratados como coisas. Os valores éticos se oferecem, portanto, como expressão e garantia de nossa condição de sujeitos, proibindo moralmente o que nos transforme em coisa usada e manipulada por outros.”</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433</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“Para que haja conduta ética é preciso que exista o agente consciente, isto é, aquele que conhece a diferença entre bem e mal, certo e errado, permitido e proibido, virtude e vício. [...] Consciência e responsabilidade são condições indispensáveis da vida ética. [...] A vontade é esse poder deliberativo e decisório do agente moral. Para que exerça tal poder sobre o sujeito moral, a vontade deve ser livre, isto é, não pode estar submetida à vontade de um outro nem pode estar submetida aos instintos e às paixões [...]”</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434</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“ser livre, isto é, ser capaz de oferecer-se como causa interna de seus sentimentos, atitudes e ações, por não estar submetido a poderes externos que o forcem e o constranjam a sentir, a querer e a fazer alguma coisa. A liberdade não é tanto o poder para escolher entre vários possíveis, mas o poder para autodeterminar-se, dando a si mesmo as regras de conduta.”</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434</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“Passivo é aquele que se deixa governar e arrastar por seus impulsos, inclinações e paixões, pelas circunstâncias, pela boa ou má sorte, pela opinião alheia, pelo medo dos outros, pela vontade de um outro, não exercendo sua própria consciência, vontade, liberdade e responsabilidade.”</w:t>
            </w:r>
          </w:p>
        </w:tc>
      </w:tr>
      <w:tr>
        <w:tc>
          <w:tcPr>
            <w:tcW w:type="dxa" w:w="1160"/>
            <w:vAlign w:val="center"/>
            <w:tcBorders>
              <w:top w:val="single" w:sz="8" w:color="000000"/>
              <w:left w:val="single" w:sz="8" w:color="000000"/>
              <w:bottom w:val="single" w:sz="8" w:color="000000"/>
              <w:right w:val="single" w:sz="8" w:color="000000"/>
            </w:tcBorders>
          </w:tcPr>
          <w:p>
            <w:pPr>
              <w:spacing w:before="60" w:after="60" w:line="276" w:lineRule="auto"/>
              <w:jc w:val="center"/>
            </w:pPr>
            <w:r>
              <w:rPr>
                <w:rFonts w:ascii="Arial" w:hAnsi="Arial"/>
                <w:b w:val="0"/>
                <w:sz w:val="21"/>
              </w:rPr>
              <w:t>435</w:t>
            </w:r>
          </w:p>
        </w:tc>
        <w:tc>
          <w:tcPr>
            <w:tcW w:type="dxa" w:w="8506"/>
            <w:vAlign w:val="center"/>
            <w:tcBorders>
              <w:top w:val="single" w:sz="8" w:color="000000"/>
              <w:left w:val="single" w:sz="8" w:color="000000"/>
              <w:bottom w:val="single" w:sz="8" w:color="000000"/>
              <w:right w:val="single" w:sz="8" w:color="000000"/>
            </w:tcBorders>
          </w:tcPr>
          <w:p>
            <w:pPr>
              <w:spacing w:before="60" w:after="60" w:line="276" w:lineRule="auto"/>
              <w:jc w:val="both"/>
            </w:pPr>
            <w:r>
              <w:rPr>
                <w:rFonts w:ascii="Arial" w:hAnsi="Arial"/>
                <w:b w:val="0"/>
                <w:sz w:val="21"/>
              </w:rPr>
              <w:t>“Costuma-se dizer que os fins justificam os meios, de modo que, para alcançar um fim legítimo, todos os meios disponíveis são válidos. No caso da ética, porém, essa afirmação deixa de ser óbvia. [...] A resposta ética é: não. Por quê? Porque esses meios desrespeitam a consciência e a liberdade da pessoa moral, que agiria por coação externa e não por reconhecimento interior e verdadeiro do fim ético. [...] fins éticos exigem meios éticos.”</w:t>
            </w:r>
          </w:p>
        </w:tc>
      </w:tr>
    </w:tbl>
    <w:sectPr w:rsidR="00FC693F" w:rsidRPr="0006063C" w:rsidSect="00034616">
      <w:headerReference w:type="default" r:id="rId9"/>
      <w:pgSz w:w="11906" w:h="16838"/>
      <w:pgMar w:top="1120" w:right="1120" w:bottom="840" w:left="112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7560056" cy="430895"/>
          <wp:docPr id="1" name="Picture 1"/>
          <wp:cNvGraphicFramePr>
            <a:graphicFrameLocks noChangeAspect="1"/>
          </wp:cNvGraphicFramePr>
          <a:graphic>
            <a:graphicData uri="http://schemas.openxmlformats.org/drawingml/2006/picture">
              <pic:pic>
                <pic:nvPicPr>
                  <pic:cNvPr id="0" name="campo_real_header.png"/>
                  <pic:cNvPicPr/>
                </pic:nvPicPr>
                <pic:blipFill>
                  <a:blip r:embed="rId1"/>
                  <a:stretch>
                    <a:fillRect/>
                  </a:stretch>
                </pic:blipFill>
                <pic:spPr>
                  <a:xfrm>
                    <a:off x="0" y="0"/>
                    <a:ext cx="7560056" cy="43089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