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Discusión</w:t>
      </w:r>
    </w:p>
    <w:p>
      <w:pPr>
        <w:jc w:val="both"/>
      </w:pPr>
      <w:r>
        <w:t>Los resultados muestran que los departamentos con mayor pobreza multidimensional tienden a registrar menores promedios de Saber 11, pero esa asociación no se traduce automáticamente en una mayor capacidad para anticipar sus puntajes. La historia reciente del desempeño obtuvo menor error que las especificaciones con pobreza en las comparaciones ampliadas. La discusión requiere distinguir las diferencias entre territorios, los cambios dentro de cada territorio y las predicciones condicionales bajo escenarios.</w:t>
      </w:r>
    </w:p>
    <w:p>
      <w:pPr>
        <w:pStyle w:val="Heading1"/>
      </w:pPr>
      <w:r>
        <w:t>La asociación territorial y su relación con la literatura</w:t>
      </w:r>
    </w:p>
    <w:p>
      <w:pPr>
        <w:jc w:val="both"/>
      </w:pPr>
      <w:r>
        <w:t>En el núcleo auditado de 2018–2024, la correlación IPM–puntaje global fue −0,722 sobre las 198 celdas y −0,752 entre las medias de 33 territorios. El signo coincide con un patrón de desventaja territorial: mayor pobreza se observa junto a menor desempeño promedio. Esta evidencia describe coexistencia de condiciones y no permite atribuir a la pobreza toda la diferencia académica (E1).</w:t>
      </w:r>
    </w:p>
    <w:p>
      <w:pPr>
        <w:jc w:val="both"/>
      </w:pPr>
      <w:r>
        <w:t>Fajardo et al. (2021) estudiaron departamentos colombianos en 2018–2019 mediante análisis de correspondencia canónica y relacionaron la clasificación educativa con necesidades básicas insatisfechas, desigualdad y actividad económica. Esa investigación proporciona un antecedente de heterogeneidad regional con el cual dialoga el patrón encontrado. Sin embargo, utiliza otras variables y una clasificación de establecimientos; sus resultados no equivalen a los coeficientes ni a los errores de esta tesis y no los validan por transferencia.</w:t>
      </w:r>
    </w:p>
    <w:p>
      <w:pPr>
        <w:jc w:val="both"/>
      </w:pPr>
      <w:r>
        <w:t>El IPM reúne distintas privaciones, por lo que su asociación con educación debe leerse como una relación con condiciones de vida más amplias. Angulo et al. (2016) describen el índice colombiano como una medida de cinco dimensiones con aplicaciones de seguimiento territorial y política pública. Esa finalidad permite interpretar su utilidad como indicador de contexto, sin convertirlo en una medida exhaustiva de calidad educativa ni en un pronóstico suficiente del desempeño.</w:t>
      </w:r>
    </w:p>
    <w:p>
      <w:pPr>
        <w:jc w:val="both"/>
      </w:pPr>
      <w:r>
        <w:t>La relación negativa con privaciones de agua, excretas y rezago escolar también puede reflejar condiciones territoriales que aparecen juntas. No permite establecer cuál intervención produciría el mayor aumento del puntaje. La agregación y la relación entre indicadores aconsejan evitar que una tabla de correlaciones se convierta en un orden causal de prioridades (E1).</w:t>
      </w:r>
    </w:p>
    <w:p>
      <w:pPr>
        <w:pStyle w:val="Heading1"/>
      </w:pPr>
      <w:r>
        <w:t>Las diferencias entre territorios no son cambios dentro de ellos</w:t>
      </w:r>
    </w:p>
    <w:p>
      <w:pPr>
        <w:jc w:val="both"/>
      </w:pPr>
      <w:r>
        <w:t>La comparación de cambios de IPM y puntaje entre 2018 y 2024 produjo una correlación de −0,077. Es una comparación de extremos y no una estimación ajustada de todas las observaciones. Por tanto, una relación territorial marcada puede coexistir con una relación débil entre cambios de extremos sin que una de ellas invalide automáticamente la otra (E1).</w:t>
      </w:r>
    </w:p>
    <w:p>
      <w:pPr>
        <w:jc w:val="both"/>
      </w:pPr>
      <w:r>
        <w:t>Una explicación posible es que las diferencias persistentes entre departamentos recojan condiciones educativas y sociales que cambian lentamente. Esa interpretación es una hipótesis de lectura, no un mecanismo identificado por los resultados. No se midió aquí cuánto corresponde a infraestructura, composición, calidad docente u otras condiciones.</w:t>
      </w:r>
    </w:p>
    <w:p>
      <w:pPr>
        <w:jc w:val="both"/>
      </w:pPr>
      <w:r>
        <w:t>La segunda pregunta de investigación exige controlar heterogeneidad departamental y temporal mediante efectos fijos. La entrega de esa estimación no está localizada en el alcance revisado. Las correlaciones disponibles no permiten reemplazarla, y la falta de ese resultado tampoco significa que el coeficiente sea cero o no significativo. Esta brecha limita la respuesta ajustada y mantiene H1/H2 sin contraste verificable en la síntesis (E2).</w:t>
      </w:r>
    </w:p>
    <w:p>
      <w:pPr>
        <w:pStyle w:val="Heading1"/>
      </w:pPr>
      <w:r>
        <w:t>El aporte predictivo de pobreza y la referencia histórica</w:t>
      </w:r>
    </w:p>
    <w:p>
      <w:pPr>
        <w:jc w:val="both"/>
      </w:pPr>
      <w:r>
        <w:t>En el diseño focal hasta 2023/evaluación 2024–2025, añadir IPM redujo el MAE de 12,538 a 9,704 puntos, y utilizar dimensiones e indicadores lo redujo a 8,479. Frente a esa base, pobreza incorpora información útil. Aun así, el promedio territorial obtuvo 7,405 y la persistencia 3,103. La mejora relativa de una especificación no implica que sea la herramienta de menor error disponible (E3).</w:t>
      </w:r>
    </w:p>
    <w:p>
      <w:pPr>
        <w:jc w:val="both"/>
      </w:pPr>
      <w:r>
        <w:t>El contraste posterior de 2021–2025 también favoreció a historia: MAE 3,365 frente a 4,880 del procedimiento ampliado con pobreza y 3,429 de persistencia. Las cifras no se mezclan con el diseño focal ni con fase 6, porque sus muestras y reglas son diferentes. Su interpretación común es acotada: los resultados educativos previos constituyen referencias que una propuesta predictiva debe comparar, incluso cuando el interés sustantivo está en pobreza (E7).</w:t>
      </w:r>
    </w:p>
    <w:p>
      <w:pPr>
        <w:jc w:val="both"/>
      </w:pPr>
      <w:r>
        <w:t>El bajo error de persistencia sugiere que el puntaje reciente resume información útil para estimar el siguiente valor disponible. No demuestra que las condiciones sociales sean irrelevantes: la historia del desempeño también puede contener información sobre ellas. Esta posible explicación no fue descompuesta empíricamente. Además, para 2025 persistencia utiliza 2024 observado, mientras el diseño focal está congelado desde 2023; parte de la comparación ocurre bajo conjuntos informativos distintos.</w:t>
      </w:r>
    </w:p>
    <w:p>
      <w:pPr>
        <w:jc w:val="both"/>
      </w:pPr>
      <w:r>
        <w:t>El informe fase 6 de 2018–2024 conservó MAE 6,346 en 2023–2024 y un aumento del error entre ambos años. Ese hallazgo recuerda que un modelo puede variar en desempeño según el año y que una métrica conjunta no basta para sostener estabilidad. No se atribuye el deterioro a pandemia, cambios de medición o políticas porque no se identificó su causa (E6).</w:t>
      </w:r>
    </w:p>
    <w:p>
      <w:pPr>
        <w:jc w:val="both"/>
      </w:pPr>
      <w:r>
        <w:t>El diseño focal contribuye al rigor y la correspondencia metodológica, aunque no entregue el menor error. Incorpora las tres especificaciones y las familias regularizadas escritas y separa selección temporal de la sensibilidad dejando un año fuera. No autoriza a interpretar los coeficientes penalizados como efectos causales ni los indicadores retenidos como causas demostradas. La comparación por bloques tampoco identifica, por sí sola, qué tasa individual aporta información independiente.</w:t>
      </w:r>
    </w:p>
    <w:p>
      <w:pPr>
        <w:pStyle w:val="Heading1"/>
      </w:pPr>
      <w:r>
        <w:t>Lo que permiten afirmar los escenarios</w:t>
      </w:r>
    </w:p>
    <w:p>
      <w:pPr>
        <w:jc w:val="both"/>
      </w:pPr>
      <w:r>
        <w:t>Los tres escenarios efectivos admitidos reducen el IPM en un punto en Meta, Sucre y Tolima y producen una diferencia estimada de +0,574 puntos globales. La coincidencia se debe al coeficiente común del modelo lineal. El resultado expresa sensibilidad de una función predictiva con otras entradas constantes; no mide tres efectos departamentales de política ni garantiza que la reducción sea realizable (E5).</w:t>
      </w:r>
    </w:p>
    <w:p>
      <w:pPr>
        <w:jc w:val="both"/>
      </w:pPr>
      <w:r>
        <w:t>Las reducciones de tres y cinco puntos y la convergencia efectiva no superaron los controles. Es una delimitación sustantiva de la aplicación: publicar una tabla completa de puntajes para todos los territorios ocultaría que muchas entradas ya están fuera del rango histórico. Los criterios empleados son conservadores; el rechazo expresa falta de soporte bajo ellos, no imposibilidad universal de reducir pobreza. No se flexibilizaron después de observar los resultados.</w:t>
      </w:r>
    </w:p>
    <w:p>
      <w:pPr>
        <w:jc w:val="both"/>
      </w:pPr>
      <w:r>
        <w:t>La medida de pobreza requiere considerar cómo se acumulan privaciones y se identifica a quienes cruzan un umbral. El marco de conteo de Alkire y Foster (2011) utiliza un corte por dimensión y otro para la identificación multidimensional. A partir de esa estructura, esta investigación reconoce que reducir tasas marginales no basta para verificar una distribución conjunta coherente ni un cambio determinado del IPM. Esta es la razón metodológica para no presentar como ejecutada la simulación proporcional de los quince indicadores.</w:t>
      </w:r>
    </w:p>
    <w:p>
      <w:pPr>
        <w:jc w:val="both"/>
      </w:pPr>
      <w:r>
        <w:t>La alternativa académica es conservar los escenarios del índice agregado que superan soporte y declarar el alcance pendiente de los demás. Aunque el modelo auxiliar responda a cambios del IPM, no sustituye al modelo o referencia que logra menor error para otra finalidad. Ambas funciones deben explicarse separadamente en la sustentación.</w:t>
      </w:r>
    </w:p>
    <w:p>
      <w:pPr>
        <w:pStyle w:val="Heading1"/>
      </w:pPr>
      <w:r>
        <w:t>Limitaciones para interpretar los hallazgos</w:t>
      </w:r>
    </w:p>
    <w:p>
      <w:pPr>
        <w:jc w:val="both"/>
      </w:pPr>
      <w:r>
        <w:t>La unidad es departamento del colegio y año. El IPM describe pobreza de la población residente y sus hogares; no está enlazado con las condiciones del hogar de cada evaluado. Las asociaciones departamentales no se trasladan a estudiantes individuales. También se promedian resultados que pueden ocultar diferencias dentro de cada territorio, y las métricas dan igual peso a cada territorio-año, no a cada estudiante nacional (E1 y E6).</w:t>
      </w:r>
    </w:p>
    <w:p>
      <w:pPr>
        <w:jc w:val="both"/>
      </w:pPr>
      <w:r>
        <w:t>Los años evaluados ya habían sido examinados durante la investigación. La selección actual evita utilizarlos para escoger parámetros, pero no recupera una reserva inédita. Las variables de pobreza y composición son contemporáneas y su disponibilidad anticipada no está certificada. El estudio conserva valor retrospectivo sin presentarse como un sistema de pronóstico operativo antes del examen (E3).</w:t>
      </w:r>
    </w:p>
    <w:p>
      <w:pPr>
        <w:jc w:val="both"/>
      </w:pPr>
      <w:r>
        <w:t>El periodo corto y la repetición de territorios limitan la independencia de las observaciones. El remuestreo de errores fijos del diseño focal describe dispersión condicional y no representa toda la incertidumbre de seleccionar, ajustar y trasladar un modelo a años nuevos. Tampoco se propagó la incertidumbre muestral del IPM a los escenarios. La mejoría relativa observada no basta para declarar H3 confirmada bajo la especificación y las condiciones originales (E3).</w:t>
      </w:r>
    </w:p>
    <w:p>
      <w:pPr>
        <w:jc w:val="both"/>
      </w:pPr>
      <w:r>
        <w:t>La ampliación predictiva a 2025 no actualiza automáticamente los descriptivos ni el objetivo inferencial de 2018–2024. El cierre editorial debe hacer explícitos los periodos, las adaptaciones temporales, las correcciones de población y las restricciones de escenarios. Una discusión coherente conserva estas diferencias en lugar de presentar una única evidencia homogénea para toda la tesis (E2).</w:t>
      </w:r>
    </w:p>
    <w:p>
      <w:pPr>
        <w:pStyle w:val="Heading1"/>
      </w:pPr>
      <w:r>
        <w:t>Implicaciones para la investigación y su uso</w:t>
      </w:r>
    </w:p>
    <w:p>
      <w:pPr>
        <w:jc w:val="both"/>
      </w:pPr>
      <w:r>
        <w:t>Los resultados permiten utilizar el IPM para describir desventajas territoriales y examinar su aporte predictivo frente a referencias claras. Para un seguimiento académico, conviene informar errores por año y territorio y contrastarlos con la historia reciente. Para decisiones de política, estos resultados pueden orientar preguntas y necesidades de análisis, pero no cuantificar el efecto de una intervención ni justificar un presupuesto a partir del incremento simulado.</w:t>
      </w:r>
    </w:p>
    <w:p>
      <w:pPr>
        <w:jc w:val="both"/>
      </w:pPr>
      <w:r>
        <w:t>La continuidad académica indispensable consiste en localizar o resolver el contraste del objetivo 2 y conciliar el alcance escrito con lo efectivamente ejecutado. Una validación sobre un año futuro no examinado y escenarios construidos con información conjunta serían líneas posteriores; no se presentan como realizadas ni se proponen como condición añadida para reconocer los resultados retrospectivos actuales.</w:t>
      </w:r>
    </w:p>
    <w:p>
      <w:pPr>
        <w:pStyle w:val="Heading1"/>
      </w:pPr>
      <w:r>
        <w:t>Referencias citadas</w:t>
      </w:r>
    </w:p>
    <w:p>
      <w:pPr>
        <w:jc w:val="both"/>
      </w:pPr>
      <w:r>
        <w:t>Alkire, S., y Foster, J. (2011). Counting and multidimensional poverty measurement. Journal of Public Economics, 95(7–8), 476–487. https://doi.org/10.1016/j.jpubeco.2010.11.006</w:t>
      </w:r>
    </w:p>
    <w:p>
      <w:pPr>
        <w:jc w:val="both"/>
      </w:pPr>
      <w:r>
        <w:t>Angulo, R., Díaz, Y., y Pardo, R. (2016). The Colombian Multidimensional Poverty Index: Measuring poverty in a public policy context. Social Indicators Research, 127(1), 1–38. https://doi.org/10.1007/s11205-015-0964-z</w:t>
      </w:r>
    </w:p>
    <w:p>
      <w:pPr>
        <w:jc w:val="both"/>
      </w:pPr>
      <w:r>
        <w:t>Fajardo, E., Beleño Montagut, L., y Romero, H. (2021). Incidencia de los factores socioeconómicos en la calidad de la educación media regional en Colombia. Interciencia, 46(3), 118–125. https://www.interciencia.net/wp-content/uploads/2021/04/04_6787_Com_Fajardo_v46n3_8.pdf</w:t>
      </w:r>
    </w:p>
    <w:p>
      <w:pPr>
        <w:pStyle w:val="Heading1"/>
      </w:pPr>
      <w:r>
        <w:t>Fuentes de resultados propios</w:t>
      </w:r>
    </w:p>
    <w:p>
      <w:pPr>
        <w:spacing w:line="264" w:lineRule="auto"/>
        <w:ind w:firstLine="0"/>
      </w:pPr>
      <w:r>
        <w:rPr>
          <w:sz w:val="20"/>
        </w:rPr>
        <w:t>Fuente: E1, auditoria/evidencia/resumen_tesis.json y tabla12_propuesta_198.csv; E2, REVISION_CUATRO_OBJETIVOS.md; E3–E5, objetivo4_validacion_escenarios/resultados; E6, informe_objetivo_3_revisado.md, tablas 5–6; E7, metricas_comparables.csv. Las rutas completas, procedimientos y alcance de consulta bibliográfica se conservan en EVIDENCIAS_Y_REFERENCIAS.md.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