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Conclusiones</w:t>
      </w:r>
    </w:p>
    <w:p>
      <w:pPr>
        <w:jc w:val="both"/>
      </w:pPr>
      <w:r>
        <w:t>La investigación aporta una respuesta descriptiva y predictiva a la relación entre pobreza multidimensional y desempeño académico departamental. La evidencia muestra una asociación territorial negativa y permite cuantificar el error de varios modelos, pero no identifica efectos causales ni completa todavía el contraste ajustado prometido en el segundo objetivo. Las conclusiones se delimitan por esas diferencias.</w:t>
      </w:r>
    </w:p>
    <w:p>
      <w:pPr>
        <w:pStyle w:val="Heading1"/>
      </w:pPr>
      <w:r>
        <w:t>La relación descriptiva entre pobreza y desempeño</w:t>
      </w:r>
    </w:p>
    <w:p>
      <w:pPr>
        <w:jc w:val="both"/>
      </w:pPr>
      <w:r>
        <w:t>En el periodo descriptivo auditado de 2018–2024, con 2020 excluido, los departamentos con mayor IPM tienden a registrar menor puntaje global promedio. La correlación fue −0,722 sobre 198 celdas y −0,752 entre las medias de 33 territorios. La comparación de cambios entre 2018 y 2024 fue mucho menor, −0,077, pero solo describe los extremos del periodo y no demuestra ausencia de asociación longitudinal ajustada. Estos resultados corresponden a agregados territoriales, no a relaciones identificadas en estudiantes individuales (E1).</w:t>
      </w:r>
    </w:p>
    <w:p>
      <w:pPr>
        <w:jc w:val="both"/>
      </w:pPr>
      <w:r>
        <w:t>La construcción auditada conserva grado 11, departamento del colegio, Bogotá y 2021. La tabla histórica con otra población y geografía debe corregirse o rotularse como antecedente; no puede utilizarse como si describiera la misma base. El capítulo descriptivo conserva comprobaciones y ajustes editoriales pendientes de consolidación, por lo que no se certifica aquí cada cifra complementaria del primer objetivo (E2).</w:t>
      </w:r>
    </w:p>
    <w:p>
      <w:pPr>
        <w:pStyle w:val="Heading1"/>
      </w:pPr>
      <w:r>
        <w:t>El contraste ajustado sigue pendiente</w:t>
      </w:r>
    </w:p>
    <w:p>
      <w:pPr>
        <w:jc w:val="both"/>
      </w:pPr>
      <w:r>
        <w:t>No se localizó una entrega verificable de efectos fijos de departamento y año con asociación contemporánea, rezagos e incertidumbre. Por ello no se concluye que H1 o H2 hayan sido confirmadas o rechazadas. Las correlaciones descriptivas no sustituyen esa estimación y los modelos predictivos no resuelven su pregunta inferencial. El segundo objetivo requiere localizar su entrega o una decisión académica explícita sobre su alcance antes del cierre integral (E2).</w:t>
      </w:r>
    </w:p>
    <w:p>
      <w:pPr>
        <w:pStyle w:val="Heading1"/>
      </w:pPr>
      <w:r>
        <w:t>Los modelos aportan estimaciones con límites claros</w:t>
      </w:r>
    </w:p>
    <w:p>
      <w:pPr>
        <w:jc w:val="both"/>
      </w:pPr>
      <w:r>
        <w:t>El modelo fase 6 con pobreza obtuvo MAE 6,346 puntos en 2023–2024, dentro de su diseño de 2018–2024. El contraste posterior de 2021–2025 favoreció la historia: MAE 3,365 frente a 4,880 del procedimiento con pobreza y 3,429 de persistencia. Estos ejercicios deben conservarse separados porque no comparten todas sus reglas y periodos (E6 y E7).</w:t>
      </w:r>
    </w:p>
    <w:p>
      <w:pPr>
        <w:jc w:val="both"/>
      </w:pPr>
      <w:r>
        <w:t>El diseño focal conectado con la metodología mostró mejora relativa al incorporar pobreza. Con entrenamiento hasta 2023 y evaluación 2024–2025, el MAE pasó de 12,538 en la base a 9,704 con IPM y 8,479 con dimensiones e indicadores. Sin embargo, la persistencia obtuvo 3,103. La pobreza aporta información frente a esa base, pero no permite declarar superioridad predictiva general ni confirmación de H3 bajo la especificación original. La historia reciente es una referencia indispensable al valorar modelos más complejos (E3).</w:t>
      </w:r>
    </w:p>
    <w:p>
      <w:pPr>
        <w:pStyle w:val="Heading1"/>
      </w:pPr>
      <w:r>
        <w:t>Los escenarios son comparaciones condicionales locales</w:t>
      </w:r>
    </w:p>
    <w:p>
      <w:pPr>
        <w:jc w:val="both"/>
      </w:pPr>
      <w:r>
        <w:t>Solo tres reducciones efectivas de un punto porcentual de IPM superaron los controles: Meta, Sucre y Tolima. El modelo auxiliar estimó una diferencia de +0,574 puntos globales en cada caso. Esa igualdad proviene de un coeficiente lineal común y no representa efectos causales iguales de una política. No se estableció la relevancia educativa práctica de esa diferencia (E5).</w:t>
      </w:r>
    </w:p>
    <w:p>
      <w:pPr>
        <w:jc w:val="both"/>
      </w:pPr>
      <w:r>
        <w:t>Ninguna reducción de tres o cinco puntos ni convergencia efectiva superó soporte. Las 13 admisiones incluyen seis referencias sin cambio y cuatro entradas de convergencia con reducción cero; solo tres representan cambios efectivos. Las otras 152 propuestas quedaron rechazadas. Tampoco se ejecutó una simulación dimensional proporcional coherente con el IPM. El cuarto objetivo queda sustentado en validación retrospectiva y escenarios agregados delimitados, con esa brecha declarada y pendiente de conciliación académica (E5).</w:t>
      </w:r>
    </w:p>
    <w:p>
      <w:pPr>
        <w:pStyle w:val="Heading1"/>
      </w:pPr>
      <w:r>
        <w:t>Respuesta general y cierre académico</w:t>
      </w:r>
    </w:p>
    <w:p>
      <w:pPr>
        <w:jc w:val="both"/>
      </w:pPr>
      <w:r>
        <w:t>La evidencia permite afirmar que pobreza y desempeño se relacionan descriptivamente entre departamentos y que la incorporación de pobreza reduce el error frente a la base del diseño focal. Al mismo tiempo, la historia reciente obtiene menor error y los escenarios admitidos tienen cobertura limitada. No se dispone todavía de la respuesta ajustada necesaria para determinar la magnitud y el signo de la asociación tras controlar heterogeneidad territorial y temporal.</w:t>
      </w:r>
    </w:p>
    <w:p>
      <w:pPr>
        <w:jc w:val="both"/>
      </w:pPr>
      <w:r>
        <w:t>La ampliación predictiva a 2018–2025, los años ya vistos, la adaptación de efectos de año a tendencia temporal y la definición de mediana departamental deben reflejarse explícitamente en la metodología y en la exposición. Estas delimitaciones no invalidan el análisis retrospectivo; evitan atribuirle un alcance que no fue demostrado.</w:t>
      </w:r>
    </w:p>
    <w:p>
      <w:pPr>
        <w:jc w:val="both"/>
      </w:pPr>
      <w:r>
        <w:t>Para cerrar la tesis de manera integral se requiere resolver el estado del objetivo 2, consolidar las correcciones descriptivas y aceptar académicamente las adaptaciones y restricciones de los objetivos 3/4. Los resultados débiles o desfavorables siguen siendo resultados válidos. No corresponde presentar los cuatro objetivos como completos mientras queden requisitos indispensables sin resolver o sin una decisión expresa de alcance.</w:t>
      </w:r>
    </w:p>
    <w:p>
      <w:pPr>
        <w:pStyle w:val="Heading1"/>
      </w:pPr>
      <w:r>
        <w:t>Recomendaciones derivadas del estudio</w:t>
      </w:r>
    </w:p>
    <w:p>
      <w:pPr>
        <w:jc w:val="both"/>
      </w:pPr>
      <w:r>
        <w:t>Se recomienda conservar las referencias históricas en cualquier evaluación predictiva y publicar los errores junto con sus años, muestras y reglas. Los escenarios admitidos pueden utilizarse para ilustrar el funcionamiento del modelo y sus límites, sin traducirlos en metas de política. Como desarrollo posterior, una evaluación verdaderamente futura y datos que permitan comprobar privaciones conjuntas ayudarían a valorar traslado temporal y coherencia de escenarios; no constituyen resultados de esta entrega.</w:t>
      </w:r>
    </w:p>
    <w:p>
      <w:pPr>
        <w:pStyle w:val="Heading1"/>
      </w:pPr>
      <w:r>
        <w:t>Fuentes de resultados</w:t>
      </w:r>
    </w:p>
    <w:p>
      <w:pPr>
        <w:spacing w:line="264" w:lineRule="auto"/>
        <w:ind w:firstLine="0"/>
      </w:pPr>
      <w:r>
        <w:rPr>
          <w:sz w:val="20"/>
        </w:rPr>
        <w:t>Fuente: E1–E7 en EVIDENCIAS_Y_REFERENCIAS.md. Las conclusiones se apoyan en resultados propios y en sus limitaciones; la discusión presenta el diálogo bibliográfico sin usar referencias externas para suplir una estimación pendiente.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