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3A5E"/>
          <w:sz w:val="30"/>
        </w:rPr>
        <w:t>Geospatial Flood-Risk Modelling using Climate Data and Hidden Markov Models in Rwanda</w:t>
      </w:r>
    </w:p>
    <w:p>
      <w:r>
        <w:rPr>
          <w:i/>
          <w:sz w:val="19"/>
        </w:rPr>
        <w:t>Kellen Murerwa  ·  Supervisor: Emmanuel Adjei  ·  BSc Software Engineering, ALU  ·  Nyabugogo–Nyabarongo corridor, Kigali</w:t>
      </w:r>
    </w:p>
    <w:p>
      <w:r>
        <w:rPr>
          <w:b/>
          <w:color w:val="1B7A3D"/>
          <w:sz w:val="23"/>
        </w:rPr>
        <w:t>The problem</w:t>
      </w:r>
    </w:p>
    <w:p>
      <w:pPr>
        <w:jc w:val="both"/>
      </w:pPr>
      <w:r>
        <w:t>Kigali floods after intense rain, yet official hazard maps are static: they show where flooding is possible, not when or how widely flood pressure rises day to day after rainfall.</w:t>
      </w:r>
    </w:p>
    <w:p>
      <w:r>
        <w:rPr>
          <w:b/>
          <w:color w:val="1B7A3D"/>
          <w:sz w:val="23"/>
        </w:rPr>
        <w:t>What I built</w:t>
      </w:r>
    </w:p>
    <w:p>
      <w:pPr>
        <w:pStyle w:val="ListBullet"/>
      </w:pPr>
      <w:r>
        <w:t>A 250 m grid (729 cells) over the corridor; one record per cell per day, 2018–2024 (1.86M records).</w:t>
      </w:r>
    </w:p>
    <w:p>
      <w:pPr>
        <w:pStyle w:val="ListBullet"/>
      </w:pPr>
      <w:r>
        <w:t>Real, free, keyless data: rainfall (Open-Meteo ERA5), elevation+slope (SRTM), rivers/roads/buildings (OpenStreetMap), and the official flood polygons (Rwanda GeoPortal / Ministry of Environment).</w:t>
      </w:r>
    </w:p>
    <w:p>
      <w:pPr>
        <w:pStyle w:val="ListBullet"/>
      </w:pPr>
      <w:r>
        <w:t>Models: rainfall-threshold &amp; static-polygon baselines, Logistic Regression, Decision Tree, Random Forest, XGBoost (+SHAP), and a Hidden Markov Model for daily state transitions.</w:t>
      </w:r>
    </w:p>
    <w:p>
      <w:pPr>
        <w:pStyle w:val="ListBullet"/>
      </w:pPr>
      <w:r>
        <w:t>Evaluated on a strict temporal hold-out: train 2018–2023, test on the unseen year 2024.</w:t>
      </w:r>
    </w:p>
    <w:p>
      <w:r>
        <w:rPr>
          <w:b/>
          <w:color w:val="1B7A3D"/>
          <w:sz w:val="23"/>
        </w:rPr>
        <w:t>Headline results (2024 hold-out)</w:t>
      </w:r>
    </w:p>
    <w:p>
      <w:pPr>
        <w:pStyle w:val="ListBullet"/>
      </w:pPr>
      <w:r>
        <w:t>Random Forest: macro-F1 0.831, high-pressure recall 0.867 (targets were 0.75 and 0.80). XGBoost close behind (0.813 / 0.847).</w:t>
      </w:r>
    </w:p>
    <w:p>
      <w:pPr>
        <w:pStyle w:val="ListBullet"/>
      </w:pPr>
      <w:r>
        <w:t>Baselines clearly beaten (rainfall-threshold 0.62, static-polygon 0.32) — geospatial context adds real value.</w:t>
      </w:r>
    </w:p>
    <w:p>
      <w:pPr>
        <w:pStyle w:val="ListBullet"/>
      </w:pPr>
      <w:r>
        <w:t>Spatial validation vs official polygons: enrichment 1.59×, inside-vs-outside high odds 1.84× — without ever training on the polygons.</w:t>
      </w:r>
    </w:p>
    <w:p>
      <w:r>
        <w:rPr>
          <w:b/>
          <w:color w:val="1B7A3D"/>
          <w:sz w:val="23"/>
        </w:rPr>
        <w:t>Contribution</w:t>
      </w:r>
    </w:p>
    <w:p>
      <w:pPr>
        <w:jc w:val="both"/>
      </w:pPr>
      <w:r>
        <w:t>A reproducible, interpretable, time-aware flood-pressure tool that independently reinforces the official flood map and extends it with a dynamic, rainfall-driven footprint — delivered with a Streamlit dashboard for inspection by date and location.</w:t>
      </w:r>
    </w:p>
    <w:p>
      <w:r>
        <w:rPr>
          <w:i/>
          <w:sz w:val="18"/>
        </w:rPr>
        <w:t>Note: a flood-pressure state is a derived risk condition, not a confirmed flood event; the tool complements, not replaces, official early warning.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