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84A56" w14:textId="77777777" w:rsidR="00DA1779" w:rsidRDefault="00000000">
      <w:pPr>
        <w:spacing w:after="213" w:line="259" w:lineRule="auto"/>
        <w:ind w:left="0" w:right="398" w:firstLine="0"/>
        <w:jc w:val="right"/>
      </w:pPr>
      <w:r>
        <w:rPr>
          <w:b/>
        </w:rPr>
        <w:t xml:space="preserve">Statistical Analysis of Lifestyle Risk Factors and Chronic Disease Outcomes Data Set  </w:t>
      </w:r>
    </w:p>
    <w:p w14:paraId="13E8BAE2" w14:textId="11FF054F" w:rsidR="00DA1779" w:rsidRDefault="00000000" w:rsidP="00860DCC">
      <w:pPr>
        <w:spacing w:after="0" w:line="259" w:lineRule="auto"/>
        <w:ind w:left="632" w:right="0" w:firstLine="0"/>
        <w:jc w:val="center"/>
      </w:pPr>
      <w:r>
        <w:rPr>
          <w:b/>
        </w:rPr>
        <w:t>Case Study - Healthcare Applications</w:t>
      </w:r>
    </w:p>
    <w:tbl>
      <w:tblPr>
        <w:tblStyle w:val="TableGrid"/>
        <w:tblW w:w="6161" w:type="dxa"/>
        <w:tblInd w:w="1974" w:type="dxa"/>
        <w:tblCellMar>
          <w:top w:w="43" w:type="dxa"/>
          <w:left w:w="118" w:type="dxa"/>
          <w:bottom w:w="0" w:type="dxa"/>
          <w:right w:w="62" w:type="dxa"/>
        </w:tblCellMar>
        <w:tblLook w:val="04A0" w:firstRow="1" w:lastRow="0" w:firstColumn="1" w:lastColumn="0" w:noHBand="0" w:noVBand="1"/>
      </w:tblPr>
      <w:tblGrid>
        <w:gridCol w:w="1595"/>
        <w:gridCol w:w="4566"/>
      </w:tblGrid>
      <w:tr w:rsidR="00DA1779" w14:paraId="57E7FA3C" w14:textId="77777777">
        <w:trPr>
          <w:trHeight w:val="360"/>
        </w:trPr>
        <w:tc>
          <w:tcPr>
            <w:tcW w:w="1595" w:type="dxa"/>
            <w:tcBorders>
              <w:top w:val="single" w:sz="6" w:space="0" w:color="000000"/>
              <w:left w:val="single" w:sz="6" w:space="0" w:color="000000"/>
              <w:bottom w:val="single" w:sz="6" w:space="0" w:color="000000"/>
              <w:right w:val="single" w:sz="6" w:space="0" w:color="000000"/>
            </w:tcBorders>
          </w:tcPr>
          <w:p w14:paraId="62562A52" w14:textId="77777777" w:rsidR="00DA1779" w:rsidRDefault="00000000">
            <w:pPr>
              <w:spacing w:after="0" w:line="259" w:lineRule="auto"/>
              <w:ind w:left="5" w:right="0" w:firstLine="0"/>
              <w:jc w:val="left"/>
            </w:pPr>
            <w:r>
              <w:rPr>
                <w:b/>
              </w:rPr>
              <w:t xml:space="preserve">Name </w:t>
            </w:r>
          </w:p>
        </w:tc>
        <w:tc>
          <w:tcPr>
            <w:tcW w:w="4566" w:type="dxa"/>
            <w:tcBorders>
              <w:top w:val="single" w:sz="6" w:space="0" w:color="000000"/>
              <w:left w:val="single" w:sz="6" w:space="0" w:color="000000"/>
              <w:bottom w:val="single" w:sz="6" w:space="0" w:color="000000"/>
              <w:right w:val="single" w:sz="6" w:space="0" w:color="000000"/>
            </w:tcBorders>
          </w:tcPr>
          <w:p w14:paraId="1EA26ACD" w14:textId="71539848" w:rsidR="00DA1779" w:rsidRDefault="005B4CB3">
            <w:pPr>
              <w:spacing w:after="0" w:line="259" w:lineRule="auto"/>
              <w:ind w:left="0" w:right="0" w:firstLine="0"/>
              <w:jc w:val="left"/>
            </w:pPr>
            <w:r>
              <w:t>KELLEN HANSEL NOSINA</w:t>
            </w:r>
          </w:p>
        </w:tc>
      </w:tr>
      <w:tr w:rsidR="00DA1779" w14:paraId="5FC71AAC" w14:textId="77777777">
        <w:trPr>
          <w:trHeight w:val="360"/>
        </w:trPr>
        <w:tc>
          <w:tcPr>
            <w:tcW w:w="1595" w:type="dxa"/>
            <w:tcBorders>
              <w:top w:val="single" w:sz="6" w:space="0" w:color="000000"/>
              <w:left w:val="single" w:sz="6" w:space="0" w:color="000000"/>
              <w:bottom w:val="single" w:sz="6" w:space="0" w:color="000000"/>
              <w:right w:val="single" w:sz="6" w:space="0" w:color="000000"/>
            </w:tcBorders>
          </w:tcPr>
          <w:p w14:paraId="7977BFBD" w14:textId="77777777" w:rsidR="00DA1779" w:rsidRDefault="00000000">
            <w:pPr>
              <w:spacing w:after="0" w:line="259" w:lineRule="auto"/>
              <w:ind w:left="5" w:right="0" w:firstLine="0"/>
              <w:jc w:val="left"/>
            </w:pPr>
            <w:r>
              <w:rPr>
                <w:b/>
              </w:rPr>
              <w:t xml:space="preserve">Roll Number </w:t>
            </w:r>
          </w:p>
        </w:tc>
        <w:tc>
          <w:tcPr>
            <w:tcW w:w="4566" w:type="dxa"/>
            <w:tcBorders>
              <w:top w:val="single" w:sz="6" w:space="0" w:color="000000"/>
              <w:left w:val="single" w:sz="6" w:space="0" w:color="000000"/>
              <w:bottom w:val="single" w:sz="6" w:space="0" w:color="000000"/>
              <w:right w:val="single" w:sz="6" w:space="0" w:color="000000"/>
            </w:tcBorders>
          </w:tcPr>
          <w:p w14:paraId="02039DBD" w14:textId="4B2E69E3" w:rsidR="00DA1779" w:rsidRDefault="00000000">
            <w:pPr>
              <w:spacing w:after="0" w:line="259" w:lineRule="auto"/>
              <w:ind w:left="0" w:right="0" w:firstLine="0"/>
              <w:jc w:val="left"/>
            </w:pPr>
            <w:r>
              <w:t>RA22110470101</w:t>
            </w:r>
            <w:r w:rsidR="005B4CB3">
              <w:t>37</w:t>
            </w:r>
          </w:p>
        </w:tc>
      </w:tr>
      <w:tr w:rsidR="00DA1779" w14:paraId="561796CE" w14:textId="77777777">
        <w:trPr>
          <w:trHeight w:val="341"/>
        </w:trPr>
        <w:tc>
          <w:tcPr>
            <w:tcW w:w="1595" w:type="dxa"/>
            <w:tcBorders>
              <w:top w:val="single" w:sz="6" w:space="0" w:color="000000"/>
              <w:left w:val="single" w:sz="6" w:space="0" w:color="000000"/>
              <w:bottom w:val="single" w:sz="6" w:space="0" w:color="000000"/>
              <w:right w:val="single" w:sz="6" w:space="0" w:color="000000"/>
            </w:tcBorders>
          </w:tcPr>
          <w:p w14:paraId="74572F78" w14:textId="77777777" w:rsidR="00DA1779" w:rsidRDefault="00000000">
            <w:pPr>
              <w:spacing w:after="0" w:line="259" w:lineRule="auto"/>
              <w:ind w:left="5" w:right="0" w:firstLine="0"/>
              <w:jc w:val="left"/>
            </w:pPr>
            <w:r>
              <w:rPr>
                <w:b/>
              </w:rPr>
              <w:t xml:space="preserve">Department </w:t>
            </w:r>
          </w:p>
        </w:tc>
        <w:tc>
          <w:tcPr>
            <w:tcW w:w="4566" w:type="dxa"/>
            <w:tcBorders>
              <w:top w:val="single" w:sz="6" w:space="0" w:color="000000"/>
              <w:left w:val="single" w:sz="6" w:space="0" w:color="000000"/>
              <w:bottom w:val="single" w:sz="6" w:space="0" w:color="000000"/>
              <w:right w:val="single" w:sz="6" w:space="0" w:color="000000"/>
            </w:tcBorders>
          </w:tcPr>
          <w:p w14:paraId="4FC51085" w14:textId="77777777" w:rsidR="00DA1779" w:rsidRDefault="00000000">
            <w:pPr>
              <w:spacing w:after="0" w:line="259" w:lineRule="auto"/>
              <w:ind w:left="0" w:right="0" w:firstLine="0"/>
              <w:jc w:val="left"/>
            </w:pPr>
            <w:r>
              <w:t xml:space="preserve">CINTEL </w:t>
            </w:r>
          </w:p>
        </w:tc>
      </w:tr>
      <w:tr w:rsidR="00DA1779" w14:paraId="011CD0BC" w14:textId="77777777">
        <w:trPr>
          <w:trHeight w:val="360"/>
        </w:trPr>
        <w:tc>
          <w:tcPr>
            <w:tcW w:w="1595" w:type="dxa"/>
            <w:tcBorders>
              <w:top w:val="single" w:sz="6" w:space="0" w:color="000000"/>
              <w:left w:val="single" w:sz="6" w:space="0" w:color="000000"/>
              <w:bottom w:val="single" w:sz="6" w:space="0" w:color="000000"/>
              <w:right w:val="single" w:sz="6" w:space="0" w:color="000000"/>
            </w:tcBorders>
          </w:tcPr>
          <w:p w14:paraId="62014A87" w14:textId="77777777" w:rsidR="00DA1779" w:rsidRDefault="00000000">
            <w:pPr>
              <w:spacing w:after="0" w:line="259" w:lineRule="auto"/>
              <w:ind w:left="5" w:right="0" w:firstLine="0"/>
              <w:jc w:val="left"/>
            </w:pPr>
            <w:r>
              <w:rPr>
                <w:b/>
              </w:rPr>
              <w:t xml:space="preserve">Subject </w:t>
            </w:r>
          </w:p>
        </w:tc>
        <w:tc>
          <w:tcPr>
            <w:tcW w:w="4566" w:type="dxa"/>
            <w:tcBorders>
              <w:top w:val="single" w:sz="6" w:space="0" w:color="000000"/>
              <w:left w:val="single" w:sz="6" w:space="0" w:color="000000"/>
              <w:bottom w:val="single" w:sz="6" w:space="0" w:color="000000"/>
              <w:right w:val="single" w:sz="6" w:space="0" w:color="000000"/>
            </w:tcBorders>
          </w:tcPr>
          <w:p w14:paraId="66951A3F" w14:textId="77777777" w:rsidR="00DA1779" w:rsidRDefault="00000000">
            <w:pPr>
              <w:spacing w:after="0" w:line="259" w:lineRule="auto"/>
              <w:ind w:left="0" w:right="0" w:firstLine="0"/>
              <w:jc w:val="left"/>
            </w:pPr>
            <w:r>
              <w:t xml:space="preserve">Inferential Statistics and Predictive Analytics </w:t>
            </w:r>
          </w:p>
        </w:tc>
      </w:tr>
      <w:tr w:rsidR="00DA1779" w14:paraId="0513ECD7" w14:textId="77777777">
        <w:trPr>
          <w:trHeight w:val="365"/>
        </w:trPr>
        <w:tc>
          <w:tcPr>
            <w:tcW w:w="1595" w:type="dxa"/>
            <w:tcBorders>
              <w:top w:val="single" w:sz="6" w:space="0" w:color="000000"/>
              <w:left w:val="single" w:sz="6" w:space="0" w:color="000000"/>
              <w:bottom w:val="single" w:sz="6" w:space="0" w:color="000000"/>
              <w:right w:val="single" w:sz="6" w:space="0" w:color="000000"/>
            </w:tcBorders>
          </w:tcPr>
          <w:p w14:paraId="49807AB6" w14:textId="77777777" w:rsidR="00DA1779" w:rsidRDefault="00000000">
            <w:pPr>
              <w:spacing w:after="0" w:line="259" w:lineRule="auto"/>
              <w:ind w:left="5" w:right="0" w:firstLine="0"/>
              <w:jc w:val="left"/>
            </w:pPr>
            <w:r>
              <w:rPr>
                <w:b/>
              </w:rPr>
              <w:t xml:space="preserve">Subject Code </w:t>
            </w:r>
          </w:p>
        </w:tc>
        <w:tc>
          <w:tcPr>
            <w:tcW w:w="4566" w:type="dxa"/>
            <w:tcBorders>
              <w:top w:val="single" w:sz="6" w:space="0" w:color="000000"/>
              <w:left w:val="single" w:sz="6" w:space="0" w:color="000000"/>
              <w:bottom w:val="single" w:sz="6" w:space="0" w:color="000000"/>
              <w:right w:val="single" w:sz="6" w:space="0" w:color="000000"/>
            </w:tcBorders>
          </w:tcPr>
          <w:p w14:paraId="60F07DB8" w14:textId="77777777" w:rsidR="00DA1779" w:rsidRDefault="00000000">
            <w:pPr>
              <w:spacing w:after="0" w:line="259" w:lineRule="auto"/>
              <w:ind w:left="0" w:right="0" w:firstLine="0"/>
              <w:jc w:val="left"/>
            </w:pPr>
            <w:r>
              <w:t xml:space="preserve">21AIC401T </w:t>
            </w:r>
          </w:p>
        </w:tc>
      </w:tr>
    </w:tbl>
    <w:p w14:paraId="6871A448" w14:textId="77777777" w:rsidR="00DA1779" w:rsidRDefault="00000000">
      <w:pPr>
        <w:spacing w:after="40" w:line="259" w:lineRule="auto"/>
        <w:ind w:left="18" w:right="0" w:firstLine="0"/>
        <w:jc w:val="left"/>
      </w:pPr>
      <w:r>
        <w:rPr>
          <w:b/>
        </w:rPr>
        <w:t xml:space="preserve"> </w:t>
      </w:r>
    </w:p>
    <w:p w14:paraId="6AB8567D" w14:textId="77777777" w:rsidR="00DA1779" w:rsidRDefault="00000000">
      <w:pPr>
        <w:pStyle w:val="Heading1"/>
        <w:ind w:left="373"/>
      </w:pPr>
      <w:r>
        <w:t xml:space="preserve">Abstract </w:t>
      </w:r>
    </w:p>
    <w:p w14:paraId="3CDAEEAC" w14:textId="77777777" w:rsidR="00DA1779" w:rsidRDefault="00000000">
      <w:pPr>
        <w:spacing w:after="209"/>
      </w:pPr>
      <w:r>
        <w:t xml:space="preserve">This study utilizes the </w:t>
      </w:r>
      <w:r>
        <w:rPr>
          <w:i/>
        </w:rPr>
        <w:t>Statistical Analysis of Lifestyle Risk Factors and Chronic Disease Outcomes</w:t>
      </w:r>
      <w:r>
        <w:t xml:space="preserve"> dataset to explore key associations between health behaviors, demographic variables, and chronic disease indicators. By applying fundamental statistical methods, including t-tests and ANOVA, the analysis investigates how lifestyle-related factors influence health outcomes across different population groups. The findings demonstrate significant differences in body mass index (BMI) across demographic categories such as sex and notable variations in BMI corresponding to self-reported health status. These patterns suggest that lifestyle behaviors and perceptions of health are closely linked to measurable health risks. The results underscore the importance of data-driven public health strategies aimed at early identification and targeted interventions for populations at greater risk of chronic disease. </w:t>
      </w:r>
    </w:p>
    <w:p w14:paraId="36032097" w14:textId="77777777" w:rsidR="00DA1779" w:rsidRDefault="00000000">
      <w:pPr>
        <w:spacing w:after="45" w:line="259" w:lineRule="auto"/>
        <w:ind w:left="18" w:right="0" w:firstLine="0"/>
        <w:jc w:val="left"/>
      </w:pPr>
      <w:r>
        <w:t xml:space="preserve"> </w:t>
      </w:r>
    </w:p>
    <w:p w14:paraId="31060E1C" w14:textId="77777777" w:rsidR="00DA1779" w:rsidRDefault="00000000">
      <w:pPr>
        <w:pStyle w:val="Heading1"/>
        <w:ind w:left="373"/>
      </w:pPr>
      <w:r>
        <w:t xml:space="preserve">Introduction </w:t>
      </w:r>
    </w:p>
    <w:p w14:paraId="50580610" w14:textId="77777777" w:rsidR="00DA1779" w:rsidRDefault="00000000">
      <w:pPr>
        <w:ind w:right="352"/>
      </w:pPr>
      <w:r>
        <w:t xml:space="preserve">The increasing prevalence of chronic diseases, such as diabetes and cardiovascular disorders, poses a major public health challenge worldwide. Lifestyle-related factors, including diet, physical activity, and self-perceived health, play a critical role in shaping long-term health outcomes. Among the available indicators, Body Mass Index (BMI) is one of the most widely used measures for assessing weight categories and potential health risks within populations. As a simple yet effective metric, BMI provides valuable insights into overall health status when analyzed in conjunction with demographic and behavioral variables. Specifically, the analysis seeks to address the following research questions: </w:t>
      </w:r>
    </w:p>
    <w:p w14:paraId="5BED6F00" w14:textId="77777777" w:rsidR="00DA1779" w:rsidRDefault="00000000">
      <w:pPr>
        <w:numPr>
          <w:ilvl w:val="0"/>
          <w:numId w:val="1"/>
        </w:numPr>
        <w:ind w:left="1099" w:right="0" w:hanging="481"/>
      </w:pPr>
      <w:r>
        <w:t xml:space="preserve">Does the average BMI of the population deviate significantly from the healthy standard? </w:t>
      </w:r>
    </w:p>
    <w:p w14:paraId="3EC82F03" w14:textId="77777777" w:rsidR="00DA1779" w:rsidRDefault="00000000">
      <w:pPr>
        <w:numPr>
          <w:ilvl w:val="0"/>
          <w:numId w:val="1"/>
        </w:numPr>
        <w:ind w:left="1099" w:right="0" w:hanging="481"/>
      </w:pPr>
      <w:r>
        <w:t xml:space="preserve">Is there a significant difference in BMI between male and female participants? </w:t>
      </w:r>
    </w:p>
    <w:p w14:paraId="20C06207" w14:textId="77777777" w:rsidR="00DA1779" w:rsidRDefault="00000000">
      <w:pPr>
        <w:numPr>
          <w:ilvl w:val="0"/>
          <w:numId w:val="1"/>
        </w:numPr>
        <w:ind w:left="1099" w:right="0" w:hanging="481"/>
      </w:pPr>
      <w:r>
        <w:t xml:space="preserve">Do lifestyle and health factors, such as smoking status and self-reported health outcomes, show a measurable relationship with BMI? </w:t>
      </w:r>
    </w:p>
    <w:p w14:paraId="0F7D7B84" w14:textId="77777777" w:rsidR="00DA1779" w:rsidRDefault="00000000">
      <w:pPr>
        <w:spacing w:after="219" w:line="259" w:lineRule="auto"/>
        <w:ind w:left="618" w:right="0" w:firstLine="0"/>
        <w:jc w:val="left"/>
      </w:pPr>
      <w:r>
        <w:t xml:space="preserve"> </w:t>
      </w:r>
    </w:p>
    <w:p w14:paraId="5BF829AE" w14:textId="77777777" w:rsidR="00DA1779" w:rsidRDefault="00000000">
      <w:pPr>
        <w:spacing w:after="0" w:line="259" w:lineRule="auto"/>
        <w:ind w:left="618" w:right="0" w:firstLine="0"/>
        <w:jc w:val="left"/>
      </w:pPr>
      <w:r>
        <w:t xml:space="preserve"> </w:t>
      </w:r>
    </w:p>
    <w:p w14:paraId="136D08F9" w14:textId="77777777" w:rsidR="005B4CB3" w:rsidRDefault="005B4CB3">
      <w:pPr>
        <w:spacing w:after="0" w:line="259" w:lineRule="auto"/>
        <w:ind w:left="618" w:right="0" w:firstLine="0"/>
        <w:jc w:val="left"/>
      </w:pPr>
    </w:p>
    <w:p w14:paraId="5A63D0ED" w14:textId="77777777" w:rsidR="00DA1779" w:rsidRDefault="00000000">
      <w:pPr>
        <w:pStyle w:val="Heading2"/>
        <w:spacing w:after="117"/>
        <w:ind w:left="373"/>
      </w:pPr>
      <w:r>
        <w:lastRenderedPageBreak/>
        <w:t xml:space="preserve">Hypotheses </w:t>
      </w:r>
    </w:p>
    <w:p w14:paraId="4252F056" w14:textId="77777777" w:rsidR="00DA1779" w:rsidRDefault="00000000">
      <w:pPr>
        <w:spacing w:after="181"/>
        <w:ind w:right="0"/>
      </w:pPr>
      <w:r>
        <w:t>The following null (</w:t>
      </w:r>
      <w:r>
        <w:rPr>
          <w:rFonts w:ascii="Cambria Math" w:eastAsia="Cambria Math" w:hAnsi="Cambria Math" w:cs="Cambria Math"/>
        </w:rPr>
        <w:t>𝐻</w:t>
      </w:r>
      <w:r>
        <w:rPr>
          <w:rFonts w:ascii="Cambria Math" w:eastAsia="Cambria Math" w:hAnsi="Cambria Math" w:cs="Cambria Math"/>
          <w:vertAlign w:val="subscript"/>
        </w:rPr>
        <w:t>0</w:t>
      </w:r>
      <w:r>
        <w:t>) and alternative (</w:t>
      </w:r>
      <w:r>
        <w:rPr>
          <w:rFonts w:ascii="Cambria Math" w:eastAsia="Cambria Math" w:hAnsi="Cambria Math" w:cs="Cambria Math"/>
        </w:rPr>
        <w:t>𝐻</w:t>
      </w:r>
      <w:r>
        <w:rPr>
          <w:rFonts w:ascii="Cambria Math" w:eastAsia="Cambria Math" w:hAnsi="Cambria Math" w:cs="Cambria Math"/>
          <w:vertAlign w:val="subscript"/>
        </w:rPr>
        <w:t>1</w:t>
      </w:r>
      <w:r>
        <w:t xml:space="preserve">) hypotheses were formulated for statistical testing: </w:t>
      </w:r>
    </w:p>
    <w:p w14:paraId="02DADDBA" w14:textId="77777777" w:rsidR="00DA1779" w:rsidRDefault="00000000">
      <w:pPr>
        <w:pStyle w:val="Heading3"/>
        <w:spacing w:after="169"/>
        <w:ind w:left="373"/>
      </w:pPr>
      <w:r>
        <w:rPr>
          <w:sz w:val="24"/>
        </w:rPr>
        <w:t>1.</w:t>
      </w:r>
      <w:r>
        <w:rPr>
          <w:rFonts w:ascii="Arial" w:eastAsia="Arial" w:hAnsi="Arial" w:cs="Arial"/>
          <w:sz w:val="24"/>
        </w:rPr>
        <w:t xml:space="preserve"> </w:t>
      </w:r>
      <w:r>
        <w:rPr>
          <w:sz w:val="24"/>
        </w:rPr>
        <w:t xml:space="preserve">One-Sample t-Test </w:t>
      </w:r>
    </w:p>
    <w:p w14:paraId="2178CAD1" w14:textId="77777777" w:rsidR="00DA1779" w:rsidRDefault="00000000">
      <w:pPr>
        <w:numPr>
          <w:ilvl w:val="0"/>
          <w:numId w:val="2"/>
        </w:numPr>
        <w:spacing w:after="200"/>
        <w:ind w:left="1099" w:right="0" w:hanging="721"/>
      </w:pPr>
      <w:r>
        <w:rPr>
          <w:rFonts w:ascii="Cambria Math" w:eastAsia="Cambria Math" w:hAnsi="Cambria Math" w:cs="Cambria Math"/>
        </w:rPr>
        <w:t>𝐻</w:t>
      </w:r>
      <w:proofErr w:type="gramStart"/>
      <w:r>
        <w:rPr>
          <w:rFonts w:ascii="Cambria Math" w:eastAsia="Cambria Math" w:hAnsi="Cambria Math" w:cs="Cambria Math"/>
          <w:vertAlign w:val="subscript"/>
        </w:rPr>
        <w:t>0</w:t>
      </w:r>
      <w:r>
        <w:t>:The</w:t>
      </w:r>
      <w:proofErr w:type="gramEnd"/>
      <w:r>
        <w:t xml:space="preserve"> mean BMI of the population is equal to the healthy standard of 25 (μ = 25). </w:t>
      </w:r>
    </w:p>
    <w:p w14:paraId="320967C8" w14:textId="77777777" w:rsidR="00DA1779" w:rsidRDefault="00000000">
      <w:pPr>
        <w:numPr>
          <w:ilvl w:val="0"/>
          <w:numId w:val="2"/>
        </w:numPr>
        <w:spacing w:after="199"/>
        <w:ind w:left="1099" w:right="0" w:hanging="721"/>
      </w:pPr>
      <w:r>
        <w:rPr>
          <w:rFonts w:ascii="Cambria Math" w:eastAsia="Cambria Math" w:hAnsi="Cambria Math" w:cs="Cambria Math"/>
        </w:rPr>
        <w:t>𝐻</w:t>
      </w:r>
      <w:r>
        <w:rPr>
          <w:rFonts w:ascii="Cambria Math" w:eastAsia="Cambria Math" w:hAnsi="Cambria Math" w:cs="Cambria Math"/>
          <w:vertAlign w:val="subscript"/>
        </w:rPr>
        <w:t>1</w:t>
      </w:r>
      <w:r>
        <w:t>: The mean BMI of the is not equal to the healthy standard of 25 (</w:t>
      </w:r>
      <w:r>
        <w:rPr>
          <w:rFonts w:ascii="Cambria Math" w:eastAsia="Cambria Math" w:hAnsi="Cambria Math" w:cs="Cambria Math"/>
        </w:rPr>
        <w:t>𝜇 ≠ 25</w:t>
      </w:r>
      <w:r>
        <w:t xml:space="preserve">). </w:t>
      </w:r>
    </w:p>
    <w:p w14:paraId="2DDF2273" w14:textId="77777777" w:rsidR="00DA1779" w:rsidRDefault="00000000">
      <w:pPr>
        <w:pStyle w:val="Heading3"/>
        <w:spacing w:after="169"/>
        <w:ind w:left="373"/>
      </w:pPr>
      <w:r>
        <w:rPr>
          <w:sz w:val="24"/>
        </w:rPr>
        <w:t>2.</w:t>
      </w:r>
      <w:r>
        <w:rPr>
          <w:rFonts w:ascii="Arial" w:eastAsia="Arial" w:hAnsi="Arial" w:cs="Arial"/>
          <w:sz w:val="24"/>
        </w:rPr>
        <w:t xml:space="preserve"> </w:t>
      </w:r>
      <w:r>
        <w:rPr>
          <w:sz w:val="24"/>
        </w:rPr>
        <w:t xml:space="preserve">Two-Sample t-Test </w:t>
      </w:r>
    </w:p>
    <w:p w14:paraId="6439517E" w14:textId="77777777" w:rsidR="00DA1779" w:rsidRDefault="00000000">
      <w:pPr>
        <w:numPr>
          <w:ilvl w:val="0"/>
          <w:numId w:val="3"/>
        </w:numPr>
        <w:spacing w:after="131" w:line="335" w:lineRule="auto"/>
        <w:ind w:left="1099" w:right="0" w:hanging="721"/>
      </w:pPr>
      <w:r>
        <w:rPr>
          <w:rFonts w:ascii="Cambria Math" w:eastAsia="Cambria Math" w:hAnsi="Cambria Math" w:cs="Cambria Math"/>
        </w:rPr>
        <w:t>𝐻0</w:t>
      </w:r>
      <w:r>
        <w:t>: There is no difference in the mean BMI between male and female participants (</w:t>
      </w:r>
      <w:r>
        <w:rPr>
          <w:rFonts w:ascii="Cambria Math" w:eastAsia="Cambria Math" w:hAnsi="Cambria Math" w:cs="Cambria Math"/>
        </w:rPr>
        <w:t>𝜇</w:t>
      </w:r>
      <w:r>
        <w:t xml:space="preserve">male </w:t>
      </w:r>
      <w:r>
        <w:rPr>
          <w:rFonts w:ascii="Cambria Math" w:eastAsia="Cambria Math" w:hAnsi="Cambria Math" w:cs="Cambria Math"/>
        </w:rPr>
        <w:t>= 𝜇</w:t>
      </w:r>
      <w:proofErr w:type="gramStart"/>
      <w:r>
        <w:t>female )</w:t>
      </w:r>
      <w:proofErr w:type="gramEnd"/>
      <w:r>
        <w:t xml:space="preserve">. </w:t>
      </w:r>
    </w:p>
    <w:p w14:paraId="05F84610" w14:textId="77777777" w:rsidR="00DA1779" w:rsidRDefault="00000000">
      <w:pPr>
        <w:numPr>
          <w:ilvl w:val="0"/>
          <w:numId w:val="3"/>
        </w:numPr>
        <w:spacing w:after="116" w:line="340" w:lineRule="auto"/>
        <w:ind w:left="1099" w:right="0" w:hanging="721"/>
      </w:pPr>
      <w:r>
        <w:rPr>
          <w:rFonts w:ascii="Cambria Math" w:eastAsia="Cambria Math" w:hAnsi="Cambria Math" w:cs="Cambria Math"/>
        </w:rPr>
        <w:t>𝐻1</w:t>
      </w:r>
      <w:r>
        <w:t>: There is a significant difference in the mean BMI between male and female participants (</w:t>
      </w:r>
      <w:r>
        <w:rPr>
          <w:rFonts w:ascii="Cambria Math" w:eastAsia="Cambria Math" w:hAnsi="Cambria Math" w:cs="Cambria Math"/>
        </w:rPr>
        <w:t>𝜇</w:t>
      </w:r>
      <w:r>
        <w:t xml:space="preserve">male </w:t>
      </w:r>
      <w:r>
        <w:rPr>
          <w:rFonts w:ascii="Cambria Math" w:eastAsia="Cambria Math" w:hAnsi="Cambria Math" w:cs="Cambria Math"/>
        </w:rPr>
        <w:t>≠ 𝜇</w:t>
      </w:r>
      <w:proofErr w:type="gramStart"/>
      <w:r>
        <w:t>female )</w:t>
      </w:r>
      <w:proofErr w:type="gramEnd"/>
      <w:r>
        <w:t xml:space="preserve">. </w:t>
      </w:r>
    </w:p>
    <w:p w14:paraId="20A48DE2" w14:textId="77777777" w:rsidR="00DA1779" w:rsidRDefault="00000000">
      <w:pPr>
        <w:pStyle w:val="Heading3"/>
        <w:spacing w:after="209"/>
        <w:ind w:left="373"/>
      </w:pPr>
      <w:r>
        <w:rPr>
          <w:sz w:val="24"/>
        </w:rPr>
        <w:t>3.</w:t>
      </w:r>
      <w:r>
        <w:rPr>
          <w:rFonts w:ascii="Arial" w:eastAsia="Arial" w:hAnsi="Arial" w:cs="Arial"/>
          <w:sz w:val="24"/>
        </w:rPr>
        <w:t xml:space="preserve"> </w:t>
      </w:r>
      <w:r>
        <w:rPr>
          <w:sz w:val="24"/>
        </w:rPr>
        <w:t xml:space="preserve">One-Way ANOVA </w:t>
      </w:r>
    </w:p>
    <w:p w14:paraId="63E3E82C" w14:textId="77777777" w:rsidR="00DA1779" w:rsidRDefault="00000000">
      <w:pPr>
        <w:numPr>
          <w:ilvl w:val="0"/>
          <w:numId w:val="4"/>
        </w:numPr>
        <w:spacing w:after="76" w:line="330" w:lineRule="auto"/>
        <w:ind w:left="1099" w:right="51" w:hanging="721"/>
      </w:pPr>
      <w:r>
        <w:rPr>
          <w:rFonts w:ascii="Cambria Math" w:eastAsia="Cambria Math" w:hAnsi="Cambria Math" w:cs="Cambria Math"/>
        </w:rPr>
        <w:t>𝐻0</w:t>
      </w:r>
      <w:r>
        <w:t>: The mean BMI is equal across all five self-reported health groups (</w:t>
      </w:r>
      <w:r>
        <w:rPr>
          <w:rFonts w:ascii="Cambria Math" w:eastAsia="Cambria Math" w:hAnsi="Cambria Math" w:cs="Cambria Math"/>
        </w:rPr>
        <w:t>𝜇1 = 𝜇2 = 𝜇3 = 𝜇4 = 𝜇5</w:t>
      </w:r>
      <w:r>
        <w:t xml:space="preserve">). </w:t>
      </w:r>
    </w:p>
    <w:p w14:paraId="394ECE5B" w14:textId="77777777" w:rsidR="00DA1779" w:rsidRDefault="00000000">
      <w:pPr>
        <w:numPr>
          <w:ilvl w:val="0"/>
          <w:numId w:val="4"/>
        </w:numPr>
        <w:spacing w:after="199"/>
        <w:ind w:left="1099" w:right="51" w:hanging="721"/>
      </w:pPr>
      <w:r>
        <w:rPr>
          <w:rFonts w:ascii="Cambria Math" w:eastAsia="Cambria Math" w:hAnsi="Cambria Math" w:cs="Cambria Math"/>
        </w:rPr>
        <w:t>𝐻</w:t>
      </w:r>
      <w:r>
        <w:rPr>
          <w:rFonts w:ascii="Cambria Math" w:eastAsia="Cambria Math" w:hAnsi="Cambria Math" w:cs="Cambria Math"/>
          <w:vertAlign w:val="subscript"/>
        </w:rPr>
        <w:t>1</w:t>
      </w:r>
      <w:r>
        <w:t xml:space="preserve">: At least one self-reported health group has a mean BMI that is significantly different from the others. </w:t>
      </w:r>
    </w:p>
    <w:p w14:paraId="1F4F41E4" w14:textId="77777777" w:rsidR="00DA1779" w:rsidRDefault="00000000">
      <w:pPr>
        <w:spacing w:after="45" w:line="259" w:lineRule="auto"/>
        <w:ind w:left="378" w:right="0" w:firstLine="0"/>
        <w:jc w:val="left"/>
      </w:pPr>
      <w:r>
        <w:t xml:space="preserve"> </w:t>
      </w:r>
    </w:p>
    <w:p w14:paraId="3E9F9095" w14:textId="77777777" w:rsidR="00DA1779" w:rsidRDefault="00000000">
      <w:pPr>
        <w:pStyle w:val="Heading1"/>
        <w:spacing w:after="147"/>
        <w:ind w:left="373"/>
      </w:pPr>
      <w:r>
        <w:t xml:space="preserve">Methods </w:t>
      </w:r>
    </w:p>
    <w:p w14:paraId="0A7A8C48" w14:textId="77777777" w:rsidR="00DA1779" w:rsidRDefault="00000000">
      <w:pPr>
        <w:pStyle w:val="Heading2"/>
        <w:ind w:left="373"/>
      </w:pPr>
      <w:r>
        <w:t xml:space="preserve">Data Preparation and Variable Selection </w:t>
      </w:r>
    </w:p>
    <w:p w14:paraId="1A646C11" w14:textId="77777777" w:rsidR="00DA1779" w:rsidRDefault="00000000">
      <w:pPr>
        <w:spacing w:after="205" w:line="237" w:lineRule="auto"/>
        <w:ind w:left="3" w:right="0" w:firstLine="360"/>
        <w:jc w:val="left"/>
      </w:pPr>
      <w:r>
        <w:t xml:space="preserve">The analysis was conducted on a </w:t>
      </w:r>
      <w:r>
        <w:rPr>
          <w:b/>
        </w:rPr>
        <w:t>synthetic healthcare dataset containing 150,000 patient records</w:t>
      </w:r>
      <w:r>
        <w:t>.       The dataset was designed to reflect a range of demographic, lifestyle, and clinical health indicators commonly associated with chronic illness and lifestyle-related health risks.</w:t>
      </w:r>
      <w:r>
        <w:rPr>
          <w:sz w:val="28"/>
        </w:rPr>
        <w:t xml:space="preserve"> </w:t>
      </w:r>
    </w:p>
    <w:p w14:paraId="19928DB6" w14:textId="77777777" w:rsidR="00DA1779" w:rsidRDefault="00000000">
      <w:pPr>
        <w:spacing w:after="198"/>
        <w:ind w:left="3" w:right="376" w:firstLine="360"/>
      </w:pPr>
      <w:r>
        <w:t xml:space="preserve">For this study, </w:t>
      </w:r>
      <w:r>
        <w:rPr>
          <w:b/>
        </w:rPr>
        <w:t>Body Mass Index (BMI)</w:t>
      </w:r>
      <w:r>
        <w:t xml:space="preserve"> was selected as the primary continuous variable, as it serves as a widely used indicator of overweight and obesity, both of which are critical risk factors for diabetes, hypertension, and cardiovascular disease.</w:t>
      </w:r>
      <w:r>
        <w:rPr>
          <w:sz w:val="28"/>
        </w:rPr>
        <w:t xml:space="preserve"> </w:t>
      </w:r>
    </w:p>
    <w:p w14:paraId="2653482D" w14:textId="77777777" w:rsidR="00DA1779" w:rsidRDefault="00000000">
      <w:pPr>
        <w:spacing w:after="157" w:line="259" w:lineRule="auto"/>
        <w:ind w:left="378" w:right="0" w:firstLine="0"/>
        <w:jc w:val="left"/>
      </w:pPr>
      <w:r>
        <w:t xml:space="preserve"> </w:t>
      </w:r>
    </w:p>
    <w:p w14:paraId="64049DA5" w14:textId="77777777" w:rsidR="00DA1779" w:rsidRDefault="00000000">
      <w:pPr>
        <w:numPr>
          <w:ilvl w:val="0"/>
          <w:numId w:val="5"/>
        </w:numPr>
        <w:spacing w:after="209" w:line="259" w:lineRule="auto"/>
        <w:ind w:right="0" w:hanging="360"/>
        <w:jc w:val="left"/>
      </w:pPr>
      <w:r>
        <w:rPr>
          <w:b/>
        </w:rPr>
        <w:t>Continuous Variable:</w:t>
      </w:r>
      <w:r>
        <w:t xml:space="preserve"> </w:t>
      </w:r>
      <w:r>
        <w:rPr>
          <w:i/>
        </w:rPr>
        <w:t>BMI</w:t>
      </w:r>
      <w:r>
        <w:t xml:space="preserve"> (Body Mass Index).</w:t>
      </w:r>
      <w:r>
        <w:rPr>
          <w:sz w:val="22"/>
        </w:rPr>
        <w:t xml:space="preserve"> </w:t>
      </w:r>
    </w:p>
    <w:p w14:paraId="20209EBB" w14:textId="77777777" w:rsidR="00DA1779" w:rsidRDefault="00000000">
      <w:pPr>
        <w:numPr>
          <w:ilvl w:val="0"/>
          <w:numId w:val="5"/>
        </w:numPr>
        <w:ind w:right="0" w:hanging="360"/>
        <w:jc w:val="left"/>
      </w:pPr>
      <w:r>
        <w:rPr>
          <w:b/>
        </w:rPr>
        <w:t>Grouping Variable (2 Levels):</w:t>
      </w:r>
      <w:r>
        <w:t xml:space="preserve"> </w:t>
      </w:r>
      <w:r>
        <w:rPr>
          <w:i/>
        </w:rPr>
        <w:t>Gender</w:t>
      </w:r>
      <w:r>
        <w:t xml:space="preserve"> (Male/Female), chosen as a fundamental demographic factor to test BMI differences across sexes.</w:t>
      </w:r>
      <w:r>
        <w:rPr>
          <w:sz w:val="22"/>
        </w:rPr>
        <w:t xml:space="preserve"> </w:t>
      </w:r>
    </w:p>
    <w:p w14:paraId="1E7632F8" w14:textId="77777777" w:rsidR="00DA1779" w:rsidRDefault="00000000">
      <w:pPr>
        <w:numPr>
          <w:ilvl w:val="0"/>
          <w:numId w:val="5"/>
        </w:numPr>
        <w:spacing w:after="242" w:line="237" w:lineRule="auto"/>
        <w:ind w:right="0" w:hanging="360"/>
        <w:jc w:val="left"/>
      </w:pPr>
      <w:r>
        <w:rPr>
          <w:b/>
        </w:rPr>
        <w:t>Grouping Variable (3+ Levels):</w:t>
      </w:r>
      <w:r>
        <w:t xml:space="preserve"> </w:t>
      </w:r>
      <w:r>
        <w:rPr>
          <w:i/>
        </w:rPr>
        <w:t>Self-Reported General Health (</w:t>
      </w:r>
      <w:proofErr w:type="spellStart"/>
      <w:r>
        <w:rPr>
          <w:i/>
        </w:rPr>
        <w:t>GenHlth</w:t>
      </w:r>
      <w:proofErr w:type="spellEnd"/>
      <w:r>
        <w:rPr>
          <w:i/>
        </w:rPr>
        <w:t>)</w:t>
      </w:r>
      <w:r>
        <w:t>, a 5-point ordinal scale (1 = Excellent to 5 = Poor), selected to investigate whether perceived health status is associated with measurable differences in BMI.</w:t>
      </w:r>
      <w:r>
        <w:rPr>
          <w:sz w:val="22"/>
        </w:rPr>
        <w:t xml:space="preserve"> </w:t>
      </w:r>
    </w:p>
    <w:p w14:paraId="378E0F10" w14:textId="77777777" w:rsidR="00DA1779" w:rsidRDefault="00000000">
      <w:pPr>
        <w:spacing w:after="204" w:line="259" w:lineRule="auto"/>
        <w:ind w:left="378" w:right="0" w:firstLine="0"/>
        <w:jc w:val="left"/>
      </w:pPr>
      <w:r>
        <w:t xml:space="preserve"> </w:t>
      </w:r>
    </w:p>
    <w:p w14:paraId="5FE4B0C7" w14:textId="77777777" w:rsidR="00DA1779" w:rsidRDefault="00000000">
      <w:pPr>
        <w:pStyle w:val="Heading2"/>
        <w:ind w:left="373"/>
      </w:pPr>
      <w:r>
        <w:lastRenderedPageBreak/>
        <w:t xml:space="preserve">Statistical Approach </w:t>
      </w:r>
    </w:p>
    <w:p w14:paraId="635EA592" w14:textId="77777777" w:rsidR="00DA1779" w:rsidRDefault="00000000">
      <w:pPr>
        <w:spacing w:after="244" w:line="239" w:lineRule="auto"/>
        <w:ind w:left="18" w:right="4" w:firstLine="0"/>
        <w:jc w:val="left"/>
      </w:pPr>
      <w:r>
        <w:rPr>
          <w:sz w:val="22"/>
        </w:rPr>
        <w:t xml:space="preserve">The analysis employed a combination of </w:t>
      </w:r>
      <w:r>
        <w:rPr>
          <w:b/>
          <w:sz w:val="22"/>
        </w:rPr>
        <w:t>descriptive</w:t>
      </w:r>
      <w:r>
        <w:rPr>
          <w:sz w:val="22"/>
        </w:rPr>
        <w:t xml:space="preserve"> and </w:t>
      </w:r>
      <w:r>
        <w:rPr>
          <w:b/>
          <w:sz w:val="22"/>
        </w:rPr>
        <w:t>inferential statistical methods</w:t>
      </w:r>
      <w:r>
        <w:rPr>
          <w:sz w:val="22"/>
        </w:rPr>
        <w:t xml:space="preserve"> to evaluate relationships between Body Mass Index (BMI) and selected demographic and health-related variables. </w:t>
      </w:r>
    </w:p>
    <w:p w14:paraId="4102C5BB" w14:textId="77777777" w:rsidR="00DA1779" w:rsidRDefault="00000000">
      <w:pPr>
        <w:pStyle w:val="Heading3"/>
        <w:ind w:left="373"/>
      </w:pPr>
      <w:r>
        <w:t>1.</w:t>
      </w:r>
      <w:r>
        <w:rPr>
          <w:rFonts w:ascii="Arial" w:eastAsia="Arial" w:hAnsi="Arial" w:cs="Arial"/>
        </w:rPr>
        <w:t xml:space="preserve"> </w:t>
      </w:r>
      <w:r>
        <w:t xml:space="preserve">Descriptive Statistics </w:t>
      </w:r>
    </w:p>
    <w:p w14:paraId="22685BCB" w14:textId="77777777" w:rsidR="00DA1779" w:rsidRDefault="00000000">
      <w:pPr>
        <w:numPr>
          <w:ilvl w:val="0"/>
          <w:numId w:val="6"/>
        </w:numPr>
        <w:spacing w:after="244" w:line="239" w:lineRule="auto"/>
        <w:ind w:right="4" w:hanging="360"/>
        <w:jc w:val="left"/>
      </w:pPr>
      <w:r>
        <w:rPr>
          <w:sz w:val="22"/>
        </w:rPr>
        <w:t xml:space="preserve">The distribution of BMI was summarized using measures of central tendency (mean, median) and variability (variance, standard deviation). </w:t>
      </w:r>
    </w:p>
    <w:p w14:paraId="189651D1" w14:textId="77777777" w:rsidR="00DA1779" w:rsidRDefault="00000000">
      <w:pPr>
        <w:numPr>
          <w:ilvl w:val="0"/>
          <w:numId w:val="6"/>
        </w:numPr>
        <w:spacing w:after="244" w:line="239" w:lineRule="auto"/>
        <w:ind w:right="4" w:hanging="360"/>
        <w:jc w:val="left"/>
      </w:pPr>
      <w:r>
        <w:rPr>
          <w:sz w:val="22"/>
        </w:rPr>
        <w:t>Frequency counts were used to describe categorical variables such as Gender and General Health (</w:t>
      </w:r>
      <w:proofErr w:type="spellStart"/>
      <w:r>
        <w:rPr>
          <w:sz w:val="22"/>
        </w:rPr>
        <w:t>GenHlth</w:t>
      </w:r>
      <w:proofErr w:type="spellEnd"/>
      <w:r>
        <w:rPr>
          <w:sz w:val="22"/>
        </w:rPr>
        <w:t xml:space="preserve">). </w:t>
      </w:r>
    </w:p>
    <w:p w14:paraId="59CD74F3" w14:textId="77777777" w:rsidR="00DA1779" w:rsidRDefault="00000000">
      <w:pPr>
        <w:pStyle w:val="Heading3"/>
        <w:ind w:left="373"/>
      </w:pPr>
      <w:r>
        <w:t>2.</w:t>
      </w:r>
      <w:r>
        <w:rPr>
          <w:rFonts w:ascii="Arial" w:eastAsia="Arial" w:hAnsi="Arial" w:cs="Arial"/>
        </w:rPr>
        <w:t xml:space="preserve"> </w:t>
      </w:r>
      <w:r>
        <w:t xml:space="preserve">One-Sample t-Test </w:t>
      </w:r>
    </w:p>
    <w:p w14:paraId="3A0C66B2" w14:textId="77777777" w:rsidR="00DA1779" w:rsidRDefault="00000000">
      <w:pPr>
        <w:numPr>
          <w:ilvl w:val="0"/>
          <w:numId w:val="7"/>
        </w:numPr>
        <w:spacing w:after="281" w:line="239" w:lineRule="auto"/>
        <w:ind w:right="4" w:hanging="360"/>
        <w:jc w:val="left"/>
      </w:pPr>
      <w:r>
        <w:rPr>
          <w:sz w:val="22"/>
        </w:rPr>
        <w:t xml:space="preserve">Objective: To determine whether the mean BMI of the entire dataset significantly differs from the standard healthy threshold of 25. </w:t>
      </w:r>
    </w:p>
    <w:p w14:paraId="08CC7B08" w14:textId="77777777" w:rsidR="00DA1779" w:rsidRDefault="00000000">
      <w:pPr>
        <w:numPr>
          <w:ilvl w:val="0"/>
          <w:numId w:val="7"/>
        </w:numPr>
        <w:spacing w:after="244" w:line="239" w:lineRule="auto"/>
        <w:ind w:right="4" w:hanging="360"/>
        <w:jc w:val="left"/>
      </w:pPr>
      <w:r>
        <w:rPr>
          <w:sz w:val="22"/>
        </w:rPr>
        <w:t xml:space="preserve">Rationale: BMI ≥ 25 indicates overweight; hence testing deviation from this standard provides insight into overall population health status. </w:t>
      </w:r>
    </w:p>
    <w:p w14:paraId="27989682" w14:textId="77777777" w:rsidR="00DA1779" w:rsidRDefault="00000000">
      <w:pPr>
        <w:pStyle w:val="Heading3"/>
        <w:ind w:left="373"/>
      </w:pPr>
      <w:r>
        <w:t>3.</w:t>
      </w:r>
      <w:r>
        <w:rPr>
          <w:rFonts w:ascii="Arial" w:eastAsia="Arial" w:hAnsi="Arial" w:cs="Arial"/>
        </w:rPr>
        <w:t xml:space="preserve"> </w:t>
      </w:r>
      <w:r>
        <w:t xml:space="preserve">Two-Sample t-Test (Independent, Unequal Variances) </w:t>
      </w:r>
    </w:p>
    <w:p w14:paraId="23D2C056" w14:textId="77777777" w:rsidR="00DA1779" w:rsidRDefault="00000000">
      <w:pPr>
        <w:numPr>
          <w:ilvl w:val="0"/>
          <w:numId w:val="8"/>
        </w:numPr>
        <w:spacing w:after="244" w:line="239" w:lineRule="auto"/>
        <w:ind w:right="4" w:hanging="360"/>
        <w:jc w:val="left"/>
      </w:pPr>
      <w:r>
        <w:rPr>
          <w:sz w:val="22"/>
        </w:rPr>
        <w:t xml:space="preserve">Objective: To test whether there is a significant difference in mean BMI between male and female participants. </w:t>
      </w:r>
    </w:p>
    <w:p w14:paraId="6729652D" w14:textId="77777777" w:rsidR="00DA1779" w:rsidRDefault="00000000">
      <w:pPr>
        <w:numPr>
          <w:ilvl w:val="0"/>
          <w:numId w:val="8"/>
        </w:numPr>
        <w:spacing w:after="244" w:line="239" w:lineRule="auto"/>
        <w:ind w:right="4" w:hanging="360"/>
        <w:jc w:val="left"/>
      </w:pPr>
      <w:r>
        <w:rPr>
          <w:sz w:val="22"/>
        </w:rPr>
        <w:t xml:space="preserve">Rationale: Gender-based differences in body composition and health risk profiles are well established, making this a critical comparison. </w:t>
      </w:r>
    </w:p>
    <w:p w14:paraId="3A1B698E" w14:textId="77777777" w:rsidR="00DA1779" w:rsidRDefault="00000000">
      <w:pPr>
        <w:pStyle w:val="Heading3"/>
        <w:ind w:left="373"/>
      </w:pPr>
      <w:r>
        <w:t>4.</w:t>
      </w:r>
      <w:r>
        <w:rPr>
          <w:rFonts w:ascii="Arial" w:eastAsia="Arial" w:hAnsi="Arial" w:cs="Arial"/>
        </w:rPr>
        <w:t xml:space="preserve"> </w:t>
      </w:r>
      <w:r>
        <w:t xml:space="preserve">One-Way ANOVA </w:t>
      </w:r>
    </w:p>
    <w:p w14:paraId="48AD503E" w14:textId="77777777" w:rsidR="00DA1779" w:rsidRDefault="00000000">
      <w:pPr>
        <w:numPr>
          <w:ilvl w:val="0"/>
          <w:numId w:val="9"/>
        </w:numPr>
        <w:spacing w:after="244" w:line="239" w:lineRule="auto"/>
        <w:ind w:right="4" w:hanging="360"/>
        <w:jc w:val="left"/>
      </w:pPr>
      <w:r>
        <w:rPr>
          <w:sz w:val="22"/>
        </w:rPr>
        <w:t>Objective: To evaluate whether mean BMI differs significantly across the five General Health (</w:t>
      </w:r>
      <w:proofErr w:type="spellStart"/>
      <w:r>
        <w:rPr>
          <w:sz w:val="22"/>
        </w:rPr>
        <w:t>GenHlth</w:t>
      </w:r>
      <w:proofErr w:type="spellEnd"/>
      <w:r>
        <w:rPr>
          <w:sz w:val="22"/>
        </w:rPr>
        <w:t xml:space="preserve">) categories (Excellent, Very Good, Good, Fair, Poor). </w:t>
      </w:r>
    </w:p>
    <w:p w14:paraId="3BEC2454" w14:textId="77777777" w:rsidR="00DA1779" w:rsidRDefault="00000000">
      <w:pPr>
        <w:numPr>
          <w:ilvl w:val="0"/>
          <w:numId w:val="9"/>
        </w:numPr>
        <w:spacing w:after="244" w:line="239" w:lineRule="auto"/>
        <w:ind w:right="4" w:hanging="360"/>
        <w:jc w:val="left"/>
      </w:pPr>
      <w:r>
        <w:rPr>
          <w:sz w:val="22"/>
        </w:rPr>
        <w:t xml:space="preserve">Rationale: Self-reported health status is often correlated with measurable indicators like BMI; ANOVA helps assess if these differences are statistically significant across multiple groups. </w:t>
      </w:r>
    </w:p>
    <w:p w14:paraId="6D3A8121" w14:textId="77777777" w:rsidR="00DA1779" w:rsidRDefault="00000000">
      <w:pPr>
        <w:pStyle w:val="Heading1"/>
        <w:spacing w:after="133"/>
        <w:ind w:left="28"/>
      </w:pPr>
      <w:r>
        <w:t xml:space="preserve">     Results </w:t>
      </w:r>
    </w:p>
    <w:p w14:paraId="7878CE4A" w14:textId="77777777" w:rsidR="00DA1779" w:rsidRDefault="00000000">
      <w:pPr>
        <w:pStyle w:val="Heading2"/>
        <w:ind w:left="373"/>
      </w:pPr>
      <w:r>
        <w:t xml:space="preserve">One-Sample t-Test </w:t>
      </w:r>
    </w:p>
    <w:p w14:paraId="4D8EDE19" w14:textId="77777777" w:rsidR="00DA1779" w:rsidRDefault="00000000">
      <w:pPr>
        <w:spacing w:after="200"/>
        <w:ind w:left="13" w:right="0"/>
      </w:pPr>
      <w:r>
        <w:t>A one-sample t-test was performed to evaluate whether the mean BMI of the synthetic healthcare population (𝑛 = 150,000) differs significantly from the healthy reference standard of 25.0.</w:t>
      </w:r>
      <w:r>
        <w:rPr>
          <w:sz w:val="28"/>
        </w:rPr>
        <w:t xml:space="preserve"> </w:t>
      </w:r>
    </w:p>
    <w:p w14:paraId="7CEB509A" w14:textId="77777777" w:rsidR="00DA1779" w:rsidRDefault="00000000">
      <w:pPr>
        <w:spacing w:after="202"/>
        <w:ind w:left="13" w:right="0"/>
      </w:pPr>
      <w:r>
        <w:t xml:space="preserve">The analysis revealed that the </w:t>
      </w:r>
      <w:r>
        <w:rPr>
          <w:b/>
        </w:rPr>
        <w:t>sample mean BMI was approximately 28.1</w:t>
      </w:r>
      <w:r>
        <w:t xml:space="preserve">, placing the average participant in the </w:t>
      </w:r>
      <w:r>
        <w:rPr>
          <w:b/>
        </w:rPr>
        <w:t>overweight category</w:t>
      </w:r>
      <w:r>
        <w:t>.</w:t>
      </w:r>
      <w:r>
        <w:rPr>
          <w:sz w:val="28"/>
        </w:rPr>
        <w:t xml:space="preserve"> </w:t>
      </w:r>
    </w:p>
    <w:p w14:paraId="6A8016E2" w14:textId="77777777" w:rsidR="00DA1779" w:rsidRDefault="00000000">
      <w:pPr>
        <w:ind w:left="13" w:right="0"/>
      </w:pPr>
      <w:r>
        <w:t xml:space="preserve">The test results (Table 1) indicated a very large t-statistic and a </w:t>
      </w:r>
      <w:r>
        <w:rPr>
          <w:b/>
        </w:rPr>
        <w:t>p-value &lt; 0.001</w:t>
      </w:r>
      <w:r>
        <w:t xml:space="preserve">. Since 𝑛 &lt; 0.05, the null hypothesis was rejected. This confirms that the mean BMI of the dataset population is statistically significantly greater than the healthy reference standard of 25. </w:t>
      </w:r>
    </w:p>
    <w:p w14:paraId="4EFACE5E" w14:textId="77777777" w:rsidR="00DA1779" w:rsidRDefault="00000000">
      <w:pPr>
        <w:pStyle w:val="Heading3"/>
        <w:spacing w:after="0"/>
        <w:ind w:left="373"/>
      </w:pPr>
      <w:r>
        <w:rPr>
          <w:b w:val="0"/>
          <w:i/>
          <w:sz w:val="24"/>
        </w:rPr>
        <w:t xml:space="preserve">Results of the One-Sample t-Test for BMI </w:t>
      </w:r>
    </w:p>
    <w:p w14:paraId="06CBC611" w14:textId="77777777" w:rsidR="00DA1779" w:rsidRDefault="00000000">
      <w:pPr>
        <w:spacing w:after="0" w:line="259" w:lineRule="auto"/>
        <w:ind w:left="18" w:right="0" w:firstLine="0"/>
        <w:jc w:val="left"/>
      </w:pPr>
      <w:r>
        <w:rPr>
          <w:i/>
          <w:sz w:val="11"/>
        </w:rPr>
        <w:t xml:space="preserve"> </w:t>
      </w:r>
    </w:p>
    <w:tbl>
      <w:tblPr>
        <w:tblStyle w:val="TableGrid"/>
        <w:tblW w:w="3049" w:type="dxa"/>
        <w:tblInd w:w="265" w:type="dxa"/>
        <w:tblCellMar>
          <w:top w:w="41" w:type="dxa"/>
          <w:left w:w="7" w:type="dxa"/>
          <w:bottom w:w="0" w:type="dxa"/>
          <w:right w:w="7" w:type="dxa"/>
        </w:tblCellMar>
        <w:tblLook w:val="04A0" w:firstRow="1" w:lastRow="0" w:firstColumn="1" w:lastColumn="0" w:noHBand="0" w:noVBand="1"/>
      </w:tblPr>
      <w:tblGrid>
        <w:gridCol w:w="2046"/>
        <w:gridCol w:w="1003"/>
      </w:tblGrid>
      <w:tr w:rsidR="00DA1779" w14:paraId="39A911BF" w14:textId="77777777">
        <w:trPr>
          <w:trHeight w:val="361"/>
        </w:trPr>
        <w:tc>
          <w:tcPr>
            <w:tcW w:w="2055" w:type="dxa"/>
            <w:tcBorders>
              <w:top w:val="single" w:sz="6" w:space="0" w:color="000000"/>
              <w:left w:val="single" w:sz="6" w:space="0" w:color="000000"/>
              <w:bottom w:val="single" w:sz="6" w:space="0" w:color="000000"/>
              <w:right w:val="single" w:sz="6" w:space="0" w:color="000000"/>
            </w:tcBorders>
          </w:tcPr>
          <w:p w14:paraId="527A2C74" w14:textId="77777777" w:rsidR="00DA1779" w:rsidRDefault="00000000">
            <w:pPr>
              <w:spacing w:after="0" w:line="259" w:lineRule="auto"/>
              <w:ind w:left="110" w:right="0" w:firstLine="0"/>
              <w:jc w:val="left"/>
            </w:pPr>
            <w:r>
              <w:rPr>
                <w:b/>
              </w:rPr>
              <w:lastRenderedPageBreak/>
              <w:t xml:space="preserve">Metric </w:t>
            </w:r>
          </w:p>
        </w:tc>
        <w:tc>
          <w:tcPr>
            <w:tcW w:w="994" w:type="dxa"/>
            <w:tcBorders>
              <w:top w:val="single" w:sz="6" w:space="0" w:color="000000"/>
              <w:left w:val="single" w:sz="6" w:space="0" w:color="000000"/>
              <w:bottom w:val="single" w:sz="6" w:space="0" w:color="000000"/>
              <w:right w:val="single" w:sz="6" w:space="0" w:color="000000"/>
            </w:tcBorders>
          </w:tcPr>
          <w:p w14:paraId="34083369" w14:textId="77777777" w:rsidR="00DA1779" w:rsidRDefault="00000000">
            <w:pPr>
              <w:spacing w:after="0" w:line="259" w:lineRule="auto"/>
              <w:ind w:left="115" w:right="0" w:firstLine="0"/>
              <w:jc w:val="left"/>
            </w:pPr>
            <w:r>
              <w:rPr>
                <w:b/>
              </w:rPr>
              <w:t xml:space="preserve">Value </w:t>
            </w:r>
          </w:p>
        </w:tc>
      </w:tr>
      <w:tr w:rsidR="00DA1779" w14:paraId="5A1CAE1B" w14:textId="77777777">
        <w:trPr>
          <w:trHeight w:val="360"/>
        </w:trPr>
        <w:tc>
          <w:tcPr>
            <w:tcW w:w="2055" w:type="dxa"/>
            <w:tcBorders>
              <w:top w:val="single" w:sz="6" w:space="0" w:color="000000"/>
              <w:left w:val="single" w:sz="6" w:space="0" w:color="000000"/>
              <w:bottom w:val="single" w:sz="6" w:space="0" w:color="000000"/>
              <w:right w:val="single" w:sz="6" w:space="0" w:color="000000"/>
            </w:tcBorders>
          </w:tcPr>
          <w:p w14:paraId="261A949F" w14:textId="77777777" w:rsidR="00DA1779" w:rsidRDefault="00000000">
            <w:pPr>
              <w:spacing w:after="0" w:line="259" w:lineRule="auto"/>
              <w:ind w:left="110" w:right="0" w:firstLine="0"/>
              <w:jc w:val="left"/>
            </w:pPr>
            <w:r>
              <w:t xml:space="preserve">Sample Size (n) </w:t>
            </w:r>
          </w:p>
        </w:tc>
        <w:tc>
          <w:tcPr>
            <w:tcW w:w="994" w:type="dxa"/>
            <w:tcBorders>
              <w:top w:val="single" w:sz="6" w:space="0" w:color="000000"/>
              <w:left w:val="single" w:sz="6" w:space="0" w:color="000000"/>
              <w:bottom w:val="single" w:sz="6" w:space="0" w:color="000000"/>
              <w:right w:val="single" w:sz="6" w:space="0" w:color="000000"/>
            </w:tcBorders>
          </w:tcPr>
          <w:p w14:paraId="64C44F22" w14:textId="77777777" w:rsidR="00DA1779" w:rsidRDefault="00000000">
            <w:pPr>
              <w:spacing w:after="0" w:line="259" w:lineRule="auto"/>
              <w:ind w:left="115" w:right="0" w:firstLine="0"/>
              <w:jc w:val="left"/>
            </w:pPr>
            <w:r>
              <w:rPr>
                <w:sz w:val="22"/>
              </w:rPr>
              <w:t xml:space="preserve">150,000 </w:t>
            </w:r>
          </w:p>
        </w:tc>
      </w:tr>
      <w:tr w:rsidR="00DA1779" w14:paraId="75A705AF" w14:textId="77777777">
        <w:trPr>
          <w:trHeight w:val="346"/>
        </w:trPr>
        <w:tc>
          <w:tcPr>
            <w:tcW w:w="2055" w:type="dxa"/>
            <w:tcBorders>
              <w:top w:val="single" w:sz="6" w:space="0" w:color="000000"/>
              <w:left w:val="single" w:sz="6" w:space="0" w:color="000000"/>
              <w:bottom w:val="single" w:sz="6" w:space="0" w:color="000000"/>
              <w:right w:val="single" w:sz="6" w:space="0" w:color="000000"/>
            </w:tcBorders>
          </w:tcPr>
          <w:p w14:paraId="19502B16" w14:textId="77777777" w:rsidR="00DA1779" w:rsidRDefault="00000000">
            <w:pPr>
              <w:spacing w:after="0" w:line="259" w:lineRule="auto"/>
              <w:ind w:left="110" w:right="0" w:firstLine="0"/>
            </w:pPr>
            <w:r>
              <w:t xml:space="preserve">Sample Mean BMI </w:t>
            </w:r>
          </w:p>
        </w:tc>
        <w:tc>
          <w:tcPr>
            <w:tcW w:w="994" w:type="dxa"/>
            <w:tcBorders>
              <w:top w:val="single" w:sz="6" w:space="0" w:color="000000"/>
              <w:left w:val="single" w:sz="6" w:space="0" w:color="000000"/>
              <w:bottom w:val="single" w:sz="6" w:space="0" w:color="000000"/>
              <w:right w:val="single" w:sz="6" w:space="0" w:color="000000"/>
            </w:tcBorders>
          </w:tcPr>
          <w:p w14:paraId="3391A656" w14:textId="77777777" w:rsidR="00DA1779" w:rsidRDefault="00000000">
            <w:pPr>
              <w:spacing w:after="0" w:line="259" w:lineRule="auto"/>
              <w:ind w:left="115" w:right="0" w:firstLine="0"/>
              <w:jc w:val="left"/>
            </w:pPr>
            <w:r>
              <w:t xml:space="preserve">28.1 </w:t>
            </w:r>
          </w:p>
        </w:tc>
      </w:tr>
      <w:tr w:rsidR="00DA1779" w14:paraId="53F14C69" w14:textId="77777777">
        <w:trPr>
          <w:trHeight w:val="360"/>
        </w:trPr>
        <w:tc>
          <w:tcPr>
            <w:tcW w:w="2055" w:type="dxa"/>
            <w:tcBorders>
              <w:top w:val="single" w:sz="6" w:space="0" w:color="000000"/>
              <w:left w:val="single" w:sz="6" w:space="0" w:color="000000"/>
              <w:bottom w:val="single" w:sz="6" w:space="0" w:color="000000"/>
              <w:right w:val="single" w:sz="6" w:space="0" w:color="000000"/>
            </w:tcBorders>
          </w:tcPr>
          <w:p w14:paraId="2391FF9D" w14:textId="77777777" w:rsidR="00DA1779" w:rsidRDefault="00000000">
            <w:pPr>
              <w:spacing w:after="0" w:line="259" w:lineRule="auto"/>
              <w:ind w:left="110" w:right="0" w:firstLine="0"/>
              <w:jc w:val="left"/>
            </w:pPr>
            <w:r>
              <w:t xml:space="preserve">Test Value </w:t>
            </w:r>
          </w:p>
        </w:tc>
        <w:tc>
          <w:tcPr>
            <w:tcW w:w="994" w:type="dxa"/>
            <w:vMerge w:val="restart"/>
            <w:tcBorders>
              <w:top w:val="single" w:sz="6" w:space="0" w:color="000000"/>
              <w:left w:val="single" w:sz="6" w:space="0" w:color="000000"/>
              <w:bottom w:val="single" w:sz="6" w:space="0" w:color="000000"/>
              <w:right w:val="single" w:sz="6" w:space="0" w:color="000000"/>
            </w:tcBorders>
          </w:tcPr>
          <w:p w14:paraId="3307F93C" w14:textId="77777777" w:rsidR="00DA1779" w:rsidRDefault="00000000">
            <w:pPr>
              <w:spacing w:after="0" w:line="259" w:lineRule="auto"/>
              <w:ind w:left="0" w:right="0" w:firstLine="0"/>
              <w:jc w:val="left"/>
            </w:pPr>
            <w:r>
              <w:rPr>
                <w:noProof/>
              </w:rPr>
              <w:drawing>
                <wp:inline distT="0" distB="0" distL="0" distR="0" wp14:anchorId="261ADAC0" wp14:editId="6F46C047">
                  <wp:extent cx="627888" cy="566928"/>
                  <wp:effectExtent l="0" t="0" r="0" b="0"/>
                  <wp:docPr id="16053" name="Picture 16053"/>
                  <wp:cNvGraphicFramePr/>
                  <a:graphic xmlns:a="http://schemas.openxmlformats.org/drawingml/2006/main">
                    <a:graphicData uri="http://schemas.openxmlformats.org/drawingml/2006/picture">
                      <pic:pic xmlns:pic="http://schemas.openxmlformats.org/drawingml/2006/picture">
                        <pic:nvPicPr>
                          <pic:cNvPr id="16053" name="Picture 16053"/>
                          <pic:cNvPicPr/>
                        </pic:nvPicPr>
                        <pic:blipFill>
                          <a:blip r:embed="rId7"/>
                          <a:stretch>
                            <a:fillRect/>
                          </a:stretch>
                        </pic:blipFill>
                        <pic:spPr>
                          <a:xfrm>
                            <a:off x="0" y="0"/>
                            <a:ext cx="627888" cy="566928"/>
                          </a:xfrm>
                          <a:prstGeom prst="rect">
                            <a:avLst/>
                          </a:prstGeom>
                        </pic:spPr>
                      </pic:pic>
                    </a:graphicData>
                  </a:graphic>
                </wp:inline>
              </w:drawing>
            </w:r>
          </w:p>
        </w:tc>
      </w:tr>
      <w:tr w:rsidR="00DA1779" w14:paraId="4237222D" w14:textId="77777777">
        <w:trPr>
          <w:trHeight w:val="360"/>
        </w:trPr>
        <w:tc>
          <w:tcPr>
            <w:tcW w:w="2055" w:type="dxa"/>
            <w:tcBorders>
              <w:top w:val="single" w:sz="6" w:space="0" w:color="000000"/>
              <w:left w:val="single" w:sz="6" w:space="0" w:color="000000"/>
              <w:bottom w:val="single" w:sz="6" w:space="0" w:color="000000"/>
              <w:right w:val="single" w:sz="6" w:space="0" w:color="000000"/>
            </w:tcBorders>
          </w:tcPr>
          <w:p w14:paraId="6B0D3B46" w14:textId="77777777" w:rsidR="00DA1779" w:rsidRDefault="00000000">
            <w:pPr>
              <w:spacing w:after="0" w:line="259" w:lineRule="auto"/>
              <w:ind w:left="110" w:right="0" w:firstLine="0"/>
              <w:jc w:val="left"/>
            </w:pPr>
            <w:r>
              <w:t xml:space="preserve">t-statistic </w:t>
            </w:r>
          </w:p>
        </w:tc>
        <w:tc>
          <w:tcPr>
            <w:tcW w:w="0" w:type="auto"/>
            <w:vMerge/>
            <w:tcBorders>
              <w:top w:val="nil"/>
              <w:left w:val="single" w:sz="6" w:space="0" w:color="000000"/>
              <w:bottom w:val="nil"/>
              <w:right w:val="single" w:sz="6" w:space="0" w:color="000000"/>
            </w:tcBorders>
          </w:tcPr>
          <w:p w14:paraId="75A7D22E" w14:textId="77777777" w:rsidR="00DA1779" w:rsidRDefault="00DA1779">
            <w:pPr>
              <w:spacing w:after="160" w:line="259" w:lineRule="auto"/>
              <w:ind w:left="0" w:right="0" w:firstLine="0"/>
              <w:jc w:val="left"/>
            </w:pPr>
          </w:p>
        </w:tc>
      </w:tr>
      <w:tr w:rsidR="00DA1779" w14:paraId="1E5F1D98" w14:textId="77777777">
        <w:trPr>
          <w:trHeight w:val="360"/>
        </w:trPr>
        <w:tc>
          <w:tcPr>
            <w:tcW w:w="2055" w:type="dxa"/>
            <w:tcBorders>
              <w:top w:val="single" w:sz="6" w:space="0" w:color="000000"/>
              <w:left w:val="single" w:sz="6" w:space="0" w:color="000000"/>
              <w:bottom w:val="single" w:sz="6" w:space="0" w:color="000000"/>
              <w:right w:val="single" w:sz="6" w:space="0" w:color="000000"/>
            </w:tcBorders>
          </w:tcPr>
          <w:p w14:paraId="5826EEBD" w14:textId="77777777" w:rsidR="00DA1779" w:rsidRDefault="00000000">
            <w:pPr>
              <w:spacing w:after="0" w:line="259" w:lineRule="auto"/>
              <w:ind w:left="110" w:right="0" w:firstLine="0"/>
              <w:jc w:val="left"/>
            </w:pPr>
            <w:r>
              <w:t xml:space="preserve">p-value </w:t>
            </w:r>
          </w:p>
        </w:tc>
        <w:tc>
          <w:tcPr>
            <w:tcW w:w="0" w:type="auto"/>
            <w:vMerge/>
            <w:tcBorders>
              <w:top w:val="nil"/>
              <w:left w:val="single" w:sz="6" w:space="0" w:color="000000"/>
              <w:bottom w:val="single" w:sz="6" w:space="0" w:color="000000"/>
              <w:right w:val="single" w:sz="6" w:space="0" w:color="000000"/>
            </w:tcBorders>
          </w:tcPr>
          <w:p w14:paraId="68A1B30E" w14:textId="77777777" w:rsidR="00DA1779" w:rsidRDefault="00DA1779">
            <w:pPr>
              <w:spacing w:after="160" w:line="259" w:lineRule="auto"/>
              <w:ind w:left="0" w:right="0" w:firstLine="0"/>
              <w:jc w:val="left"/>
            </w:pPr>
          </w:p>
        </w:tc>
      </w:tr>
    </w:tbl>
    <w:p w14:paraId="41FF0D36" w14:textId="77777777" w:rsidR="00DA1779" w:rsidRDefault="00000000">
      <w:pPr>
        <w:pStyle w:val="Heading2"/>
        <w:ind w:left="373"/>
      </w:pPr>
      <w:r>
        <w:t xml:space="preserve">Two-Sample Independent t-Test </w:t>
      </w:r>
    </w:p>
    <w:p w14:paraId="70AAA4E9" w14:textId="77777777" w:rsidR="00DA1779" w:rsidRDefault="00000000">
      <w:pPr>
        <w:ind w:left="13" w:right="0"/>
      </w:pPr>
      <w:r>
        <w:t xml:space="preserve">An independent samples t-test was conducted to compare the mean BMI between </w:t>
      </w:r>
      <w:r>
        <w:rPr>
          <w:b/>
        </w:rPr>
        <w:t>female participants (coded as 0)</w:t>
      </w:r>
      <w:r>
        <w:t xml:space="preserve"> and </w:t>
      </w:r>
      <w:r>
        <w:rPr>
          <w:b/>
        </w:rPr>
        <w:t>male participants (coded as 1)</w:t>
      </w:r>
      <w:r>
        <w:t xml:space="preserve">. </w:t>
      </w:r>
    </w:p>
    <w:p w14:paraId="5D8565BF" w14:textId="77777777" w:rsidR="00DA1779" w:rsidRDefault="00000000">
      <w:pPr>
        <w:ind w:left="13" w:right="0"/>
      </w:pPr>
      <w:r>
        <w:t xml:space="preserve">The analysis showed that the </w:t>
      </w:r>
      <w:r>
        <w:rPr>
          <w:b/>
        </w:rPr>
        <w:t>mean BMI for males was approximately 28.7</w:t>
      </w:r>
      <w:r>
        <w:t xml:space="preserve">, while the </w:t>
      </w:r>
      <w:r>
        <w:rPr>
          <w:b/>
        </w:rPr>
        <w:t>mean BMI for females was approximately 28.1</w:t>
      </w:r>
      <w:r>
        <w:t xml:space="preserve">. Although the numerical difference between the two groups was modest, the test produced a </w:t>
      </w:r>
      <w:r>
        <w:rPr>
          <w:b/>
        </w:rPr>
        <w:t>p-value &lt; 0.001</w:t>
      </w:r>
      <w:r>
        <w:t xml:space="preserve">, which is well below the alpha threshold of 0.05. </w:t>
      </w:r>
    </w:p>
    <w:p w14:paraId="619D27D4" w14:textId="77777777" w:rsidR="00DA1779" w:rsidRDefault="00000000">
      <w:pPr>
        <w:pStyle w:val="Heading3"/>
        <w:spacing w:after="0"/>
        <w:ind w:left="373"/>
      </w:pPr>
      <w:r>
        <w:rPr>
          <w:b w:val="0"/>
          <w:i/>
          <w:sz w:val="24"/>
        </w:rPr>
        <w:t xml:space="preserve">Results of the Two-Sample t-Test for BMI by Sex </w:t>
      </w:r>
    </w:p>
    <w:p w14:paraId="650DC8E1" w14:textId="77777777" w:rsidR="00DA1779" w:rsidRDefault="00000000">
      <w:pPr>
        <w:spacing w:after="0" w:line="259" w:lineRule="auto"/>
        <w:ind w:left="18" w:right="0" w:firstLine="0"/>
        <w:jc w:val="left"/>
      </w:pPr>
      <w:r>
        <w:rPr>
          <w:i/>
          <w:sz w:val="9"/>
        </w:rPr>
        <w:t xml:space="preserve"> </w:t>
      </w:r>
    </w:p>
    <w:tbl>
      <w:tblPr>
        <w:tblStyle w:val="TableGrid"/>
        <w:tblW w:w="5767" w:type="dxa"/>
        <w:tblInd w:w="265" w:type="dxa"/>
        <w:tblCellMar>
          <w:top w:w="45" w:type="dxa"/>
          <w:left w:w="118" w:type="dxa"/>
          <w:bottom w:w="0" w:type="dxa"/>
          <w:right w:w="48" w:type="dxa"/>
        </w:tblCellMar>
        <w:tblLook w:val="04A0" w:firstRow="1" w:lastRow="0" w:firstColumn="1" w:lastColumn="0" w:noHBand="0" w:noVBand="1"/>
      </w:tblPr>
      <w:tblGrid>
        <w:gridCol w:w="1757"/>
        <w:gridCol w:w="989"/>
        <w:gridCol w:w="1355"/>
        <w:gridCol w:w="1666"/>
      </w:tblGrid>
      <w:tr w:rsidR="00DA1779" w14:paraId="2C0542F8" w14:textId="77777777">
        <w:trPr>
          <w:trHeight w:val="360"/>
        </w:trPr>
        <w:tc>
          <w:tcPr>
            <w:tcW w:w="1757" w:type="dxa"/>
            <w:tcBorders>
              <w:top w:val="single" w:sz="6" w:space="0" w:color="000000"/>
              <w:left w:val="single" w:sz="6" w:space="0" w:color="000000"/>
              <w:bottom w:val="single" w:sz="6" w:space="0" w:color="000000"/>
              <w:right w:val="single" w:sz="6" w:space="0" w:color="000000"/>
            </w:tcBorders>
          </w:tcPr>
          <w:p w14:paraId="5CE049E9" w14:textId="77777777" w:rsidR="00DA1779" w:rsidRDefault="00000000">
            <w:pPr>
              <w:spacing w:after="0" w:line="259" w:lineRule="auto"/>
              <w:ind w:left="0" w:right="0" w:firstLine="0"/>
              <w:jc w:val="left"/>
            </w:pPr>
            <w:r>
              <w:rPr>
                <w:b/>
              </w:rPr>
              <w:t xml:space="preserve">Group </w:t>
            </w:r>
          </w:p>
        </w:tc>
        <w:tc>
          <w:tcPr>
            <w:tcW w:w="989" w:type="dxa"/>
            <w:tcBorders>
              <w:top w:val="single" w:sz="6" w:space="0" w:color="000000"/>
              <w:left w:val="single" w:sz="6" w:space="0" w:color="000000"/>
              <w:bottom w:val="single" w:sz="6" w:space="0" w:color="000000"/>
              <w:right w:val="single" w:sz="6" w:space="0" w:color="000000"/>
            </w:tcBorders>
          </w:tcPr>
          <w:p w14:paraId="2380583F" w14:textId="77777777" w:rsidR="00DA1779" w:rsidRDefault="00000000">
            <w:pPr>
              <w:spacing w:after="0" w:line="259" w:lineRule="auto"/>
              <w:ind w:left="0" w:right="0" w:firstLine="0"/>
              <w:jc w:val="left"/>
            </w:pPr>
            <w:r>
              <w:rPr>
                <w:b/>
              </w:rPr>
              <w:t xml:space="preserve">n </w:t>
            </w:r>
          </w:p>
        </w:tc>
        <w:tc>
          <w:tcPr>
            <w:tcW w:w="1354" w:type="dxa"/>
            <w:tcBorders>
              <w:top w:val="single" w:sz="6" w:space="0" w:color="000000"/>
              <w:left w:val="single" w:sz="6" w:space="0" w:color="000000"/>
              <w:bottom w:val="single" w:sz="6" w:space="0" w:color="000000"/>
              <w:right w:val="single" w:sz="6" w:space="0" w:color="000000"/>
            </w:tcBorders>
          </w:tcPr>
          <w:p w14:paraId="0DC6323F" w14:textId="77777777" w:rsidR="00DA1779" w:rsidRDefault="00000000">
            <w:pPr>
              <w:spacing w:after="0" w:line="259" w:lineRule="auto"/>
              <w:ind w:left="19" w:right="0" w:firstLine="0"/>
              <w:jc w:val="left"/>
            </w:pPr>
            <w:r>
              <w:rPr>
                <w:b/>
              </w:rPr>
              <w:t xml:space="preserve">Mean BMI </w:t>
            </w:r>
          </w:p>
        </w:tc>
        <w:tc>
          <w:tcPr>
            <w:tcW w:w="1666" w:type="dxa"/>
            <w:tcBorders>
              <w:top w:val="single" w:sz="6" w:space="0" w:color="000000"/>
              <w:left w:val="single" w:sz="6" w:space="0" w:color="000000"/>
              <w:bottom w:val="single" w:sz="6" w:space="0" w:color="000000"/>
              <w:right w:val="single" w:sz="6" w:space="0" w:color="000000"/>
            </w:tcBorders>
          </w:tcPr>
          <w:p w14:paraId="078247B3" w14:textId="77777777" w:rsidR="00DA1779" w:rsidRDefault="00000000">
            <w:pPr>
              <w:spacing w:after="0" w:line="259" w:lineRule="auto"/>
              <w:ind w:left="5" w:right="0" w:firstLine="0"/>
              <w:jc w:val="left"/>
            </w:pPr>
            <w:r>
              <w:rPr>
                <w:b/>
              </w:rPr>
              <w:t xml:space="preserve">Std. Deviation </w:t>
            </w:r>
          </w:p>
        </w:tc>
      </w:tr>
      <w:tr w:rsidR="00DA1779" w14:paraId="4F527195" w14:textId="77777777">
        <w:trPr>
          <w:trHeight w:val="360"/>
        </w:trPr>
        <w:tc>
          <w:tcPr>
            <w:tcW w:w="1757" w:type="dxa"/>
            <w:tcBorders>
              <w:top w:val="single" w:sz="6" w:space="0" w:color="000000"/>
              <w:left w:val="single" w:sz="6" w:space="0" w:color="000000"/>
              <w:bottom w:val="single" w:sz="6" w:space="0" w:color="000000"/>
              <w:right w:val="single" w:sz="6" w:space="0" w:color="000000"/>
            </w:tcBorders>
          </w:tcPr>
          <w:p w14:paraId="60E6EC9F" w14:textId="77777777" w:rsidR="00DA1779" w:rsidRDefault="00000000">
            <w:pPr>
              <w:spacing w:after="0" w:line="259" w:lineRule="auto"/>
              <w:ind w:left="0" w:right="0" w:firstLine="0"/>
              <w:jc w:val="left"/>
            </w:pPr>
            <w:r>
              <w:t xml:space="preserve">Female (Sex=0) </w:t>
            </w:r>
          </w:p>
        </w:tc>
        <w:tc>
          <w:tcPr>
            <w:tcW w:w="989" w:type="dxa"/>
            <w:tcBorders>
              <w:top w:val="single" w:sz="6" w:space="0" w:color="000000"/>
              <w:left w:val="single" w:sz="6" w:space="0" w:color="000000"/>
              <w:bottom w:val="single" w:sz="6" w:space="0" w:color="000000"/>
              <w:right w:val="single" w:sz="6" w:space="0" w:color="000000"/>
            </w:tcBorders>
          </w:tcPr>
          <w:p w14:paraId="16108960" w14:textId="77777777" w:rsidR="00DA1779" w:rsidRDefault="00000000">
            <w:pPr>
              <w:spacing w:after="0" w:line="259" w:lineRule="auto"/>
              <w:ind w:left="0" w:right="0" w:firstLine="0"/>
              <w:jc w:val="left"/>
            </w:pPr>
            <w:r>
              <w:t xml:space="preserve">72,000 </w:t>
            </w:r>
          </w:p>
        </w:tc>
        <w:tc>
          <w:tcPr>
            <w:tcW w:w="1354" w:type="dxa"/>
            <w:tcBorders>
              <w:top w:val="single" w:sz="6" w:space="0" w:color="000000"/>
              <w:left w:val="single" w:sz="6" w:space="0" w:color="000000"/>
              <w:bottom w:val="single" w:sz="6" w:space="0" w:color="000000"/>
              <w:right w:val="single" w:sz="6" w:space="0" w:color="000000"/>
            </w:tcBorders>
          </w:tcPr>
          <w:p w14:paraId="1372D3C9" w14:textId="77777777" w:rsidR="00DA1779" w:rsidRDefault="00000000">
            <w:pPr>
              <w:spacing w:after="0" w:line="259" w:lineRule="auto"/>
              <w:ind w:left="19" w:right="0" w:firstLine="0"/>
              <w:jc w:val="left"/>
            </w:pPr>
            <w:r>
              <w:t xml:space="preserve">28.11 </w:t>
            </w:r>
          </w:p>
        </w:tc>
        <w:tc>
          <w:tcPr>
            <w:tcW w:w="1666" w:type="dxa"/>
            <w:tcBorders>
              <w:top w:val="single" w:sz="6" w:space="0" w:color="000000"/>
              <w:left w:val="single" w:sz="6" w:space="0" w:color="000000"/>
              <w:bottom w:val="single" w:sz="6" w:space="0" w:color="000000"/>
              <w:right w:val="single" w:sz="6" w:space="0" w:color="000000"/>
            </w:tcBorders>
          </w:tcPr>
          <w:p w14:paraId="37338A6E" w14:textId="77777777" w:rsidR="00DA1779" w:rsidRDefault="00000000">
            <w:pPr>
              <w:spacing w:after="0" w:line="259" w:lineRule="auto"/>
              <w:ind w:left="5" w:right="0" w:firstLine="0"/>
              <w:jc w:val="left"/>
            </w:pPr>
            <w:r>
              <w:t xml:space="preserve">5.5 </w:t>
            </w:r>
          </w:p>
        </w:tc>
      </w:tr>
      <w:tr w:rsidR="00DA1779" w14:paraId="5DDDB88E" w14:textId="77777777">
        <w:trPr>
          <w:trHeight w:val="360"/>
        </w:trPr>
        <w:tc>
          <w:tcPr>
            <w:tcW w:w="1757" w:type="dxa"/>
            <w:tcBorders>
              <w:top w:val="single" w:sz="6" w:space="0" w:color="000000"/>
              <w:left w:val="single" w:sz="6" w:space="0" w:color="000000"/>
              <w:bottom w:val="single" w:sz="6" w:space="0" w:color="000000"/>
              <w:right w:val="single" w:sz="6" w:space="0" w:color="000000"/>
            </w:tcBorders>
          </w:tcPr>
          <w:p w14:paraId="28DC2FE1" w14:textId="77777777" w:rsidR="00DA1779" w:rsidRDefault="00000000">
            <w:pPr>
              <w:spacing w:after="0" w:line="259" w:lineRule="auto"/>
              <w:ind w:left="0" w:right="0" w:firstLine="0"/>
              <w:jc w:val="left"/>
            </w:pPr>
            <w:r>
              <w:t xml:space="preserve">Male (Sex=1) </w:t>
            </w:r>
          </w:p>
        </w:tc>
        <w:tc>
          <w:tcPr>
            <w:tcW w:w="989" w:type="dxa"/>
            <w:tcBorders>
              <w:top w:val="single" w:sz="6" w:space="0" w:color="000000"/>
              <w:left w:val="single" w:sz="6" w:space="0" w:color="000000"/>
              <w:bottom w:val="single" w:sz="6" w:space="0" w:color="000000"/>
              <w:right w:val="single" w:sz="6" w:space="0" w:color="000000"/>
            </w:tcBorders>
          </w:tcPr>
          <w:p w14:paraId="2225A0E8" w14:textId="77777777" w:rsidR="00DA1779" w:rsidRDefault="00000000">
            <w:pPr>
              <w:spacing w:after="0" w:line="259" w:lineRule="auto"/>
              <w:ind w:left="0" w:right="0" w:firstLine="0"/>
              <w:jc w:val="left"/>
            </w:pPr>
            <w:r>
              <w:t xml:space="preserve">78,000 </w:t>
            </w:r>
          </w:p>
        </w:tc>
        <w:tc>
          <w:tcPr>
            <w:tcW w:w="1354" w:type="dxa"/>
            <w:tcBorders>
              <w:top w:val="single" w:sz="6" w:space="0" w:color="000000"/>
              <w:left w:val="single" w:sz="6" w:space="0" w:color="000000"/>
              <w:bottom w:val="single" w:sz="6" w:space="0" w:color="000000"/>
              <w:right w:val="single" w:sz="6" w:space="0" w:color="000000"/>
            </w:tcBorders>
          </w:tcPr>
          <w:p w14:paraId="189AB9C7" w14:textId="77777777" w:rsidR="00DA1779" w:rsidRDefault="00000000">
            <w:pPr>
              <w:spacing w:after="0" w:line="259" w:lineRule="auto"/>
              <w:ind w:left="19" w:right="0" w:firstLine="0"/>
              <w:jc w:val="left"/>
            </w:pPr>
            <w:r>
              <w:t xml:space="preserve">28.70 </w:t>
            </w:r>
          </w:p>
        </w:tc>
        <w:tc>
          <w:tcPr>
            <w:tcW w:w="1666" w:type="dxa"/>
            <w:tcBorders>
              <w:top w:val="single" w:sz="6" w:space="0" w:color="000000"/>
              <w:left w:val="single" w:sz="6" w:space="0" w:color="000000"/>
              <w:bottom w:val="single" w:sz="6" w:space="0" w:color="000000"/>
              <w:right w:val="single" w:sz="6" w:space="0" w:color="000000"/>
            </w:tcBorders>
          </w:tcPr>
          <w:p w14:paraId="02D5C470" w14:textId="77777777" w:rsidR="00DA1779" w:rsidRDefault="00000000">
            <w:pPr>
              <w:spacing w:after="0" w:line="259" w:lineRule="auto"/>
              <w:ind w:left="5" w:right="0" w:firstLine="0"/>
              <w:jc w:val="left"/>
            </w:pPr>
            <w:r>
              <w:t xml:space="preserve">5.8 </w:t>
            </w:r>
          </w:p>
        </w:tc>
      </w:tr>
      <w:tr w:rsidR="00DA1779" w14:paraId="7C960B6D" w14:textId="77777777">
        <w:trPr>
          <w:trHeight w:val="360"/>
        </w:trPr>
        <w:tc>
          <w:tcPr>
            <w:tcW w:w="4101" w:type="dxa"/>
            <w:gridSpan w:val="3"/>
            <w:tcBorders>
              <w:top w:val="single" w:sz="6" w:space="0" w:color="000000"/>
              <w:left w:val="single" w:sz="6" w:space="0" w:color="000000"/>
              <w:bottom w:val="single" w:sz="6" w:space="0" w:color="000000"/>
              <w:right w:val="nil"/>
            </w:tcBorders>
          </w:tcPr>
          <w:p w14:paraId="1DFDFE73" w14:textId="77777777" w:rsidR="00DA1779" w:rsidRDefault="00000000">
            <w:pPr>
              <w:spacing w:after="0" w:line="259" w:lineRule="auto"/>
              <w:ind w:left="0" w:right="0" w:firstLine="0"/>
              <w:jc w:val="left"/>
            </w:pPr>
            <w:r>
              <w:rPr>
                <w:i/>
              </w:rPr>
              <w:t>t-statistic = &gt;</w:t>
            </w:r>
            <w:proofErr w:type="gramStart"/>
            <w:r>
              <w:rPr>
                <w:i/>
              </w:rPr>
              <w:t>10 ,</w:t>
            </w:r>
            <w:proofErr w:type="gramEnd"/>
            <w:r>
              <w:rPr>
                <w:i/>
              </w:rPr>
              <w:t xml:space="preserve"> p-value </w:t>
            </w:r>
            <w:r>
              <w:rPr>
                <w:rFonts w:ascii="Cambria Math" w:eastAsia="Cambria Math" w:hAnsi="Cambria Math" w:cs="Cambria Math"/>
              </w:rPr>
              <w:t xml:space="preserve">&lt; </w:t>
            </w:r>
            <w:r>
              <w:rPr>
                <w:i/>
              </w:rPr>
              <w:t xml:space="preserve">0.001 </w:t>
            </w:r>
          </w:p>
        </w:tc>
        <w:tc>
          <w:tcPr>
            <w:tcW w:w="1666" w:type="dxa"/>
            <w:tcBorders>
              <w:top w:val="single" w:sz="6" w:space="0" w:color="000000"/>
              <w:left w:val="nil"/>
              <w:bottom w:val="single" w:sz="6" w:space="0" w:color="000000"/>
              <w:right w:val="single" w:sz="6" w:space="0" w:color="000000"/>
            </w:tcBorders>
          </w:tcPr>
          <w:p w14:paraId="34174A9C" w14:textId="77777777" w:rsidR="00DA1779" w:rsidRDefault="00DA1779">
            <w:pPr>
              <w:spacing w:after="160" w:line="259" w:lineRule="auto"/>
              <w:ind w:left="0" w:right="0" w:firstLine="0"/>
              <w:jc w:val="left"/>
            </w:pPr>
          </w:p>
        </w:tc>
      </w:tr>
    </w:tbl>
    <w:p w14:paraId="23413CC0" w14:textId="77777777" w:rsidR="00DA1779" w:rsidRDefault="00000000">
      <w:pPr>
        <w:pStyle w:val="Heading2"/>
        <w:ind w:left="373"/>
      </w:pPr>
      <w:r>
        <w:t xml:space="preserve">One-Way ANOVA </w:t>
      </w:r>
    </w:p>
    <w:p w14:paraId="18C457A9" w14:textId="77777777" w:rsidR="00DA1779" w:rsidRDefault="00000000">
      <w:pPr>
        <w:spacing w:after="242" w:line="237" w:lineRule="auto"/>
        <w:ind w:left="13" w:right="0"/>
        <w:jc w:val="left"/>
      </w:pPr>
      <w:r>
        <w:rPr>
          <w:noProof/>
        </w:rPr>
        <w:drawing>
          <wp:anchor distT="0" distB="0" distL="114300" distR="114300" simplePos="0" relativeHeight="251658240" behindDoc="0" locked="0" layoutInCell="1" allowOverlap="0" wp14:anchorId="084B5D68" wp14:editId="4E4B0AC3">
            <wp:simplePos x="0" y="0"/>
            <wp:positionH relativeFrom="column">
              <wp:posOffset>-14419</wp:posOffset>
            </wp:positionH>
            <wp:positionV relativeFrom="paragraph">
              <wp:posOffset>683794</wp:posOffset>
            </wp:positionV>
            <wp:extent cx="1706880" cy="149352"/>
            <wp:effectExtent l="0" t="0" r="0" b="0"/>
            <wp:wrapSquare wrapText="bothSides"/>
            <wp:docPr id="16054" name="Picture 16054"/>
            <wp:cNvGraphicFramePr/>
            <a:graphic xmlns:a="http://schemas.openxmlformats.org/drawingml/2006/main">
              <a:graphicData uri="http://schemas.openxmlformats.org/drawingml/2006/picture">
                <pic:pic xmlns:pic="http://schemas.openxmlformats.org/drawingml/2006/picture">
                  <pic:nvPicPr>
                    <pic:cNvPr id="16054" name="Picture 16054"/>
                    <pic:cNvPicPr/>
                  </pic:nvPicPr>
                  <pic:blipFill>
                    <a:blip r:embed="rId8"/>
                    <a:stretch>
                      <a:fillRect/>
                    </a:stretch>
                  </pic:blipFill>
                  <pic:spPr>
                    <a:xfrm>
                      <a:off x="0" y="0"/>
                      <a:ext cx="1706880" cy="149352"/>
                    </a:xfrm>
                    <a:prstGeom prst="rect">
                      <a:avLst/>
                    </a:prstGeom>
                  </pic:spPr>
                </pic:pic>
              </a:graphicData>
            </a:graphic>
          </wp:anchor>
        </w:drawing>
      </w:r>
      <w:r>
        <w:rPr>
          <w:noProof/>
        </w:rPr>
        <w:drawing>
          <wp:anchor distT="0" distB="0" distL="114300" distR="114300" simplePos="0" relativeHeight="251659264" behindDoc="0" locked="0" layoutInCell="1" allowOverlap="0" wp14:anchorId="2FE8CC95" wp14:editId="10FD3FA2">
            <wp:simplePos x="0" y="0"/>
            <wp:positionH relativeFrom="column">
              <wp:posOffset>1713560</wp:posOffset>
            </wp:positionH>
            <wp:positionV relativeFrom="paragraph">
              <wp:posOffset>683794</wp:posOffset>
            </wp:positionV>
            <wp:extent cx="1444752" cy="149352"/>
            <wp:effectExtent l="0" t="0" r="0" b="0"/>
            <wp:wrapSquare wrapText="bothSides"/>
            <wp:docPr id="16055" name="Picture 16055"/>
            <wp:cNvGraphicFramePr/>
            <a:graphic xmlns:a="http://schemas.openxmlformats.org/drawingml/2006/main">
              <a:graphicData uri="http://schemas.openxmlformats.org/drawingml/2006/picture">
                <pic:pic xmlns:pic="http://schemas.openxmlformats.org/drawingml/2006/picture">
                  <pic:nvPicPr>
                    <pic:cNvPr id="16055" name="Picture 16055"/>
                    <pic:cNvPicPr/>
                  </pic:nvPicPr>
                  <pic:blipFill>
                    <a:blip r:embed="rId9"/>
                    <a:stretch>
                      <a:fillRect/>
                    </a:stretch>
                  </pic:blipFill>
                  <pic:spPr>
                    <a:xfrm>
                      <a:off x="0" y="0"/>
                      <a:ext cx="1444752" cy="149352"/>
                    </a:xfrm>
                    <a:prstGeom prst="rect">
                      <a:avLst/>
                    </a:prstGeom>
                  </pic:spPr>
                </pic:pic>
              </a:graphicData>
            </a:graphic>
          </wp:anchor>
        </w:drawing>
      </w:r>
      <w:r>
        <w:rPr>
          <w:noProof/>
        </w:rPr>
        <w:drawing>
          <wp:anchor distT="0" distB="0" distL="114300" distR="114300" simplePos="0" relativeHeight="251660288" behindDoc="0" locked="0" layoutInCell="1" allowOverlap="0" wp14:anchorId="5E7ED29C" wp14:editId="4262A3AE">
            <wp:simplePos x="0" y="0"/>
            <wp:positionH relativeFrom="column">
              <wp:posOffset>3236780</wp:posOffset>
            </wp:positionH>
            <wp:positionV relativeFrom="paragraph">
              <wp:posOffset>683794</wp:posOffset>
            </wp:positionV>
            <wp:extent cx="1734312" cy="146304"/>
            <wp:effectExtent l="0" t="0" r="0" b="0"/>
            <wp:wrapSquare wrapText="bothSides"/>
            <wp:docPr id="16056" name="Picture 16056"/>
            <wp:cNvGraphicFramePr/>
            <a:graphic xmlns:a="http://schemas.openxmlformats.org/drawingml/2006/main">
              <a:graphicData uri="http://schemas.openxmlformats.org/drawingml/2006/picture">
                <pic:pic xmlns:pic="http://schemas.openxmlformats.org/drawingml/2006/picture">
                  <pic:nvPicPr>
                    <pic:cNvPr id="16056" name="Picture 16056"/>
                    <pic:cNvPicPr/>
                  </pic:nvPicPr>
                  <pic:blipFill>
                    <a:blip r:embed="rId10"/>
                    <a:stretch>
                      <a:fillRect/>
                    </a:stretch>
                  </pic:blipFill>
                  <pic:spPr>
                    <a:xfrm>
                      <a:off x="0" y="0"/>
                      <a:ext cx="1734312" cy="146304"/>
                    </a:xfrm>
                    <a:prstGeom prst="rect">
                      <a:avLst/>
                    </a:prstGeom>
                  </pic:spPr>
                </pic:pic>
              </a:graphicData>
            </a:graphic>
          </wp:anchor>
        </w:drawing>
      </w:r>
      <w:r>
        <w:t xml:space="preserve">A one-way Analysis of Variance (ANOVA) was performed to examine the relationship between </w:t>
      </w:r>
      <w:proofErr w:type="spellStart"/>
      <w:r>
        <w:rPr>
          <w:b/>
        </w:rPr>
        <w:t>selfreported</w:t>
      </w:r>
      <w:proofErr w:type="spellEnd"/>
      <w:r>
        <w:rPr>
          <w:b/>
        </w:rPr>
        <w:t xml:space="preserve"> general health status (</w:t>
      </w:r>
      <w:proofErr w:type="spellStart"/>
      <w:r>
        <w:rPr>
          <w:b/>
        </w:rPr>
        <w:t>GenHlth</w:t>
      </w:r>
      <w:proofErr w:type="spellEnd"/>
      <w:r>
        <w:rPr>
          <w:b/>
        </w:rPr>
        <w:t>: 1 = Excellent to 5 = Poor)</w:t>
      </w:r>
      <w:r>
        <w:t xml:space="preserve"> and </w:t>
      </w:r>
      <w:r>
        <w:rPr>
          <w:b/>
        </w:rPr>
        <w:t>Body Mass Index (BMI</w:t>
      </w:r>
      <w:proofErr w:type="gramStart"/>
      <w:r>
        <w:rPr>
          <w:b/>
        </w:rPr>
        <w:t>)</w:t>
      </w:r>
      <w:r>
        <w:t>.The</w:t>
      </w:r>
      <w:proofErr w:type="gramEnd"/>
      <w:r>
        <w:t xml:space="preserve"> results, summarized in </w:t>
      </w:r>
      <w:r>
        <w:rPr>
          <w:b/>
        </w:rPr>
        <w:t>Table 3</w:t>
      </w:r>
      <w:r>
        <w:t xml:space="preserve">, were statistically significant: </w:t>
      </w:r>
    </w:p>
    <w:p w14:paraId="3F63B3EE" w14:textId="77777777" w:rsidR="00DA1779" w:rsidRDefault="00000000">
      <w:pPr>
        <w:spacing w:before="45" w:after="204"/>
        <w:ind w:left="13" w:right="0"/>
      </w:pPr>
      <w:r>
        <w:rPr>
          <w:rFonts w:ascii="Cambria Math" w:eastAsia="Cambria Math" w:hAnsi="Cambria Math" w:cs="Cambria Math"/>
          <w:sz w:val="25"/>
        </w:rPr>
        <w:t>0.001</w:t>
      </w:r>
      <w:r>
        <w:t>F(4,</w:t>
      </w:r>
      <w:proofErr w:type="gramStart"/>
      <w:r>
        <w:t>149995)≈323,460.22,p</w:t>
      </w:r>
      <w:proofErr w:type="gramEnd"/>
      <w:r>
        <w:t xml:space="preserve">&lt;0.001  </w:t>
      </w:r>
    </w:p>
    <w:p w14:paraId="6EFA7A83" w14:textId="77777777" w:rsidR="00DA1779" w:rsidRDefault="00000000">
      <w:pPr>
        <w:spacing w:after="242" w:line="237" w:lineRule="auto"/>
        <w:ind w:left="13" w:right="0"/>
        <w:jc w:val="left"/>
      </w:pPr>
      <w:r>
        <w:t xml:space="preserve">This strong outcome leads us to reject the null hypothesis, confirming that there are </w:t>
      </w:r>
      <w:r>
        <w:rPr>
          <w:b/>
        </w:rPr>
        <w:t>significant differences in mean BMI among the five General Health groups</w:t>
      </w:r>
      <w:r>
        <w:t>. Specifically, participants reporting poorer general health (</w:t>
      </w:r>
      <w:proofErr w:type="spellStart"/>
      <w:r>
        <w:t>GenHlth</w:t>
      </w:r>
      <w:proofErr w:type="spellEnd"/>
      <w:r>
        <w:t xml:space="preserve"> = 5) had a markedly higher mean BMI compared to those reporting excellent health (</w:t>
      </w:r>
      <w:proofErr w:type="spellStart"/>
      <w:r>
        <w:t>GenHlth</w:t>
      </w:r>
      <w:proofErr w:type="spellEnd"/>
      <w:r>
        <w:t xml:space="preserve"> = 1). </w:t>
      </w:r>
    </w:p>
    <w:p w14:paraId="1A3AF79E" w14:textId="77777777" w:rsidR="00DA1779" w:rsidRDefault="00000000">
      <w:pPr>
        <w:pStyle w:val="Heading3"/>
        <w:spacing w:after="0"/>
        <w:ind w:left="373"/>
      </w:pPr>
      <w:r>
        <w:rPr>
          <w:b w:val="0"/>
          <w:i/>
          <w:sz w:val="24"/>
        </w:rPr>
        <w:t xml:space="preserve">ANOVA Summary Table for BMI by General Health Group </w:t>
      </w:r>
    </w:p>
    <w:p w14:paraId="633A1DD2" w14:textId="77777777" w:rsidR="00DA1779" w:rsidRDefault="00000000">
      <w:pPr>
        <w:spacing w:after="0" w:line="259" w:lineRule="auto"/>
        <w:ind w:left="18" w:right="0" w:firstLine="0"/>
        <w:jc w:val="left"/>
      </w:pPr>
      <w:r>
        <w:rPr>
          <w:i/>
          <w:sz w:val="9"/>
        </w:rPr>
        <w:t xml:space="preserve"> </w:t>
      </w:r>
    </w:p>
    <w:tbl>
      <w:tblPr>
        <w:tblStyle w:val="TableGrid"/>
        <w:tblW w:w="9627" w:type="dxa"/>
        <w:tblInd w:w="265" w:type="dxa"/>
        <w:tblCellMar>
          <w:top w:w="9" w:type="dxa"/>
          <w:left w:w="7" w:type="dxa"/>
          <w:bottom w:w="0" w:type="dxa"/>
          <w:right w:w="38" w:type="dxa"/>
        </w:tblCellMar>
        <w:tblLook w:val="04A0" w:firstRow="1" w:lastRow="0" w:firstColumn="1" w:lastColumn="0" w:noHBand="0" w:noVBand="1"/>
      </w:tblPr>
      <w:tblGrid>
        <w:gridCol w:w="2866"/>
        <w:gridCol w:w="1340"/>
        <w:gridCol w:w="994"/>
        <w:gridCol w:w="1186"/>
        <w:gridCol w:w="1234"/>
        <w:gridCol w:w="1004"/>
        <w:gridCol w:w="1003"/>
      </w:tblGrid>
      <w:tr w:rsidR="00DA1779" w14:paraId="2AB6F33F" w14:textId="77777777">
        <w:trPr>
          <w:trHeight w:val="336"/>
        </w:trPr>
        <w:tc>
          <w:tcPr>
            <w:tcW w:w="2867" w:type="dxa"/>
            <w:tcBorders>
              <w:top w:val="single" w:sz="6" w:space="0" w:color="000000"/>
              <w:left w:val="single" w:sz="6" w:space="0" w:color="000000"/>
              <w:bottom w:val="single" w:sz="6" w:space="0" w:color="000000"/>
              <w:right w:val="single" w:sz="6" w:space="0" w:color="000000"/>
            </w:tcBorders>
          </w:tcPr>
          <w:p w14:paraId="4796EEAF" w14:textId="77777777" w:rsidR="00DA1779" w:rsidRDefault="00000000">
            <w:pPr>
              <w:spacing w:after="0" w:line="259" w:lineRule="auto"/>
              <w:ind w:left="110" w:right="0" w:firstLine="0"/>
              <w:jc w:val="left"/>
            </w:pPr>
            <w:r>
              <w:rPr>
                <w:b/>
              </w:rPr>
              <w:t xml:space="preserve">Source of Variation </w:t>
            </w:r>
          </w:p>
        </w:tc>
        <w:tc>
          <w:tcPr>
            <w:tcW w:w="1340" w:type="dxa"/>
            <w:tcBorders>
              <w:top w:val="single" w:sz="6" w:space="0" w:color="000000"/>
              <w:left w:val="single" w:sz="6" w:space="0" w:color="000000"/>
              <w:bottom w:val="single" w:sz="6" w:space="0" w:color="000000"/>
              <w:right w:val="single" w:sz="6" w:space="0" w:color="000000"/>
            </w:tcBorders>
          </w:tcPr>
          <w:p w14:paraId="044F90E9" w14:textId="77777777" w:rsidR="00DA1779" w:rsidRDefault="00000000">
            <w:pPr>
              <w:spacing w:after="0" w:line="259" w:lineRule="auto"/>
              <w:ind w:left="115" w:right="0" w:firstLine="0"/>
              <w:jc w:val="left"/>
            </w:pPr>
            <w:r>
              <w:rPr>
                <w:b/>
              </w:rPr>
              <w:t xml:space="preserve">Sum of Sq. </w:t>
            </w:r>
          </w:p>
        </w:tc>
        <w:tc>
          <w:tcPr>
            <w:tcW w:w="994" w:type="dxa"/>
            <w:tcBorders>
              <w:top w:val="single" w:sz="6" w:space="0" w:color="000000"/>
              <w:left w:val="single" w:sz="6" w:space="0" w:color="000000"/>
              <w:bottom w:val="single" w:sz="6" w:space="0" w:color="000000"/>
              <w:right w:val="single" w:sz="6" w:space="0" w:color="000000"/>
            </w:tcBorders>
          </w:tcPr>
          <w:p w14:paraId="7B76EC3E" w14:textId="77777777" w:rsidR="00DA1779" w:rsidRDefault="00000000">
            <w:pPr>
              <w:spacing w:after="0" w:line="259" w:lineRule="auto"/>
              <w:ind w:left="110" w:right="0" w:firstLine="0"/>
              <w:jc w:val="left"/>
            </w:pPr>
            <w:proofErr w:type="spellStart"/>
            <w:r>
              <w:rPr>
                <w:b/>
              </w:rPr>
              <w:t>df</w:t>
            </w:r>
            <w:proofErr w:type="spellEnd"/>
            <w:r>
              <w:rPr>
                <w:b/>
              </w:rPr>
              <w:t xml:space="preserve"> </w:t>
            </w:r>
          </w:p>
        </w:tc>
        <w:tc>
          <w:tcPr>
            <w:tcW w:w="1186" w:type="dxa"/>
            <w:tcBorders>
              <w:top w:val="single" w:sz="6" w:space="0" w:color="000000"/>
              <w:left w:val="single" w:sz="6" w:space="0" w:color="000000"/>
              <w:bottom w:val="single" w:sz="6" w:space="0" w:color="000000"/>
              <w:right w:val="single" w:sz="6" w:space="0" w:color="000000"/>
            </w:tcBorders>
          </w:tcPr>
          <w:p w14:paraId="1C52102B" w14:textId="77777777" w:rsidR="00DA1779" w:rsidRDefault="00000000">
            <w:pPr>
              <w:spacing w:after="0" w:line="259" w:lineRule="auto"/>
              <w:ind w:left="110" w:right="0" w:firstLine="0"/>
              <w:jc w:val="left"/>
            </w:pPr>
            <w:r>
              <w:rPr>
                <w:b/>
              </w:rPr>
              <w:t xml:space="preserve">Mean Sq. </w:t>
            </w:r>
          </w:p>
        </w:tc>
        <w:tc>
          <w:tcPr>
            <w:tcW w:w="1234" w:type="dxa"/>
            <w:tcBorders>
              <w:top w:val="single" w:sz="6" w:space="0" w:color="000000"/>
              <w:left w:val="single" w:sz="6" w:space="0" w:color="000000"/>
              <w:bottom w:val="single" w:sz="6" w:space="0" w:color="000000"/>
              <w:right w:val="single" w:sz="6" w:space="0" w:color="000000"/>
            </w:tcBorders>
          </w:tcPr>
          <w:p w14:paraId="13430F06" w14:textId="77777777" w:rsidR="00DA1779" w:rsidRDefault="00000000">
            <w:pPr>
              <w:spacing w:after="0" w:line="259" w:lineRule="auto"/>
              <w:ind w:left="125" w:right="0" w:firstLine="0"/>
              <w:jc w:val="left"/>
            </w:pPr>
            <w:r>
              <w:rPr>
                <w:b/>
              </w:rPr>
              <w:t xml:space="preserve">F-statistic </w:t>
            </w:r>
          </w:p>
        </w:tc>
        <w:tc>
          <w:tcPr>
            <w:tcW w:w="1004" w:type="dxa"/>
            <w:tcBorders>
              <w:top w:val="single" w:sz="6" w:space="0" w:color="000000"/>
              <w:left w:val="single" w:sz="6" w:space="0" w:color="000000"/>
              <w:bottom w:val="single" w:sz="6" w:space="0" w:color="000000"/>
              <w:right w:val="single" w:sz="6" w:space="0" w:color="000000"/>
            </w:tcBorders>
          </w:tcPr>
          <w:p w14:paraId="0EA42503" w14:textId="77777777" w:rsidR="00DA1779" w:rsidRDefault="00000000">
            <w:pPr>
              <w:spacing w:after="0" w:line="259" w:lineRule="auto"/>
              <w:ind w:left="125" w:right="0" w:firstLine="0"/>
              <w:jc w:val="left"/>
            </w:pPr>
            <w:r>
              <w:rPr>
                <w:b/>
              </w:rPr>
              <w:t xml:space="preserve">p-value </w:t>
            </w:r>
          </w:p>
        </w:tc>
        <w:tc>
          <w:tcPr>
            <w:tcW w:w="1003" w:type="dxa"/>
            <w:tcBorders>
              <w:top w:val="single" w:sz="6" w:space="0" w:color="000000"/>
              <w:left w:val="single" w:sz="6" w:space="0" w:color="000000"/>
              <w:bottom w:val="single" w:sz="6" w:space="0" w:color="000000"/>
              <w:right w:val="single" w:sz="6" w:space="0" w:color="000000"/>
            </w:tcBorders>
          </w:tcPr>
          <w:p w14:paraId="4A2C90AC" w14:textId="77777777" w:rsidR="00DA1779" w:rsidRDefault="00000000">
            <w:pPr>
              <w:spacing w:after="0" w:line="259" w:lineRule="auto"/>
              <w:ind w:left="130" w:right="0" w:firstLine="0"/>
              <w:jc w:val="center"/>
            </w:pPr>
            <w:r>
              <w:rPr>
                <w:b/>
              </w:rPr>
              <w:t xml:space="preserve">F crit </w:t>
            </w:r>
          </w:p>
        </w:tc>
      </w:tr>
      <w:tr w:rsidR="00DA1779" w14:paraId="75DFF2BC" w14:textId="77777777">
        <w:trPr>
          <w:trHeight w:val="346"/>
        </w:trPr>
        <w:tc>
          <w:tcPr>
            <w:tcW w:w="2867" w:type="dxa"/>
            <w:tcBorders>
              <w:top w:val="single" w:sz="6" w:space="0" w:color="000000"/>
              <w:left w:val="single" w:sz="6" w:space="0" w:color="000000"/>
              <w:bottom w:val="single" w:sz="6" w:space="0" w:color="000000"/>
              <w:right w:val="single" w:sz="6" w:space="0" w:color="000000"/>
            </w:tcBorders>
          </w:tcPr>
          <w:p w14:paraId="479E8CC8" w14:textId="77777777" w:rsidR="00DA1779" w:rsidRDefault="00000000">
            <w:pPr>
              <w:spacing w:after="0" w:line="259" w:lineRule="auto"/>
              <w:ind w:left="110" w:right="0" w:firstLine="0"/>
              <w:jc w:val="left"/>
            </w:pPr>
            <w:r>
              <w:t xml:space="preserve">Between Groups  </w:t>
            </w:r>
          </w:p>
        </w:tc>
        <w:tc>
          <w:tcPr>
            <w:tcW w:w="1340" w:type="dxa"/>
            <w:tcBorders>
              <w:top w:val="single" w:sz="6" w:space="0" w:color="000000"/>
              <w:left w:val="single" w:sz="6" w:space="0" w:color="000000"/>
              <w:bottom w:val="single" w:sz="6" w:space="0" w:color="000000"/>
              <w:right w:val="single" w:sz="6" w:space="0" w:color="000000"/>
            </w:tcBorders>
          </w:tcPr>
          <w:p w14:paraId="288BA6C8" w14:textId="77777777" w:rsidR="00DA1779" w:rsidRDefault="00000000">
            <w:pPr>
              <w:spacing w:after="0" w:line="259" w:lineRule="auto"/>
              <w:ind w:left="115" w:right="0" w:firstLine="0"/>
              <w:jc w:val="left"/>
            </w:pPr>
            <w:r>
              <w:t xml:space="preserve">3,368,777 </w:t>
            </w:r>
          </w:p>
        </w:tc>
        <w:tc>
          <w:tcPr>
            <w:tcW w:w="994" w:type="dxa"/>
            <w:tcBorders>
              <w:top w:val="single" w:sz="6" w:space="0" w:color="000000"/>
              <w:left w:val="single" w:sz="6" w:space="0" w:color="000000"/>
              <w:bottom w:val="single" w:sz="6" w:space="0" w:color="000000"/>
              <w:right w:val="single" w:sz="6" w:space="0" w:color="000000"/>
            </w:tcBorders>
          </w:tcPr>
          <w:p w14:paraId="1089FD22" w14:textId="77777777" w:rsidR="00DA1779" w:rsidRDefault="00000000">
            <w:pPr>
              <w:spacing w:after="0" w:line="259" w:lineRule="auto"/>
              <w:ind w:left="110" w:right="0" w:firstLine="0"/>
              <w:jc w:val="left"/>
            </w:pPr>
            <w:r>
              <w:t xml:space="preserve">4 </w:t>
            </w:r>
          </w:p>
        </w:tc>
        <w:tc>
          <w:tcPr>
            <w:tcW w:w="1186" w:type="dxa"/>
            <w:tcBorders>
              <w:top w:val="single" w:sz="6" w:space="0" w:color="000000"/>
              <w:left w:val="single" w:sz="6" w:space="0" w:color="000000"/>
              <w:bottom w:val="single" w:sz="6" w:space="0" w:color="000000"/>
              <w:right w:val="single" w:sz="6" w:space="0" w:color="000000"/>
            </w:tcBorders>
          </w:tcPr>
          <w:p w14:paraId="18C0B6DA" w14:textId="77777777" w:rsidR="00DA1779" w:rsidRDefault="00000000">
            <w:pPr>
              <w:spacing w:after="0" w:line="259" w:lineRule="auto"/>
              <w:ind w:left="110" w:right="0" w:firstLine="0"/>
              <w:jc w:val="left"/>
            </w:pPr>
            <w:r>
              <w:t xml:space="preserve">842,194.2 </w:t>
            </w:r>
          </w:p>
        </w:tc>
        <w:tc>
          <w:tcPr>
            <w:tcW w:w="1234" w:type="dxa"/>
            <w:tcBorders>
              <w:top w:val="single" w:sz="6" w:space="0" w:color="000000"/>
              <w:left w:val="single" w:sz="6" w:space="0" w:color="000000"/>
              <w:bottom w:val="single" w:sz="6" w:space="0" w:color="000000"/>
              <w:right w:val="single" w:sz="6" w:space="0" w:color="000000"/>
            </w:tcBorders>
          </w:tcPr>
          <w:p w14:paraId="34339732" w14:textId="77777777" w:rsidR="00DA1779" w:rsidRDefault="00000000">
            <w:pPr>
              <w:spacing w:after="0" w:line="259" w:lineRule="auto"/>
              <w:ind w:left="125" w:right="0" w:firstLine="0"/>
              <w:jc w:val="left"/>
            </w:pPr>
            <w:r>
              <w:t xml:space="preserve">323,460.2 </w:t>
            </w:r>
          </w:p>
        </w:tc>
        <w:tc>
          <w:tcPr>
            <w:tcW w:w="1004" w:type="dxa"/>
            <w:tcBorders>
              <w:top w:val="single" w:sz="6" w:space="0" w:color="000000"/>
              <w:left w:val="single" w:sz="6" w:space="0" w:color="000000"/>
              <w:bottom w:val="single" w:sz="6" w:space="0" w:color="000000"/>
              <w:right w:val="single" w:sz="6" w:space="0" w:color="000000"/>
            </w:tcBorders>
          </w:tcPr>
          <w:p w14:paraId="3A3C3660" w14:textId="77777777" w:rsidR="00DA1779" w:rsidRDefault="00000000">
            <w:pPr>
              <w:spacing w:after="0" w:line="259" w:lineRule="auto"/>
              <w:ind w:left="0" w:right="56" w:firstLine="0"/>
              <w:jc w:val="right"/>
            </w:pPr>
            <w:r>
              <w:rPr>
                <w:noProof/>
              </w:rPr>
              <w:drawing>
                <wp:inline distT="0" distB="0" distL="0" distR="0" wp14:anchorId="5D2E3176" wp14:editId="502C613F">
                  <wp:extent cx="97536" cy="100584"/>
                  <wp:effectExtent l="0" t="0" r="0" b="0"/>
                  <wp:docPr id="16066" name="Picture 16066"/>
                  <wp:cNvGraphicFramePr/>
                  <a:graphic xmlns:a="http://schemas.openxmlformats.org/drawingml/2006/main">
                    <a:graphicData uri="http://schemas.openxmlformats.org/drawingml/2006/picture">
                      <pic:pic xmlns:pic="http://schemas.openxmlformats.org/drawingml/2006/picture">
                        <pic:nvPicPr>
                          <pic:cNvPr id="16066" name="Picture 16066"/>
                          <pic:cNvPicPr/>
                        </pic:nvPicPr>
                        <pic:blipFill>
                          <a:blip r:embed="rId11"/>
                          <a:stretch>
                            <a:fillRect/>
                          </a:stretch>
                        </pic:blipFill>
                        <pic:spPr>
                          <a:xfrm>
                            <a:off x="0" y="0"/>
                            <a:ext cx="97536" cy="100584"/>
                          </a:xfrm>
                          <a:prstGeom prst="rect">
                            <a:avLst/>
                          </a:prstGeom>
                        </pic:spPr>
                      </pic:pic>
                    </a:graphicData>
                  </a:graphic>
                </wp:inline>
              </w:drawing>
            </w:r>
            <w:r>
              <w:t xml:space="preserve">0.001 </w:t>
            </w:r>
          </w:p>
        </w:tc>
        <w:tc>
          <w:tcPr>
            <w:tcW w:w="1003" w:type="dxa"/>
            <w:tcBorders>
              <w:top w:val="single" w:sz="6" w:space="0" w:color="000000"/>
              <w:left w:val="single" w:sz="6" w:space="0" w:color="000000"/>
              <w:bottom w:val="single" w:sz="6" w:space="0" w:color="000000"/>
              <w:right w:val="single" w:sz="6" w:space="0" w:color="000000"/>
            </w:tcBorders>
          </w:tcPr>
          <w:p w14:paraId="32FED937" w14:textId="77777777" w:rsidR="00DA1779" w:rsidRDefault="00000000">
            <w:pPr>
              <w:spacing w:after="0" w:line="259" w:lineRule="auto"/>
              <w:ind w:left="194" w:right="0" w:firstLine="0"/>
              <w:jc w:val="center"/>
            </w:pPr>
            <w:r>
              <w:rPr>
                <w:rFonts w:ascii="Cambria Math" w:eastAsia="Cambria Math" w:hAnsi="Cambria Math" w:cs="Cambria Math"/>
              </w:rPr>
              <w:t>2.37</w:t>
            </w:r>
            <w:r>
              <w:rPr>
                <w:rFonts w:ascii="Calibri" w:eastAsia="Calibri" w:hAnsi="Calibri" w:cs="Calibri"/>
                <w:noProof/>
                <w:sz w:val="22"/>
              </w:rPr>
              <mc:AlternateContent>
                <mc:Choice Requires="wpg">
                  <w:drawing>
                    <wp:inline distT="0" distB="0" distL="0" distR="0" wp14:anchorId="519B7E82" wp14:editId="55512C26">
                      <wp:extent cx="33528" cy="152400"/>
                      <wp:effectExtent l="0" t="0" r="0" b="0"/>
                      <wp:docPr id="16068" name="Group 16068"/>
                      <wp:cNvGraphicFramePr/>
                      <a:graphic xmlns:a="http://schemas.openxmlformats.org/drawingml/2006/main">
                        <a:graphicData uri="http://schemas.microsoft.com/office/word/2010/wordprocessingGroup">
                          <wpg:wgp>
                            <wpg:cNvGrpSpPr/>
                            <wpg:grpSpPr>
                              <a:xfrm>
                                <a:off x="0" y="0"/>
                                <a:ext cx="33528" cy="152400"/>
                                <a:chOff x="0" y="0"/>
                                <a:chExt cx="33528" cy="152400"/>
                              </a:xfrm>
                            </wpg:grpSpPr>
                            <wps:wsp>
                              <wps:cNvPr id="1775" name="Rectangle 1775"/>
                              <wps:cNvSpPr/>
                              <wps:spPr>
                                <a:xfrm>
                                  <a:off x="0" y="0"/>
                                  <a:ext cx="44592" cy="202692"/>
                                </a:xfrm>
                                <a:prstGeom prst="rect">
                                  <a:avLst/>
                                </a:prstGeom>
                                <a:ln>
                                  <a:noFill/>
                                </a:ln>
                              </wps:spPr>
                              <wps:txbx>
                                <w:txbxContent>
                                  <w:p w14:paraId="3BEB257D" w14:textId="77777777" w:rsidR="00DA1779" w:rsidRDefault="00000000">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g:wgp>
                        </a:graphicData>
                      </a:graphic>
                    </wp:inline>
                  </w:drawing>
                </mc:Choice>
                <mc:Fallback>
                  <w:pict>
                    <v:group w14:anchorId="519B7E82" id="Group 16068" o:spid="_x0000_s1026" style="width:2.65pt;height:12pt;mso-position-horizontal-relative:char;mso-position-vertical-relative:line" coordsize="33528,152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">
                      <v:rect id="Rectangle 1775" o:spid="_x0000_s1027" style="position:absolute;width:44592;height:20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" filled="f" stroked="f">
                        <v:textbox inset="0,0,0,0">
                          <w:txbxContent>
                            <w:p w14:paraId="3BEB257D" w14:textId="77777777" w:rsidR="00DA1779" w:rsidRDefault="00000000">
                              <w:pPr>
                                <w:spacing w:after="160" w:line="259" w:lineRule="auto"/>
                                <w:ind w:left="0" w:right="0" w:firstLine="0"/>
                                <w:jc w:val="left"/>
                              </w:pPr>
                              <w:r>
                                <w:rPr>
                                  <w:rFonts w:ascii="Cambria Math" w:eastAsia="Cambria Math" w:hAnsi="Cambria Math" w:cs="Cambria Math"/>
                                </w:rPr>
                                <w:t xml:space="preserve"> </w:t>
                              </w:r>
                            </w:p>
                          </w:txbxContent>
                        </v:textbox>
                      </v:rect>
                      <w10:anchorlock/>
                    </v:group>
                  </w:pict>
                </mc:Fallback>
              </mc:AlternateContent>
            </w:r>
          </w:p>
        </w:tc>
      </w:tr>
      <w:tr w:rsidR="00DA1779" w14:paraId="42718EAE" w14:textId="77777777">
        <w:trPr>
          <w:trHeight w:val="336"/>
        </w:trPr>
        <w:tc>
          <w:tcPr>
            <w:tcW w:w="2867" w:type="dxa"/>
            <w:tcBorders>
              <w:top w:val="single" w:sz="6" w:space="0" w:color="000000"/>
              <w:left w:val="single" w:sz="6" w:space="0" w:color="000000"/>
              <w:bottom w:val="single" w:sz="6" w:space="0" w:color="000000"/>
              <w:right w:val="single" w:sz="6" w:space="0" w:color="000000"/>
            </w:tcBorders>
          </w:tcPr>
          <w:p w14:paraId="2B701BBF" w14:textId="77777777" w:rsidR="00DA1779" w:rsidRDefault="00000000">
            <w:pPr>
              <w:spacing w:after="0" w:line="259" w:lineRule="auto"/>
              <w:ind w:left="110" w:right="0" w:firstLine="0"/>
              <w:jc w:val="left"/>
            </w:pPr>
            <w:r>
              <w:t xml:space="preserve">Within Groups  </w:t>
            </w:r>
          </w:p>
        </w:tc>
        <w:tc>
          <w:tcPr>
            <w:tcW w:w="1340" w:type="dxa"/>
            <w:tcBorders>
              <w:top w:val="single" w:sz="6" w:space="0" w:color="000000"/>
              <w:left w:val="single" w:sz="6" w:space="0" w:color="000000"/>
              <w:bottom w:val="single" w:sz="6" w:space="0" w:color="000000"/>
              <w:right w:val="single" w:sz="6" w:space="0" w:color="000000"/>
            </w:tcBorders>
          </w:tcPr>
          <w:p w14:paraId="06E53533" w14:textId="77777777" w:rsidR="00DA1779" w:rsidRDefault="00000000">
            <w:pPr>
              <w:spacing w:after="0" w:line="259" w:lineRule="auto"/>
              <w:ind w:left="115" w:right="0" w:firstLine="0"/>
              <w:jc w:val="left"/>
            </w:pPr>
            <w:r>
              <w:t xml:space="preserve">390,542 </w:t>
            </w:r>
          </w:p>
        </w:tc>
        <w:tc>
          <w:tcPr>
            <w:tcW w:w="994" w:type="dxa"/>
            <w:tcBorders>
              <w:top w:val="single" w:sz="6" w:space="0" w:color="000000"/>
              <w:left w:val="single" w:sz="6" w:space="0" w:color="000000"/>
              <w:bottom w:val="single" w:sz="6" w:space="0" w:color="000000"/>
              <w:right w:val="single" w:sz="6" w:space="0" w:color="000000"/>
            </w:tcBorders>
          </w:tcPr>
          <w:p w14:paraId="22368B98" w14:textId="77777777" w:rsidR="00DA1779" w:rsidRDefault="00000000">
            <w:pPr>
              <w:spacing w:after="0" w:line="259" w:lineRule="auto"/>
              <w:ind w:left="110" w:right="0" w:firstLine="0"/>
              <w:jc w:val="left"/>
            </w:pPr>
            <w:r>
              <w:t xml:space="preserve">149,995 </w:t>
            </w:r>
          </w:p>
        </w:tc>
        <w:tc>
          <w:tcPr>
            <w:tcW w:w="1186" w:type="dxa"/>
            <w:tcBorders>
              <w:top w:val="single" w:sz="6" w:space="0" w:color="000000"/>
              <w:left w:val="single" w:sz="6" w:space="0" w:color="000000"/>
              <w:bottom w:val="single" w:sz="6" w:space="0" w:color="000000"/>
              <w:right w:val="single" w:sz="6" w:space="0" w:color="000000"/>
            </w:tcBorders>
          </w:tcPr>
          <w:p w14:paraId="21960430" w14:textId="77777777" w:rsidR="00DA1779" w:rsidRDefault="00000000">
            <w:pPr>
              <w:spacing w:after="0" w:line="259" w:lineRule="auto"/>
              <w:ind w:left="110" w:right="0" w:firstLine="0"/>
              <w:jc w:val="left"/>
            </w:pPr>
            <w:r>
              <w:t xml:space="preserve">2.60 </w:t>
            </w:r>
          </w:p>
        </w:tc>
        <w:tc>
          <w:tcPr>
            <w:tcW w:w="1234" w:type="dxa"/>
            <w:tcBorders>
              <w:top w:val="single" w:sz="6" w:space="0" w:color="000000"/>
              <w:left w:val="single" w:sz="6" w:space="0" w:color="000000"/>
              <w:bottom w:val="single" w:sz="6" w:space="0" w:color="000000"/>
              <w:right w:val="single" w:sz="6" w:space="0" w:color="000000"/>
            </w:tcBorders>
          </w:tcPr>
          <w:p w14:paraId="132B613C" w14:textId="77777777" w:rsidR="00DA1779" w:rsidRDefault="00000000">
            <w:pPr>
              <w:spacing w:after="0" w:line="259" w:lineRule="auto"/>
              <w:ind w:left="0" w:right="0" w:firstLine="0"/>
              <w:jc w:val="left"/>
            </w:pPr>
            <w: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023DEC54" w14:textId="77777777" w:rsidR="00DA1779" w:rsidRDefault="00000000">
            <w:pPr>
              <w:spacing w:after="0" w:line="259" w:lineRule="auto"/>
              <w:ind w:left="0" w:right="0" w:firstLine="0"/>
              <w:jc w:val="left"/>
            </w:pPr>
            <w:r>
              <w:t xml:space="preserve"> </w:t>
            </w:r>
          </w:p>
        </w:tc>
        <w:tc>
          <w:tcPr>
            <w:tcW w:w="1003" w:type="dxa"/>
            <w:tcBorders>
              <w:top w:val="single" w:sz="6" w:space="0" w:color="000000"/>
              <w:left w:val="single" w:sz="6" w:space="0" w:color="000000"/>
              <w:bottom w:val="single" w:sz="6" w:space="0" w:color="000000"/>
              <w:right w:val="single" w:sz="6" w:space="0" w:color="000000"/>
            </w:tcBorders>
          </w:tcPr>
          <w:p w14:paraId="1CA00877" w14:textId="77777777" w:rsidR="00DA1779" w:rsidRDefault="00000000">
            <w:pPr>
              <w:spacing w:after="0" w:line="259" w:lineRule="auto"/>
              <w:ind w:left="110" w:right="0" w:firstLine="0"/>
              <w:jc w:val="left"/>
            </w:pPr>
            <w:r>
              <w:t xml:space="preserve"> </w:t>
            </w:r>
          </w:p>
        </w:tc>
      </w:tr>
      <w:tr w:rsidR="00DA1779" w14:paraId="1D5BCCC8" w14:textId="77777777">
        <w:trPr>
          <w:trHeight w:val="336"/>
        </w:trPr>
        <w:tc>
          <w:tcPr>
            <w:tcW w:w="2867" w:type="dxa"/>
            <w:tcBorders>
              <w:top w:val="single" w:sz="6" w:space="0" w:color="000000"/>
              <w:left w:val="single" w:sz="6" w:space="0" w:color="000000"/>
              <w:bottom w:val="single" w:sz="6" w:space="0" w:color="000000"/>
              <w:right w:val="single" w:sz="6" w:space="0" w:color="000000"/>
            </w:tcBorders>
          </w:tcPr>
          <w:p w14:paraId="197B84B3" w14:textId="77777777" w:rsidR="00DA1779" w:rsidRDefault="00000000">
            <w:pPr>
              <w:spacing w:after="0" w:line="259" w:lineRule="auto"/>
              <w:ind w:left="110" w:right="0" w:firstLine="0"/>
              <w:jc w:val="left"/>
            </w:pPr>
            <w:r>
              <w:t xml:space="preserve">Total </w:t>
            </w:r>
          </w:p>
        </w:tc>
        <w:tc>
          <w:tcPr>
            <w:tcW w:w="1340" w:type="dxa"/>
            <w:tcBorders>
              <w:top w:val="single" w:sz="6" w:space="0" w:color="000000"/>
              <w:left w:val="single" w:sz="6" w:space="0" w:color="000000"/>
              <w:bottom w:val="single" w:sz="6" w:space="0" w:color="000000"/>
              <w:right w:val="single" w:sz="6" w:space="0" w:color="000000"/>
            </w:tcBorders>
          </w:tcPr>
          <w:p w14:paraId="329E988D" w14:textId="77777777" w:rsidR="00DA1779" w:rsidRDefault="00000000">
            <w:pPr>
              <w:spacing w:after="0" w:line="259" w:lineRule="auto"/>
              <w:ind w:left="115" w:right="0" w:firstLine="0"/>
              <w:jc w:val="left"/>
            </w:pPr>
            <w:r>
              <w:t xml:space="preserve">3,759,319 </w:t>
            </w:r>
          </w:p>
        </w:tc>
        <w:tc>
          <w:tcPr>
            <w:tcW w:w="994" w:type="dxa"/>
            <w:tcBorders>
              <w:top w:val="single" w:sz="6" w:space="0" w:color="000000"/>
              <w:left w:val="single" w:sz="6" w:space="0" w:color="000000"/>
              <w:bottom w:val="single" w:sz="6" w:space="0" w:color="000000"/>
              <w:right w:val="single" w:sz="6" w:space="0" w:color="000000"/>
            </w:tcBorders>
          </w:tcPr>
          <w:p w14:paraId="094F24AE" w14:textId="77777777" w:rsidR="00DA1779" w:rsidRDefault="00000000">
            <w:pPr>
              <w:spacing w:after="0" w:line="259" w:lineRule="auto"/>
              <w:ind w:left="110" w:right="0" w:firstLine="0"/>
              <w:jc w:val="left"/>
            </w:pPr>
            <w:r>
              <w:t xml:space="preserve">149,999 </w:t>
            </w:r>
          </w:p>
        </w:tc>
        <w:tc>
          <w:tcPr>
            <w:tcW w:w="1186" w:type="dxa"/>
            <w:tcBorders>
              <w:top w:val="single" w:sz="6" w:space="0" w:color="000000"/>
              <w:left w:val="single" w:sz="6" w:space="0" w:color="000000"/>
              <w:bottom w:val="single" w:sz="6" w:space="0" w:color="000000"/>
              <w:right w:val="single" w:sz="6" w:space="0" w:color="000000"/>
            </w:tcBorders>
          </w:tcPr>
          <w:p w14:paraId="3C3ED751" w14:textId="77777777" w:rsidR="00DA1779" w:rsidRDefault="00000000">
            <w:pPr>
              <w:spacing w:after="0" w:line="259" w:lineRule="auto"/>
              <w:ind w:left="110" w:right="0" w:firstLine="0"/>
              <w:jc w:val="left"/>
            </w:pPr>
            <w:r>
              <w:t xml:space="preserve"> </w:t>
            </w:r>
          </w:p>
        </w:tc>
        <w:tc>
          <w:tcPr>
            <w:tcW w:w="1234" w:type="dxa"/>
            <w:tcBorders>
              <w:top w:val="single" w:sz="6" w:space="0" w:color="000000"/>
              <w:left w:val="single" w:sz="6" w:space="0" w:color="000000"/>
              <w:bottom w:val="single" w:sz="6" w:space="0" w:color="000000"/>
              <w:right w:val="single" w:sz="6" w:space="0" w:color="000000"/>
            </w:tcBorders>
          </w:tcPr>
          <w:p w14:paraId="51D7096E" w14:textId="77777777" w:rsidR="00DA1779" w:rsidRDefault="00000000">
            <w:pPr>
              <w:spacing w:after="0" w:line="259" w:lineRule="auto"/>
              <w:ind w:left="110" w:right="0" w:firstLine="0"/>
              <w:jc w:val="left"/>
            </w:pPr>
            <w: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419193FB" w14:textId="77777777" w:rsidR="00DA1779" w:rsidRDefault="00000000">
            <w:pPr>
              <w:spacing w:after="0" w:line="259" w:lineRule="auto"/>
              <w:ind w:left="110" w:right="0" w:firstLine="0"/>
              <w:jc w:val="left"/>
            </w:pPr>
            <w:r>
              <w:t xml:space="preserve"> </w:t>
            </w:r>
          </w:p>
        </w:tc>
        <w:tc>
          <w:tcPr>
            <w:tcW w:w="1003" w:type="dxa"/>
            <w:tcBorders>
              <w:top w:val="single" w:sz="6" w:space="0" w:color="000000"/>
              <w:left w:val="single" w:sz="6" w:space="0" w:color="000000"/>
              <w:bottom w:val="single" w:sz="6" w:space="0" w:color="000000"/>
              <w:right w:val="single" w:sz="6" w:space="0" w:color="000000"/>
            </w:tcBorders>
          </w:tcPr>
          <w:p w14:paraId="08E6E7EB" w14:textId="77777777" w:rsidR="00DA1779" w:rsidRDefault="00000000">
            <w:pPr>
              <w:spacing w:after="0" w:line="259" w:lineRule="auto"/>
              <w:ind w:left="110" w:right="0" w:firstLine="0"/>
              <w:jc w:val="left"/>
            </w:pPr>
            <w:r>
              <w:t xml:space="preserve"> </w:t>
            </w:r>
          </w:p>
        </w:tc>
      </w:tr>
    </w:tbl>
    <w:p w14:paraId="65CBE726" w14:textId="77777777" w:rsidR="00DA1779" w:rsidRDefault="00000000">
      <w:pPr>
        <w:pStyle w:val="Heading2"/>
        <w:ind w:left="373"/>
      </w:pPr>
      <w:r>
        <w:lastRenderedPageBreak/>
        <w:t xml:space="preserve">(Post-hoc Analysis – Tukey’s HSD) </w:t>
      </w:r>
    </w:p>
    <w:p w14:paraId="5A6F9C7B" w14:textId="77777777" w:rsidR="00DA1779" w:rsidRDefault="00000000">
      <w:pPr>
        <w:ind w:left="13" w:right="232"/>
      </w:pPr>
      <w:r>
        <w:t xml:space="preserve">To further explore the significant ANOVA findings, a </w:t>
      </w:r>
      <w:r>
        <w:rPr>
          <w:b/>
        </w:rPr>
        <w:t>Tukey’s Honest Significant Difference (HSD) post-hoc test</w:t>
      </w:r>
      <w:r>
        <w:t xml:space="preserve"> was conducted to compare BMI means between all pairs of General Health groups (</w:t>
      </w:r>
      <w:proofErr w:type="spellStart"/>
      <w:r>
        <w:t>GenHlth</w:t>
      </w:r>
      <w:proofErr w:type="spellEnd"/>
      <w:r>
        <w:t xml:space="preserve"> 1–5). </w:t>
      </w:r>
    </w:p>
    <w:p w14:paraId="06D3084F" w14:textId="77777777" w:rsidR="00DA1779" w:rsidRDefault="00000000">
      <w:pPr>
        <w:spacing w:after="242" w:line="237" w:lineRule="auto"/>
        <w:ind w:left="13" w:right="0"/>
        <w:jc w:val="left"/>
      </w:pPr>
      <w:r>
        <w:t xml:space="preserve">The results are presented in </w:t>
      </w:r>
      <w:r>
        <w:rPr>
          <w:b/>
        </w:rPr>
        <w:t>Table 4</w:t>
      </w:r>
      <w:r>
        <w:t xml:space="preserve">. Most pairwise comparisons were statistically significant (p &lt; 0.001), with participants in poorer self-reported health groups consistently showing higher BMI values compared to those reporting better health. The only non-significant difference was observed between </w:t>
      </w:r>
      <w:r>
        <w:rPr>
          <w:b/>
        </w:rPr>
        <w:t>Fair (4)</w:t>
      </w:r>
      <w:r>
        <w:t xml:space="preserve"> and </w:t>
      </w:r>
      <w:r>
        <w:rPr>
          <w:b/>
        </w:rPr>
        <w:t>Poor (5)</w:t>
      </w:r>
      <w:r>
        <w:t xml:space="preserve"> health groups. </w:t>
      </w:r>
    </w:p>
    <w:p w14:paraId="68F26835" w14:textId="77777777" w:rsidR="00DA1779" w:rsidRDefault="00000000">
      <w:pPr>
        <w:pStyle w:val="Heading3"/>
        <w:spacing w:after="0"/>
        <w:ind w:left="373"/>
      </w:pPr>
      <w:r>
        <w:rPr>
          <w:b w:val="0"/>
          <w:i/>
          <w:sz w:val="24"/>
        </w:rPr>
        <w:t xml:space="preserve">Summary of Tukey HSD Post-Hoc Test for BMI </w:t>
      </w:r>
    </w:p>
    <w:p w14:paraId="3694AB39" w14:textId="77777777" w:rsidR="00DA1779" w:rsidRDefault="00000000">
      <w:pPr>
        <w:spacing w:after="0" w:line="259" w:lineRule="auto"/>
        <w:ind w:left="18" w:right="0" w:firstLine="0"/>
        <w:jc w:val="left"/>
      </w:pPr>
      <w:r>
        <w:rPr>
          <w:i/>
          <w:sz w:val="11"/>
        </w:rPr>
        <w:t xml:space="preserve"> </w:t>
      </w:r>
    </w:p>
    <w:tbl>
      <w:tblPr>
        <w:tblStyle w:val="TableGrid"/>
        <w:tblW w:w="8442" w:type="dxa"/>
        <w:tblInd w:w="265" w:type="dxa"/>
        <w:tblCellMar>
          <w:top w:w="43" w:type="dxa"/>
          <w:left w:w="91" w:type="dxa"/>
          <w:bottom w:w="0" w:type="dxa"/>
          <w:right w:w="34" w:type="dxa"/>
        </w:tblCellMar>
        <w:tblLook w:val="04A0" w:firstRow="1" w:lastRow="0" w:firstColumn="1" w:lastColumn="0" w:noHBand="0" w:noVBand="1"/>
      </w:tblPr>
      <w:tblGrid>
        <w:gridCol w:w="1623"/>
        <w:gridCol w:w="1638"/>
        <w:gridCol w:w="1320"/>
        <w:gridCol w:w="1003"/>
        <w:gridCol w:w="1412"/>
        <w:gridCol w:w="1446"/>
      </w:tblGrid>
      <w:tr w:rsidR="00DA1779" w14:paraId="73DAF681" w14:textId="77777777">
        <w:trPr>
          <w:trHeight w:val="346"/>
        </w:trPr>
        <w:tc>
          <w:tcPr>
            <w:tcW w:w="1623" w:type="dxa"/>
            <w:tcBorders>
              <w:top w:val="single" w:sz="6" w:space="0" w:color="000000"/>
              <w:left w:val="single" w:sz="6" w:space="0" w:color="000000"/>
              <w:bottom w:val="single" w:sz="6" w:space="0" w:color="000000"/>
              <w:right w:val="single" w:sz="6" w:space="0" w:color="000000"/>
            </w:tcBorders>
          </w:tcPr>
          <w:p w14:paraId="007967C0" w14:textId="77777777" w:rsidR="00DA1779" w:rsidRDefault="00000000">
            <w:pPr>
              <w:spacing w:after="0" w:line="259" w:lineRule="auto"/>
              <w:ind w:left="26" w:right="0" w:firstLine="0"/>
              <w:jc w:val="left"/>
            </w:pPr>
            <w:r>
              <w:rPr>
                <w:b/>
              </w:rPr>
              <w:t xml:space="preserve">Group 1 </w:t>
            </w:r>
          </w:p>
        </w:tc>
        <w:tc>
          <w:tcPr>
            <w:tcW w:w="1638" w:type="dxa"/>
            <w:tcBorders>
              <w:top w:val="single" w:sz="6" w:space="0" w:color="000000"/>
              <w:left w:val="single" w:sz="6" w:space="0" w:color="000000"/>
              <w:bottom w:val="single" w:sz="6" w:space="0" w:color="000000"/>
              <w:right w:val="single" w:sz="6" w:space="0" w:color="000000"/>
            </w:tcBorders>
          </w:tcPr>
          <w:p w14:paraId="4C8DF383" w14:textId="77777777" w:rsidR="00DA1779" w:rsidRDefault="00000000">
            <w:pPr>
              <w:spacing w:after="0" w:line="259" w:lineRule="auto"/>
              <w:ind w:left="41" w:right="0" w:firstLine="0"/>
              <w:jc w:val="left"/>
            </w:pPr>
            <w:r>
              <w:rPr>
                <w:b/>
              </w:rPr>
              <w:t xml:space="preserve">Group 2 </w:t>
            </w:r>
          </w:p>
        </w:tc>
        <w:tc>
          <w:tcPr>
            <w:tcW w:w="1320" w:type="dxa"/>
            <w:tcBorders>
              <w:top w:val="single" w:sz="6" w:space="0" w:color="000000"/>
              <w:left w:val="single" w:sz="6" w:space="0" w:color="000000"/>
              <w:bottom w:val="single" w:sz="6" w:space="0" w:color="000000"/>
              <w:right w:val="single" w:sz="6" w:space="0" w:color="000000"/>
            </w:tcBorders>
          </w:tcPr>
          <w:p w14:paraId="7CC3BC5C" w14:textId="77777777" w:rsidR="00DA1779" w:rsidRDefault="00000000">
            <w:pPr>
              <w:spacing w:after="0" w:line="259" w:lineRule="auto"/>
              <w:ind w:left="26" w:right="0" w:firstLine="0"/>
              <w:jc w:val="left"/>
            </w:pPr>
            <w:r>
              <w:rPr>
                <w:b/>
              </w:rPr>
              <w:t xml:space="preserve">Mean Diff. </w:t>
            </w:r>
          </w:p>
        </w:tc>
        <w:tc>
          <w:tcPr>
            <w:tcW w:w="1003" w:type="dxa"/>
            <w:tcBorders>
              <w:top w:val="single" w:sz="6" w:space="0" w:color="000000"/>
              <w:left w:val="single" w:sz="6" w:space="0" w:color="000000"/>
              <w:bottom w:val="single" w:sz="6" w:space="0" w:color="000000"/>
              <w:right w:val="single" w:sz="6" w:space="0" w:color="000000"/>
            </w:tcBorders>
          </w:tcPr>
          <w:p w14:paraId="7C1DFD92" w14:textId="77777777" w:rsidR="00DA1779" w:rsidRDefault="00000000">
            <w:pPr>
              <w:spacing w:after="0" w:line="259" w:lineRule="auto"/>
              <w:ind w:left="31" w:right="0" w:firstLine="0"/>
              <w:jc w:val="left"/>
            </w:pPr>
            <w:r>
              <w:rPr>
                <w:b/>
              </w:rPr>
              <w:t xml:space="preserve">p-adj </w:t>
            </w:r>
          </w:p>
        </w:tc>
        <w:tc>
          <w:tcPr>
            <w:tcW w:w="1412" w:type="dxa"/>
            <w:tcBorders>
              <w:top w:val="single" w:sz="6" w:space="0" w:color="000000"/>
              <w:left w:val="single" w:sz="6" w:space="0" w:color="000000"/>
              <w:bottom w:val="single" w:sz="6" w:space="0" w:color="000000"/>
              <w:right w:val="single" w:sz="6" w:space="0" w:color="000000"/>
            </w:tcBorders>
          </w:tcPr>
          <w:p w14:paraId="2595B650" w14:textId="77777777" w:rsidR="00DA1779" w:rsidRDefault="00000000">
            <w:pPr>
              <w:spacing w:after="0" w:line="259" w:lineRule="auto"/>
              <w:ind w:left="36" w:right="0" w:firstLine="0"/>
              <w:jc w:val="left"/>
            </w:pPr>
            <w:r>
              <w:rPr>
                <w:b/>
              </w:rPr>
              <w:t xml:space="preserve">95% C.I. </w:t>
            </w:r>
          </w:p>
        </w:tc>
        <w:tc>
          <w:tcPr>
            <w:tcW w:w="1446" w:type="dxa"/>
            <w:tcBorders>
              <w:top w:val="single" w:sz="6" w:space="0" w:color="000000"/>
              <w:left w:val="single" w:sz="6" w:space="0" w:color="000000"/>
              <w:bottom w:val="single" w:sz="6" w:space="0" w:color="000000"/>
              <w:right w:val="single" w:sz="6" w:space="0" w:color="000000"/>
            </w:tcBorders>
          </w:tcPr>
          <w:p w14:paraId="7B7FE0AB" w14:textId="77777777" w:rsidR="00DA1779" w:rsidRDefault="00000000">
            <w:pPr>
              <w:spacing w:after="0" w:line="259" w:lineRule="auto"/>
              <w:ind w:left="37" w:right="0" w:firstLine="0"/>
              <w:jc w:val="left"/>
            </w:pPr>
            <w:r>
              <w:rPr>
                <w:b/>
              </w:rPr>
              <w:t xml:space="preserve">Significant? </w:t>
            </w:r>
          </w:p>
        </w:tc>
      </w:tr>
      <w:tr w:rsidR="00DA1779" w14:paraId="43E19732" w14:textId="77777777">
        <w:trPr>
          <w:trHeight w:val="374"/>
        </w:trPr>
        <w:tc>
          <w:tcPr>
            <w:tcW w:w="1623" w:type="dxa"/>
            <w:tcBorders>
              <w:top w:val="single" w:sz="6" w:space="0" w:color="000000"/>
              <w:left w:val="single" w:sz="6" w:space="0" w:color="000000"/>
              <w:bottom w:val="single" w:sz="6" w:space="0" w:color="000000"/>
              <w:right w:val="single" w:sz="6" w:space="0" w:color="000000"/>
            </w:tcBorders>
          </w:tcPr>
          <w:p w14:paraId="322FB2C4" w14:textId="77777777" w:rsidR="00DA1779" w:rsidRDefault="00000000">
            <w:pPr>
              <w:spacing w:after="0" w:line="259" w:lineRule="auto"/>
              <w:ind w:left="26" w:right="0" w:firstLine="0"/>
              <w:jc w:val="left"/>
            </w:pPr>
            <w:r>
              <w:t xml:space="preserve">1 (Excellent) </w:t>
            </w:r>
          </w:p>
        </w:tc>
        <w:tc>
          <w:tcPr>
            <w:tcW w:w="1638" w:type="dxa"/>
            <w:tcBorders>
              <w:top w:val="single" w:sz="6" w:space="0" w:color="000000"/>
              <w:left w:val="single" w:sz="6" w:space="0" w:color="000000"/>
              <w:bottom w:val="single" w:sz="6" w:space="0" w:color="000000"/>
              <w:right w:val="single" w:sz="6" w:space="0" w:color="000000"/>
            </w:tcBorders>
          </w:tcPr>
          <w:p w14:paraId="6AE9E570" w14:textId="77777777" w:rsidR="00DA1779" w:rsidRDefault="00000000">
            <w:pPr>
              <w:spacing w:after="0" w:line="259" w:lineRule="auto"/>
              <w:ind w:left="41" w:right="0" w:firstLine="0"/>
              <w:jc w:val="left"/>
            </w:pPr>
            <w:r>
              <w:t xml:space="preserve">2 (Very Good) </w:t>
            </w:r>
          </w:p>
        </w:tc>
        <w:tc>
          <w:tcPr>
            <w:tcW w:w="1320" w:type="dxa"/>
            <w:tcBorders>
              <w:top w:val="single" w:sz="6" w:space="0" w:color="000000"/>
              <w:left w:val="single" w:sz="6" w:space="0" w:color="000000"/>
              <w:bottom w:val="single" w:sz="6" w:space="0" w:color="000000"/>
              <w:right w:val="single" w:sz="6" w:space="0" w:color="000000"/>
            </w:tcBorders>
          </w:tcPr>
          <w:p w14:paraId="2A13EA88" w14:textId="77777777" w:rsidR="00DA1779" w:rsidRDefault="00000000">
            <w:pPr>
              <w:spacing w:after="0" w:line="259" w:lineRule="auto"/>
              <w:ind w:left="26" w:right="0" w:firstLine="0"/>
              <w:jc w:val="left"/>
            </w:pPr>
            <w:r>
              <w:t xml:space="preserve">1.88 </w:t>
            </w:r>
          </w:p>
        </w:tc>
        <w:tc>
          <w:tcPr>
            <w:tcW w:w="1003" w:type="dxa"/>
            <w:tcBorders>
              <w:top w:val="single" w:sz="6" w:space="0" w:color="000000"/>
              <w:left w:val="single" w:sz="6" w:space="0" w:color="000000"/>
              <w:bottom w:val="single" w:sz="6" w:space="0" w:color="000000"/>
              <w:right w:val="single" w:sz="6" w:space="0" w:color="000000"/>
            </w:tcBorders>
          </w:tcPr>
          <w:p w14:paraId="59192C03" w14:textId="77777777" w:rsidR="00DA1779" w:rsidRDefault="00000000">
            <w:pPr>
              <w:spacing w:after="0" w:line="259" w:lineRule="auto"/>
              <w:ind w:left="0" w:right="75" w:firstLine="0"/>
              <w:jc w:val="right"/>
            </w:pPr>
            <w:r>
              <w:rPr>
                <w:noProof/>
              </w:rPr>
              <w:drawing>
                <wp:inline distT="0" distB="0" distL="0" distR="0" wp14:anchorId="26178F5D" wp14:editId="70E3A94A">
                  <wp:extent cx="97536" cy="97536"/>
                  <wp:effectExtent l="0" t="0" r="0" b="0"/>
                  <wp:docPr id="16057" name="Picture 16057"/>
                  <wp:cNvGraphicFramePr/>
                  <a:graphic xmlns:a="http://schemas.openxmlformats.org/drawingml/2006/main">
                    <a:graphicData uri="http://schemas.openxmlformats.org/drawingml/2006/picture">
                      <pic:pic xmlns:pic="http://schemas.openxmlformats.org/drawingml/2006/picture">
                        <pic:nvPicPr>
                          <pic:cNvPr id="16057" name="Picture 16057"/>
                          <pic:cNvPicPr/>
                        </pic:nvPicPr>
                        <pic:blipFill>
                          <a:blip r:embed="rId12"/>
                          <a:stretch>
                            <a:fillRect/>
                          </a:stretch>
                        </pic:blipFill>
                        <pic:spPr>
                          <a:xfrm>
                            <a:off x="0" y="0"/>
                            <a:ext cx="97536" cy="97536"/>
                          </a:xfrm>
                          <a:prstGeom prst="rect">
                            <a:avLst/>
                          </a:prstGeom>
                        </pic:spPr>
                      </pic:pic>
                    </a:graphicData>
                  </a:graphic>
                </wp:inline>
              </w:drawing>
            </w:r>
            <w:r>
              <w:t xml:space="preserve">0.001 </w:t>
            </w:r>
          </w:p>
        </w:tc>
        <w:tc>
          <w:tcPr>
            <w:tcW w:w="1412" w:type="dxa"/>
            <w:tcBorders>
              <w:top w:val="single" w:sz="6" w:space="0" w:color="000000"/>
              <w:left w:val="single" w:sz="6" w:space="0" w:color="000000"/>
              <w:bottom w:val="single" w:sz="6" w:space="0" w:color="000000"/>
              <w:right w:val="single" w:sz="6" w:space="0" w:color="000000"/>
            </w:tcBorders>
          </w:tcPr>
          <w:p w14:paraId="35BA494E" w14:textId="77777777" w:rsidR="00DA1779" w:rsidRDefault="00000000">
            <w:pPr>
              <w:spacing w:after="0" w:line="259" w:lineRule="auto"/>
              <w:ind w:left="36" w:right="0" w:firstLine="0"/>
              <w:jc w:val="left"/>
            </w:pPr>
            <w:r>
              <w:t xml:space="preserve">(1.77, 1.98) </w:t>
            </w:r>
          </w:p>
        </w:tc>
        <w:tc>
          <w:tcPr>
            <w:tcW w:w="1446" w:type="dxa"/>
            <w:tcBorders>
              <w:top w:val="single" w:sz="6" w:space="0" w:color="000000"/>
              <w:left w:val="single" w:sz="6" w:space="0" w:color="000000"/>
              <w:bottom w:val="single" w:sz="6" w:space="0" w:color="000000"/>
              <w:right w:val="single" w:sz="6" w:space="0" w:color="000000"/>
            </w:tcBorders>
          </w:tcPr>
          <w:p w14:paraId="469B037C" w14:textId="77777777" w:rsidR="00DA1779" w:rsidRDefault="00000000">
            <w:pPr>
              <w:spacing w:after="0" w:line="259" w:lineRule="auto"/>
              <w:ind w:left="37" w:right="0" w:firstLine="0"/>
              <w:jc w:val="left"/>
            </w:pPr>
            <w:r>
              <w:t xml:space="preserve">Yes </w:t>
            </w:r>
          </w:p>
        </w:tc>
      </w:tr>
      <w:tr w:rsidR="00DA1779" w14:paraId="0EB28F78" w14:textId="77777777">
        <w:trPr>
          <w:trHeight w:val="360"/>
        </w:trPr>
        <w:tc>
          <w:tcPr>
            <w:tcW w:w="1623" w:type="dxa"/>
            <w:tcBorders>
              <w:top w:val="single" w:sz="6" w:space="0" w:color="000000"/>
              <w:left w:val="single" w:sz="6" w:space="0" w:color="000000"/>
              <w:bottom w:val="single" w:sz="6" w:space="0" w:color="000000"/>
              <w:right w:val="single" w:sz="6" w:space="0" w:color="000000"/>
            </w:tcBorders>
          </w:tcPr>
          <w:p w14:paraId="40722943" w14:textId="77777777" w:rsidR="00DA1779" w:rsidRDefault="00000000">
            <w:pPr>
              <w:spacing w:after="0" w:line="259" w:lineRule="auto"/>
              <w:ind w:left="26" w:right="0" w:firstLine="0"/>
              <w:jc w:val="left"/>
            </w:pPr>
            <w:r>
              <w:t xml:space="preserve">1 (Excellent) </w:t>
            </w:r>
          </w:p>
        </w:tc>
        <w:tc>
          <w:tcPr>
            <w:tcW w:w="1638" w:type="dxa"/>
            <w:tcBorders>
              <w:top w:val="single" w:sz="6" w:space="0" w:color="000000"/>
              <w:left w:val="single" w:sz="6" w:space="0" w:color="000000"/>
              <w:bottom w:val="single" w:sz="6" w:space="0" w:color="000000"/>
              <w:right w:val="single" w:sz="6" w:space="0" w:color="000000"/>
            </w:tcBorders>
          </w:tcPr>
          <w:p w14:paraId="76A5CFD8" w14:textId="77777777" w:rsidR="00DA1779" w:rsidRDefault="00000000">
            <w:pPr>
              <w:spacing w:after="0" w:line="259" w:lineRule="auto"/>
              <w:ind w:left="41" w:right="0" w:firstLine="0"/>
              <w:jc w:val="left"/>
            </w:pPr>
            <w:r>
              <w:t xml:space="preserve">3 (Good) </w:t>
            </w:r>
          </w:p>
        </w:tc>
        <w:tc>
          <w:tcPr>
            <w:tcW w:w="1320" w:type="dxa"/>
            <w:tcBorders>
              <w:top w:val="single" w:sz="6" w:space="0" w:color="000000"/>
              <w:left w:val="single" w:sz="6" w:space="0" w:color="000000"/>
              <w:bottom w:val="single" w:sz="6" w:space="0" w:color="000000"/>
              <w:right w:val="single" w:sz="6" w:space="0" w:color="000000"/>
            </w:tcBorders>
          </w:tcPr>
          <w:p w14:paraId="52238FDF" w14:textId="77777777" w:rsidR="00DA1779" w:rsidRDefault="00000000">
            <w:pPr>
              <w:spacing w:after="0" w:line="259" w:lineRule="auto"/>
              <w:ind w:left="26" w:right="0" w:firstLine="0"/>
              <w:jc w:val="left"/>
            </w:pPr>
            <w:r>
              <w:t xml:space="preserve">3.74 </w:t>
            </w:r>
          </w:p>
        </w:tc>
        <w:tc>
          <w:tcPr>
            <w:tcW w:w="1003" w:type="dxa"/>
            <w:tcBorders>
              <w:top w:val="single" w:sz="6" w:space="0" w:color="000000"/>
              <w:left w:val="single" w:sz="6" w:space="0" w:color="000000"/>
              <w:bottom w:val="single" w:sz="6" w:space="0" w:color="000000"/>
              <w:right w:val="single" w:sz="6" w:space="0" w:color="000000"/>
            </w:tcBorders>
          </w:tcPr>
          <w:p w14:paraId="39534856" w14:textId="77777777" w:rsidR="00DA1779" w:rsidRDefault="00000000">
            <w:pPr>
              <w:spacing w:after="0" w:line="259" w:lineRule="auto"/>
              <w:ind w:left="0" w:right="75" w:firstLine="0"/>
              <w:jc w:val="right"/>
            </w:pPr>
            <w:r>
              <w:rPr>
                <w:noProof/>
              </w:rPr>
              <w:drawing>
                <wp:inline distT="0" distB="0" distL="0" distR="0" wp14:anchorId="68E27929" wp14:editId="534F0EB5">
                  <wp:extent cx="97536" cy="97536"/>
                  <wp:effectExtent l="0" t="0" r="0" b="0"/>
                  <wp:docPr id="16058" name="Picture 16058"/>
                  <wp:cNvGraphicFramePr/>
                  <a:graphic xmlns:a="http://schemas.openxmlformats.org/drawingml/2006/main">
                    <a:graphicData uri="http://schemas.openxmlformats.org/drawingml/2006/picture">
                      <pic:pic xmlns:pic="http://schemas.openxmlformats.org/drawingml/2006/picture">
                        <pic:nvPicPr>
                          <pic:cNvPr id="16058" name="Picture 16058"/>
                          <pic:cNvPicPr/>
                        </pic:nvPicPr>
                        <pic:blipFill>
                          <a:blip r:embed="rId12"/>
                          <a:stretch>
                            <a:fillRect/>
                          </a:stretch>
                        </pic:blipFill>
                        <pic:spPr>
                          <a:xfrm>
                            <a:off x="0" y="0"/>
                            <a:ext cx="97536" cy="97536"/>
                          </a:xfrm>
                          <a:prstGeom prst="rect">
                            <a:avLst/>
                          </a:prstGeom>
                        </pic:spPr>
                      </pic:pic>
                    </a:graphicData>
                  </a:graphic>
                </wp:inline>
              </w:drawing>
            </w:r>
            <w:r>
              <w:t xml:space="preserve">0.001 </w:t>
            </w:r>
          </w:p>
        </w:tc>
        <w:tc>
          <w:tcPr>
            <w:tcW w:w="1412" w:type="dxa"/>
            <w:tcBorders>
              <w:top w:val="single" w:sz="6" w:space="0" w:color="000000"/>
              <w:left w:val="single" w:sz="6" w:space="0" w:color="000000"/>
              <w:bottom w:val="single" w:sz="6" w:space="0" w:color="000000"/>
              <w:right w:val="single" w:sz="6" w:space="0" w:color="000000"/>
            </w:tcBorders>
          </w:tcPr>
          <w:p w14:paraId="4B0ADB6A" w14:textId="77777777" w:rsidR="00DA1779" w:rsidRDefault="00000000">
            <w:pPr>
              <w:spacing w:after="0" w:line="259" w:lineRule="auto"/>
              <w:ind w:left="36" w:right="0" w:firstLine="0"/>
              <w:jc w:val="left"/>
            </w:pPr>
            <w:r>
              <w:t xml:space="preserve">(3.64, 3.85) </w:t>
            </w:r>
          </w:p>
        </w:tc>
        <w:tc>
          <w:tcPr>
            <w:tcW w:w="1446" w:type="dxa"/>
            <w:tcBorders>
              <w:top w:val="single" w:sz="6" w:space="0" w:color="000000"/>
              <w:left w:val="single" w:sz="6" w:space="0" w:color="000000"/>
              <w:bottom w:val="single" w:sz="6" w:space="0" w:color="000000"/>
              <w:right w:val="single" w:sz="6" w:space="0" w:color="000000"/>
            </w:tcBorders>
          </w:tcPr>
          <w:p w14:paraId="7A9058FB" w14:textId="77777777" w:rsidR="00DA1779" w:rsidRDefault="00000000">
            <w:pPr>
              <w:spacing w:after="0" w:line="259" w:lineRule="auto"/>
              <w:ind w:left="37" w:right="0" w:firstLine="0"/>
              <w:jc w:val="left"/>
            </w:pPr>
            <w:r>
              <w:t xml:space="preserve">Yes </w:t>
            </w:r>
          </w:p>
        </w:tc>
      </w:tr>
      <w:tr w:rsidR="00DA1779" w14:paraId="0D599E9B" w14:textId="77777777">
        <w:trPr>
          <w:trHeight w:val="360"/>
        </w:trPr>
        <w:tc>
          <w:tcPr>
            <w:tcW w:w="1623" w:type="dxa"/>
            <w:tcBorders>
              <w:top w:val="single" w:sz="6" w:space="0" w:color="000000"/>
              <w:left w:val="single" w:sz="6" w:space="0" w:color="000000"/>
              <w:bottom w:val="single" w:sz="6" w:space="0" w:color="000000"/>
              <w:right w:val="single" w:sz="6" w:space="0" w:color="000000"/>
            </w:tcBorders>
          </w:tcPr>
          <w:p w14:paraId="7336B2DA" w14:textId="77777777" w:rsidR="00DA1779" w:rsidRDefault="00000000">
            <w:pPr>
              <w:spacing w:after="0" w:line="259" w:lineRule="auto"/>
              <w:ind w:left="26" w:right="0" w:firstLine="0"/>
              <w:jc w:val="left"/>
            </w:pPr>
            <w:r>
              <w:t xml:space="preserve">1 (Excellent) </w:t>
            </w:r>
          </w:p>
        </w:tc>
        <w:tc>
          <w:tcPr>
            <w:tcW w:w="1638" w:type="dxa"/>
            <w:tcBorders>
              <w:top w:val="single" w:sz="6" w:space="0" w:color="000000"/>
              <w:left w:val="single" w:sz="6" w:space="0" w:color="000000"/>
              <w:bottom w:val="single" w:sz="6" w:space="0" w:color="000000"/>
              <w:right w:val="single" w:sz="6" w:space="0" w:color="000000"/>
            </w:tcBorders>
          </w:tcPr>
          <w:p w14:paraId="1478413F" w14:textId="77777777" w:rsidR="00DA1779" w:rsidRDefault="00000000">
            <w:pPr>
              <w:spacing w:after="0" w:line="259" w:lineRule="auto"/>
              <w:ind w:left="41" w:right="0" w:firstLine="0"/>
              <w:jc w:val="left"/>
            </w:pPr>
            <w:r>
              <w:t xml:space="preserve">4 (Fair) </w:t>
            </w:r>
          </w:p>
        </w:tc>
        <w:tc>
          <w:tcPr>
            <w:tcW w:w="1320" w:type="dxa"/>
            <w:tcBorders>
              <w:top w:val="single" w:sz="6" w:space="0" w:color="000000"/>
              <w:left w:val="single" w:sz="6" w:space="0" w:color="000000"/>
              <w:bottom w:val="single" w:sz="6" w:space="0" w:color="000000"/>
              <w:right w:val="single" w:sz="6" w:space="0" w:color="000000"/>
            </w:tcBorders>
          </w:tcPr>
          <w:p w14:paraId="646BBE83" w14:textId="77777777" w:rsidR="00DA1779" w:rsidRDefault="00000000">
            <w:pPr>
              <w:spacing w:after="0" w:line="259" w:lineRule="auto"/>
              <w:ind w:left="26" w:right="0" w:firstLine="0"/>
              <w:jc w:val="left"/>
            </w:pPr>
            <w:r>
              <w:t xml:space="preserve">4.92 </w:t>
            </w:r>
          </w:p>
        </w:tc>
        <w:tc>
          <w:tcPr>
            <w:tcW w:w="1003" w:type="dxa"/>
            <w:tcBorders>
              <w:top w:val="single" w:sz="6" w:space="0" w:color="000000"/>
              <w:left w:val="single" w:sz="6" w:space="0" w:color="000000"/>
              <w:bottom w:val="single" w:sz="6" w:space="0" w:color="000000"/>
              <w:right w:val="single" w:sz="6" w:space="0" w:color="000000"/>
            </w:tcBorders>
          </w:tcPr>
          <w:p w14:paraId="1478A360" w14:textId="77777777" w:rsidR="00DA1779" w:rsidRDefault="00000000">
            <w:pPr>
              <w:spacing w:after="0" w:line="259" w:lineRule="auto"/>
              <w:ind w:left="0" w:right="75" w:firstLine="0"/>
              <w:jc w:val="right"/>
            </w:pPr>
            <w:r>
              <w:rPr>
                <w:noProof/>
              </w:rPr>
              <w:drawing>
                <wp:inline distT="0" distB="0" distL="0" distR="0" wp14:anchorId="1AF4166A" wp14:editId="210CA020">
                  <wp:extent cx="97536" cy="100584"/>
                  <wp:effectExtent l="0" t="0" r="0" b="0"/>
                  <wp:docPr id="16059" name="Picture 16059"/>
                  <wp:cNvGraphicFramePr/>
                  <a:graphic xmlns:a="http://schemas.openxmlformats.org/drawingml/2006/main">
                    <a:graphicData uri="http://schemas.openxmlformats.org/drawingml/2006/picture">
                      <pic:pic xmlns:pic="http://schemas.openxmlformats.org/drawingml/2006/picture">
                        <pic:nvPicPr>
                          <pic:cNvPr id="16059" name="Picture 16059"/>
                          <pic:cNvPicPr/>
                        </pic:nvPicPr>
                        <pic:blipFill>
                          <a:blip r:embed="rId11"/>
                          <a:stretch>
                            <a:fillRect/>
                          </a:stretch>
                        </pic:blipFill>
                        <pic:spPr>
                          <a:xfrm>
                            <a:off x="0" y="0"/>
                            <a:ext cx="97536" cy="100584"/>
                          </a:xfrm>
                          <a:prstGeom prst="rect">
                            <a:avLst/>
                          </a:prstGeom>
                        </pic:spPr>
                      </pic:pic>
                    </a:graphicData>
                  </a:graphic>
                </wp:inline>
              </w:drawing>
            </w:r>
            <w:r>
              <w:t xml:space="preserve">0.001 </w:t>
            </w:r>
          </w:p>
        </w:tc>
        <w:tc>
          <w:tcPr>
            <w:tcW w:w="1412" w:type="dxa"/>
            <w:tcBorders>
              <w:top w:val="single" w:sz="6" w:space="0" w:color="000000"/>
              <w:left w:val="single" w:sz="6" w:space="0" w:color="000000"/>
              <w:bottom w:val="single" w:sz="6" w:space="0" w:color="000000"/>
              <w:right w:val="single" w:sz="6" w:space="0" w:color="000000"/>
            </w:tcBorders>
          </w:tcPr>
          <w:p w14:paraId="7320500C" w14:textId="77777777" w:rsidR="00DA1779" w:rsidRDefault="00000000">
            <w:pPr>
              <w:spacing w:after="0" w:line="259" w:lineRule="auto"/>
              <w:ind w:left="36" w:right="0" w:firstLine="0"/>
              <w:jc w:val="left"/>
            </w:pPr>
            <w:r>
              <w:t xml:space="preserve">(4.79, 5.05) </w:t>
            </w:r>
          </w:p>
        </w:tc>
        <w:tc>
          <w:tcPr>
            <w:tcW w:w="1446" w:type="dxa"/>
            <w:tcBorders>
              <w:top w:val="single" w:sz="6" w:space="0" w:color="000000"/>
              <w:left w:val="single" w:sz="6" w:space="0" w:color="000000"/>
              <w:bottom w:val="single" w:sz="6" w:space="0" w:color="000000"/>
              <w:right w:val="single" w:sz="6" w:space="0" w:color="000000"/>
            </w:tcBorders>
          </w:tcPr>
          <w:p w14:paraId="39ABC2B6" w14:textId="77777777" w:rsidR="00DA1779" w:rsidRDefault="00000000">
            <w:pPr>
              <w:spacing w:after="0" w:line="259" w:lineRule="auto"/>
              <w:ind w:left="37" w:right="0" w:firstLine="0"/>
              <w:jc w:val="left"/>
            </w:pPr>
            <w:r>
              <w:t xml:space="preserve">Yes </w:t>
            </w:r>
          </w:p>
        </w:tc>
      </w:tr>
      <w:tr w:rsidR="00DA1779" w14:paraId="7E184ABC" w14:textId="77777777">
        <w:trPr>
          <w:trHeight w:val="360"/>
        </w:trPr>
        <w:tc>
          <w:tcPr>
            <w:tcW w:w="1623" w:type="dxa"/>
            <w:tcBorders>
              <w:top w:val="single" w:sz="6" w:space="0" w:color="000000"/>
              <w:left w:val="single" w:sz="6" w:space="0" w:color="000000"/>
              <w:bottom w:val="single" w:sz="6" w:space="0" w:color="000000"/>
              <w:right w:val="single" w:sz="6" w:space="0" w:color="000000"/>
            </w:tcBorders>
          </w:tcPr>
          <w:p w14:paraId="422655A8" w14:textId="77777777" w:rsidR="00DA1779" w:rsidRDefault="00000000">
            <w:pPr>
              <w:spacing w:after="0" w:line="259" w:lineRule="auto"/>
              <w:ind w:left="26" w:right="0" w:firstLine="0"/>
              <w:jc w:val="left"/>
            </w:pPr>
            <w:r>
              <w:t xml:space="preserve">1 (Excellent) </w:t>
            </w:r>
          </w:p>
        </w:tc>
        <w:tc>
          <w:tcPr>
            <w:tcW w:w="1638" w:type="dxa"/>
            <w:tcBorders>
              <w:top w:val="single" w:sz="6" w:space="0" w:color="000000"/>
              <w:left w:val="single" w:sz="6" w:space="0" w:color="000000"/>
              <w:bottom w:val="single" w:sz="6" w:space="0" w:color="000000"/>
              <w:right w:val="single" w:sz="6" w:space="0" w:color="000000"/>
            </w:tcBorders>
          </w:tcPr>
          <w:p w14:paraId="53B0F475" w14:textId="77777777" w:rsidR="00DA1779" w:rsidRDefault="00000000">
            <w:pPr>
              <w:spacing w:after="0" w:line="259" w:lineRule="auto"/>
              <w:ind w:left="41" w:right="0" w:firstLine="0"/>
              <w:jc w:val="left"/>
            </w:pPr>
            <w:r>
              <w:t xml:space="preserve">5 (Poor) </w:t>
            </w:r>
          </w:p>
        </w:tc>
        <w:tc>
          <w:tcPr>
            <w:tcW w:w="1320" w:type="dxa"/>
            <w:tcBorders>
              <w:top w:val="single" w:sz="6" w:space="0" w:color="000000"/>
              <w:left w:val="single" w:sz="6" w:space="0" w:color="000000"/>
              <w:bottom w:val="single" w:sz="6" w:space="0" w:color="000000"/>
              <w:right w:val="single" w:sz="6" w:space="0" w:color="000000"/>
            </w:tcBorders>
          </w:tcPr>
          <w:p w14:paraId="469F11F5" w14:textId="77777777" w:rsidR="00DA1779" w:rsidRDefault="00000000">
            <w:pPr>
              <w:spacing w:after="0" w:line="259" w:lineRule="auto"/>
              <w:ind w:left="26" w:right="0" w:firstLine="0"/>
              <w:jc w:val="left"/>
            </w:pPr>
            <w:r>
              <w:t xml:space="preserve">4.80 </w:t>
            </w:r>
          </w:p>
        </w:tc>
        <w:tc>
          <w:tcPr>
            <w:tcW w:w="1003" w:type="dxa"/>
            <w:tcBorders>
              <w:top w:val="single" w:sz="6" w:space="0" w:color="000000"/>
              <w:left w:val="single" w:sz="6" w:space="0" w:color="000000"/>
              <w:bottom w:val="single" w:sz="6" w:space="0" w:color="000000"/>
              <w:right w:val="single" w:sz="6" w:space="0" w:color="000000"/>
            </w:tcBorders>
          </w:tcPr>
          <w:p w14:paraId="5F80BB98" w14:textId="77777777" w:rsidR="00DA1779" w:rsidRDefault="00000000">
            <w:pPr>
              <w:spacing w:after="0" w:line="259" w:lineRule="auto"/>
              <w:ind w:left="0" w:right="75" w:firstLine="0"/>
              <w:jc w:val="right"/>
            </w:pPr>
            <w:r>
              <w:rPr>
                <w:noProof/>
              </w:rPr>
              <w:drawing>
                <wp:inline distT="0" distB="0" distL="0" distR="0" wp14:anchorId="7C67A744" wp14:editId="2F88CC06">
                  <wp:extent cx="97536" cy="100584"/>
                  <wp:effectExtent l="0" t="0" r="0" b="0"/>
                  <wp:docPr id="16060" name="Picture 16060"/>
                  <wp:cNvGraphicFramePr/>
                  <a:graphic xmlns:a="http://schemas.openxmlformats.org/drawingml/2006/main">
                    <a:graphicData uri="http://schemas.openxmlformats.org/drawingml/2006/picture">
                      <pic:pic xmlns:pic="http://schemas.openxmlformats.org/drawingml/2006/picture">
                        <pic:nvPicPr>
                          <pic:cNvPr id="16060" name="Picture 16060"/>
                          <pic:cNvPicPr/>
                        </pic:nvPicPr>
                        <pic:blipFill>
                          <a:blip r:embed="rId11"/>
                          <a:stretch>
                            <a:fillRect/>
                          </a:stretch>
                        </pic:blipFill>
                        <pic:spPr>
                          <a:xfrm>
                            <a:off x="0" y="0"/>
                            <a:ext cx="97536" cy="100584"/>
                          </a:xfrm>
                          <a:prstGeom prst="rect">
                            <a:avLst/>
                          </a:prstGeom>
                        </pic:spPr>
                      </pic:pic>
                    </a:graphicData>
                  </a:graphic>
                </wp:inline>
              </w:drawing>
            </w:r>
            <w:r>
              <w:t xml:space="preserve">0.001 </w:t>
            </w:r>
          </w:p>
        </w:tc>
        <w:tc>
          <w:tcPr>
            <w:tcW w:w="1412" w:type="dxa"/>
            <w:tcBorders>
              <w:top w:val="single" w:sz="6" w:space="0" w:color="000000"/>
              <w:left w:val="single" w:sz="6" w:space="0" w:color="000000"/>
              <w:bottom w:val="single" w:sz="6" w:space="0" w:color="000000"/>
              <w:right w:val="single" w:sz="6" w:space="0" w:color="000000"/>
            </w:tcBorders>
          </w:tcPr>
          <w:p w14:paraId="68A99D05" w14:textId="77777777" w:rsidR="00DA1779" w:rsidRDefault="00000000">
            <w:pPr>
              <w:spacing w:after="0" w:line="259" w:lineRule="auto"/>
              <w:ind w:left="36" w:right="0" w:firstLine="0"/>
              <w:jc w:val="left"/>
            </w:pPr>
            <w:r>
              <w:t xml:space="preserve">(4.62, 4.98) </w:t>
            </w:r>
          </w:p>
        </w:tc>
        <w:tc>
          <w:tcPr>
            <w:tcW w:w="1446" w:type="dxa"/>
            <w:tcBorders>
              <w:top w:val="single" w:sz="6" w:space="0" w:color="000000"/>
              <w:left w:val="single" w:sz="6" w:space="0" w:color="000000"/>
              <w:bottom w:val="single" w:sz="6" w:space="0" w:color="000000"/>
              <w:right w:val="single" w:sz="6" w:space="0" w:color="000000"/>
            </w:tcBorders>
          </w:tcPr>
          <w:p w14:paraId="4DF9AABF" w14:textId="77777777" w:rsidR="00DA1779" w:rsidRDefault="00000000">
            <w:pPr>
              <w:spacing w:after="0" w:line="259" w:lineRule="auto"/>
              <w:ind w:left="37" w:right="0" w:firstLine="0"/>
              <w:jc w:val="left"/>
            </w:pPr>
            <w:r>
              <w:t xml:space="preserve">Yes </w:t>
            </w:r>
          </w:p>
        </w:tc>
      </w:tr>
      <w:tr w:rsidR="00DA1779" w14:paraId="7B8D6F0A" w14:textId="77777777">
        <w:trPr>
          <w:trHeight w:val="374"/>
        </w:trPr>
        <w:tc>
          <w:tcPr>
            <w:tcW w:w="1623" w:type="dxa"/>
            <w:tcBorders>
              <w:top w:val="single" w:sz="6" w:space="0" w:color="000000"/>
              <w:left w:val="single" w:sz="6" w:space="0" w:color="000000"/>
              <w:bottom w:val="single" w:sz="6" w:space="0" w:color="000000"/>
              <w:right w:val="single" w:sz="6" w:space="0" w:color="000000"/>
            </w:tcBorders>
          </w:tcPr>
          <w:p w14:paraId="04F7F6FA" w14:textId="77777777" w:rsidR="00DA1779" w:rsidRDefault="00000000">
            <w:pPr>
              <w:spacing w:after="0" w:line="259" w:lineRule="auto"/>
              <w:ind w:left="26" w:right="0" w:firstLine="0"/>
              <w:jc w:val="left"/>
            </w:pPr>
            <w:r>
              <w:t xml:space="preserve">2 (Very Good) </w:t>
            </w:r>
          </w:p>
        </w:tc>
        <w:tc>
          <w:tcPr>
            <w:tcW w:w="1638" w:type="dxa"/>
            <w:tcBorders>
              <w:top w:val="single" w:sz="6" w:space="0" w:color="000000"/>
              <w:left w:val="single" w:sz="6" w:space="0" w:color="000000"/>
              <w:bottom w:val="single" w:sz="6" w:space="0" w:color="000000"/>
              <w:right w:val="single" w:sz="6" w:space="0" w:color="000000"/>
            </w:tcBorders>
          </w:tcPr>
          <w:p w14:paraId="37CA7EDB" w14:textId="77777777" w:rsidR="00DA1779" w:rsidRDefault="00000000">
            <w:pPr>
              <w:spacing w:after="0" w:line="259" w:lineRule="auto"/>
              <w:ind w:left="41" w:right="0" w:firstLine="0"/>
              <w:jc w:val="left"/>
            </w:pPr>
            <w:r>
              <w:t xml:space="preserve">3 (Good) </w:t>
            </w:r>
          </w:p>
        </w:tc>
        <w:tc>
          <w:tcPr>
            <w:tcW w:w="1320" w:type="dxa"/>
            <w:tcBorders>
              <w:top w:val="single" w:sz="6" w:space="0" w:color="000000"/>
              <w:left w:val="single" w:sz="6" w:space="0" w:color="000000"/>
              <w:bottom w:val="single" w:sz="6" w:space="0" w:color="000000"/>
              <w:right w:val="single" w:sz="6" w:space="0" w:color="000000"/>
            </w:tcBorders>
          </w:tcPr>
          <w:p w14:paraId="6E716D93" w14:textId="77777777" w:rsidR="00DA1779" w:rsidRDefault="00000000">
            <w:pPr>
              <w:spacing w:after="0" w:line="259" w:lineRule="auto"/>
              <w:ind w:left="26" w:right="0" w:firstLine="0"/>
              <w:jc w:val="left"/>
            </w:pPr>
            <w:r>
              <w:t xml:space="preserve">1.87 </w:t>
            </w:r>
          </w:p>
        </w:tc>
        <w:tc>
          <w:tcPr>
            <w:tcW w:w="1003" w:type="dxa"/>
            <w:tcBorders>
              <w:top w:val="single" w:sz="6" w:space="0" w:color="000000"/>
              <w:left w:val="single" w:sz="6" w:space="0" w:color="000000"/>
              <w:bottom w:val="single" w:sz="6" w:space="0" w:color="000000"/>
              <w:right w:val="single" w:sz="6" w:space="0" w:color="000000"/>
            </w:tcBorders>
          </w:tcPr>
          <w:p w14:paraId="10858E53" w14:textId="77777777" w:rsidR="00DA1779" w:rsidRDefault="00000000">
            <w:pPr>
              <w:spacing w:after="0" w:line="259" w:lineRule="auto"/>
              <w:ind w:left="0" w:right="75" w:firstLine="0"/>
              <w:jc w:val="right"/>
            </w:pPr>
            <w:r>
              <w:rPr>
                <w:noProof/>
              </w:rPr>
              <w:drawing>
                <wp:inline distT="0" distB="0" distL="0" distR="0" wp14:anchorId="2E07C072" wp14:editId="7A6EAD14">
                  <wp:extent cx="97536" cy="100584"/>
                  <wp:effectExtent l="0" t="0" r="0" b="0"/>
                  <wp:docPr id="16061" name="Picture 16061"/>
                  <wp:cNvGraphicFramePr/>
                  <a:graphic xmlns:a="http://schemas.openxmlformats.org/drawingml/2006/main">
                    <a:graphicData uri="http://schemas.openxmlformats.org/drawingml/2006/picture">
                      <pic:pic xmlns:pic="http://schemas.openxmlformats.org/drawingml/2006/picture">
                        <pic:nvPicPr>
                          <pic:cNvPr id="16061" name="Picture 16061"/>
                          <pic:cNvPicPr/>
                        </pic:nvPicPr>
                        <pic:blipFill>
                          <a:blip r:embed="rId11"/>
                          <a:stretch>
                            <a:fillRect/>
                          </a:stretch>
                        </pic:blipFill>
                        <pic:spPr>
                          <a:xfrm>
                            <a:off x="0" y="0"/>
                            <a:ext cx="97536" cy="100584"/>
                          </a:xfrm>
                          <a:prstGeom prst="rect">
                            <a:avLst/>
                          </a:prstGeom>
                        </pic:spPr>
                      </pic:pic>
                    </a:graphicData>
                  </a:graphic>
                </wp:inline>
              </w:drawing>
            </w:r>
            <w:r>
              <w:t xml:space="preserve">0.001 </w:t>
            </w:r>
          </w:p>
        </w:tc>
        <w:tc>
          <w:tcPr>
            <w:tcW w:w="1412" w:type="dxa"/>
            <w:tcBorders>
              <w:top w:val="single" w:sz="6" w:space="0" w:color="000000"/>
              <w:left w:val="single" w:sz="6" w:space="0" w:color="000000"/>
              <w:bottom w:val="single" w:sz="6" w:space="0" w:color="000000"/>
              <w:right w:val="single" w:sz="6" w:space="0" w:color="000000"/>
            </w:tcBorders>
          </w:tcPr>
          <w:p w14:paraId="6EB1CB9C" w14:textId="77777777" w:rsidR="00DA1779" w:rsidRDefault="00000000">
            <w:pPr>
              <w:spacing w:after="0" w:line="259" w:lineRule="auto"/>
              <w:ind w:left="36" w:right="0" w:firstLine="0"/>
              <w:jc w:val="left"/>
            </w:pPr>
            <w:r>
              <w:t xml:space="preserve">(1.78, 1.95) </w:t>
            </w:r>
          </w:p>
        </w:tc>
        <w:tc>
          <w:tcPr>
            <w:tcW w:w="1446" w:type="dxa"/>
            <w:tcBorders>
              <w:top w:val="single" w:sz="6" w:space="0" w:color="000000"/>
              <w:left w:val="single" w:sz="6" w:space="0" w:color="000000"/>
              <w:bottom w:val="single" w:sz="6" w:space="0" w:color="000000"/>
              <w:right w:val="single" w:sz="6" w:space="0" w:color="000000"/>
            </w:tcBorders>
          </w:tcPr>
          <w:p w14:paraId="35DD081F" w14:textId="77777777" w:rsidR="00DA1779" w:rsidRDefault="00000000">
            <w:pPr>
              <w:spacing w:after="0" w:line="259" w:lineRule="auto"/>
              <w:ind w:left="37" w:right="0" w:firstLine="0"/>
              <w:jc w:val="left"/>
            </w:pPr>
            <w:r>
              <w:t xml:space="preserve">Yes </w:t>
            </w:r>
          </w:p>
        </w:tc>
      </w:tr>
      <w:tr w:rsidR="00DA1779" w14:paraId="717930C2" w14:textId="77777777">
        <w:trPr>
          <w:trHeight w:val="360"/>
        </w:trPr>
        <w:tc>
          <w:tcPr>
            <w:tcW w:w="1623" w:type="dxa"/>
            <w:tcBorders>
              <w:top w:val="single" w:sz="6" w:space="0" w:color="000000"/>
              <w:left w:val="single" w:sz="6" w:space="0" w:color="000000"/>
              <w:bottom w:val="single" w:sz="6" w:space="0" w:color="000000"/>
              <w:right w:val="single" w:sz="6" w:space="0" w:color="000000"/>
            </w:tcBorders>
          </w:tcPr>
          <w:p w14:paraId="7BE9D468" w14:textId="77777777" w:rsidR="00DA1779" w:rsidRDefault="00000000">
            <w:pPr>
              <w:spacing w:after="0" w:line="259" w:lineRule="auto"/>
              <w:ind w:left="26" w:right="0" w:firstLine="0"/>
              <w:jc w:val="left"/>
            </w:pPr>
            <w:r>
              <w:t xml:space="preserve">2 (Very Good) </w:t>
            </w:r>
          </w:p>
        </w:tc>
        <w:tc>
          <w:tcPr>
            <w:tcW w:w="1638" w:type="dxa"/>
            <w:tcBorders>
              <w:top w:val="single" w:sz="6" w:space="0" w:color="000000"/>
              <w:left w:val="single" w:sz="6" w:space="0" w:color="000000"/>
              <w:bottom w:val="single" w:sz="6" w:space="0" w:color="000000"/>
              <w:right w:val="single" w:sz="6" w:space="0" w:color="000000"/>
            </w:tcBorders>
          </w:tcPr>
          <w:p w14:paraId="54868AB2" w14:textId="77777777" w:rsidR="00DA1779" w:rsidRDefault="00000000">
            <w:pPr>
              <w:spacing w:after="0" w:line="259" w:lineRule="auto"/>
              <w:ind w:left="41" w:right="0" w:firstLine="0"/>
              <w:jc w:val="left"/>
            </w:pPr>
            <w:r>
              <w:t xml:space="preserve">4 (Fair) </w:t>
            </w:r>
          </w:p>
        </w:tc>
        <w:tc>
          <w:tcPr>
            <w:tcW w:w="1320" w:type="dxa"/>
            <w:tcBorders>
              <w:top w:val="single" w:sz="6" w:space="0" w:color="000000"/>
              <w:left w:val="single" w:sz="6" w:space="0" w:color="000000"/>
              <w:bottom w:val="single" w:sz="6" w:space="0" w:color="000000"/>
              <w:right w:val="single" w:sz="6" w:space="0" w:color="000000"/>
            </w:tcBorders>
          </w:tcPr>
          <w:p w14:paraId="4883C4AD" w14:textId="77777777" w:rsidR="00DA1779" w:rsidRDefault="00000000">
            <w:pPr>
              <w:spacing w:after="0" w:line="259" w:lineRule="auto"/>
              <w:ind w:left="26" w:right="0" w:firstLine="0"/>
              <w:jc w:val="left"/>
            </w:pPr>
            <w:r>
              <w:t xml:space="preserve">3.04 </w:t>
            </w:r>
          </w:p>
        </w:tc>
        <w:tc>
          <w:tcPr>
            <w:tcW w:w="1003" w:type="dxa"/>
            <w:tcBorders>
              <w:top w:val="single" w:sz="6" w:space="0" w:color="000000"/>
              <w:left w:val="single" w:sz="6" w:space="0" w:color="000000"/>
              <w:bottom w:val="single" w:sz="6" w:space="0" w:color="000000"/>
              <w:right w:val="single" w:sz="6" w:space="0" w:color="000000"/>
            </w:tcBorders>
          </w:tcPr>
          <w:p w14:paraId="021CFDEA" w14:textId="77777777" w:rsidR="00DA1779" w:rsidRDefault="00000000">
            <w:pPr>
              <w:spacing w:after="0" w:line="259" w:lineRule="auto"/>
              <w:ind w:left="0" w:right="75" w:firstLine="0"/>
              <w:jc w:val="right"/>
            </w:pPr>
            <w:r>
              <w:rPr>
                <w:noProof/>
              </w:rPr>
              <w:drawing>
                <wp:inline distT="0" distB="0" distL="0" distR="0" wp14:anchorId="02F2C60A" wp14:editId="36A42528">
                  <wp:extent cx="97536" cy="100584"/>
                  <wp:effectExtent l="0" t="0" r="0" b="0"/>
                  <wp:docPr id="16062" name="Picture 16062"/>
                  <wp:cNvGraphicFramePr/>
                  <a:graphic xmlns:a="http://schemas.openxmlformats.org/drawingml/2006/main">
                    <a:graphicData uri="http://schemas.openxmlformats.org/drawingml/2006/picture">
                      <pic:pic xmlns:pic="http://schemas.openxmlformats.org/drawingml/2006/picture">
                        <pic:nvPicPr>
                          <pic:cNvPr id="16062" name="Picture 16062"/>
                          <pic:cNvPicPr/>
                        </pic:nvPicPr>
                        <pic:blipFill>
                          <a:blip r:embed="rId11"/>
                          <a:stretch>
                            <a:fillRect/>
                          </a:stretch>
                        </pic:blipFill>
                        <pic:spPr>
                          <a:xfrm>
                            <a:off x="0" y="0"/>
                            <a:ext cx="97536" cy="100584"/>
                          </a:xfrm>
                          <a:prstGeom prst="rect">
                            <a:avLst/>
                          </a:prstGeom>
                        </pic:spPr>
                      </pic:pic>
                    </a:graphicData>
                  </a:graphic>
                </wp:inline>
              </w:drawing>
            </w:r>
            <w:r>
              <w:t xml:space="preserve">0.001 </w:t>
            </w:r>
          </w:p>
        </w:tc>
        <w:tc>
          <w:tcPr>
            <w:tcW w:w="1412" w:type="dxa"/>
            <w:tcBorders>
              <w:top w:val="single" w:sz="6" w:space="0" w:color="000000"/>
              <w:left w:val="single" w:sz="6" w:space="0" w:color="000000"/>
              <w:bottom w:val="single" w:sz="6" w:space="0" w:color="000000"/>
              <w:right w:val="single" w:sz="6" w:space="0" w:color="000000"/>
            </w:tcBorders>
          </w:tcPr>
          <w:p w14:paraId="2D459E0D" w14:textId="77777777" w:rsidR="00DA1779" w:rsidRDefault="00000000">
            <w:pPr>
              <w:spacing w:after="0" w:line="259" w:lineRule="auto"/>
              <w:ind w:left="36" w:right="0" w:firstLine="0"/>
              <w:jc w:val="left"/>
            </w:pPr>
            <w:r>
              <w:t xml:space="preserve">(2.93, 3.16) </w:t>
            </w:r>
          </w:p>
        </w:tc>
        <w:tc>
          <w:tcPr>
            <w:tcW w:w="1446" w:type="dxa"/>
            <w:tcBorders>
              <w:top w:val="single" w:sz="6" w:space="0" w:color="000000"/>
              <w:left w:val="single" w:sz="6" w:space="0" w:color="000000"/>
              <w:bottom w:val="single" w:sz="6" w:space="0" w:color="000000"/>
              <w:right w:val="single" w:sz="6" w:space="0" w:color="000000"/>
            </w:tcBorders>
          </w:tcPr>
          <w:p w14:paraId="62CD1A5C" w14:textId="77777777" w:rsidR="00DA1779" w:rsidRDefault="00000000">
            <w:pPr>
              <w:spacing w:after="0" w:line="259" w:lineRule="auto"/>
              <w:ind w:left="37" w:right="0" w:firstLine="0"/>
              <w:jc w:val="left"/>
            </w:pPr>
            <w:r>
              <w:t xml:space="preserve">Yes </w:t>
            </w:r>
          </w:p>
        </w:tc>
      </w:tr>
      <w:tr w:rsidR="00DA1779" w14:paraId="46CDC296" w14:textId="77777777">
        <w:trPr>
          <w:trHeight w:val="360"/>
        </w:trPr>
        <w:tc>
          <w:tcPr>
            <w:tcW w:w="1623" w:type="dxa"/>
            <w:tcBorders>
              <w:top w:val="single" w:sz="6" w:space="0" w:color="000000"/>
              <w:left w:val="single" w:sz="6" w:space="0" w:color="000000"/>
              <w:bottom w:val="single" w:sz="6" w:space="0" w:color="000000"/>
              <w:right w:val="single" w:sz="6" w:space="0" w:color="000000"/>
            </w:tcBorders>
          </w:tcPr>
          <w:p w14:paraId="51506D8C" w14:textId="77777777" w:rsidR="00DA1779" w:rsidRDefault="00000000">
            <w:pPr>
              <w:spacing w:after="0" w:line="259" w:lineRule="auto"/>
              <w:ind w:left="26" w:right="0" w:firstLine="0"/>
              <w:jc w:val="left"/>
            </w:pPr>
            <w:r>
              <w:t xml:space="preserve">2 (Very Good) </w:t>
            </w:r>
          </w:p>
        </w:tc>
        <w:tc>
          <w:tcPr>
            <w:tcW w:w="1638" w:type="dxa"/>
            <w:tcBorders>
              <w:top w:val="single" w:sz="6" w:space="0" w:color="000000"/>
              <w:left w:val="single" w:sz="6" w:space="0" w:color="000000"/>
              <w:bottom w:val="single" w:sz="6" w:space="0" w:color="000000"/>
              <w:right w:val="single" w:sz="6" w:space="0" w:color="000000"/>
            </w:tcBorders>
          </w:tcPr>
          <w:p w14:paraId="1587836E" w14:textId="77777777" w:rsidR="00DA1779" w:rsidRDefault="00000000">
            <w:pPr>
              <w:spacing w:after="0" w:line="259" w:lineRule="auto"/>
              <w:ind w:left="41" w:right="0" w:firstLine="0"/>
              <w:jc w:val="left"/>
            </w:pPr>
            <w:r>
              <w:t xml:space="preserve">5 (Poor) </w:t>
            </w:r>
          </w:p>
        </w:tc>
        <w:tc>
          <w:tcPr>
            <w:tcW w:w="1320" w:type="dxa"/>
            <w:tcBorders>
              <w:top w:val="single" w:sz="6" w:space="0" w:color="000000"/>
              <w:left w:val="single" w:sz="6" w:space="0" w:color="000000"/>
              <w:bottom w:val="single" w:sz="6" w:space="0" w:color="000000"/>
              <w:right w:val="single" w:sz="6" w:space="0" w:color="000000"/>
            </w:tcBorders>
          </w:tcPr>
          <w:p w14:paraId="0AC9D833" w14:textId="77777777" w:rsidR="00DA1779" w:rsidRDefault="00000000">
            <w:pPr>
              <w:spacing w:after="0" w:line="259" w:lineRule="auto"/>
              <w:ind w:left="26" w:right="0" w:firstLine="0"/>
              <w:jc w:val="left"/>
            </w:pPr>
            <w:r>
              <w:t xml:space="preserve">2.93 </w:t>
            </w:r>
          </w:p>
        </w:tc>
        <w:tc>
          <w:tcPr>
            <w:tcW w:w="1003" w:type="dxa"/>
            <w:tcBorders>
              <w:top w:val="single" w:sz="6" w:space="0" w:color="000000"/>
              <w:left w:val="single" w:sz="6" w:space="0" w:color="000000"/>
              <w:bottom w:val="single" w:sz="6" w:space="0" w:color="000000"/>
              <w:right w:val="single" w:sz="6" w:space="0" w:color="000000"/>
            </w:tcBorders>
          </w:tcPr>
          <w:p w14:paraId="7C77C9B5" w14:textId="77777777" w:rsidR="00DA1779" w:rsidRDefault="00000000">
            <w:pPr>
              <w:spacing w:after="0" w:line="259" w:lineRule="auto"/>
              <w:ind w:left="0" w:right="75" w:firstLine="0"/>
              <w:jc w:val="right"/>
            </w:pPr>
            <w:r>
              <w:rPr>
                <w:noProof/>
              </w:rPr>
              <w:drawing>
                <wp:inline distT="0" distB="0" distL="0" distR="0" wp14:anchorId="523239DD" wp14:editId="6BE2A4F4">
                  <wp:extent cx="97536" cy="100584"/>
                  <wp:effectExtent l="0" t="0" r="0" b="0"/>
                  <wp:docPr id="16063" name="Picture 16063"/>
                  <wp:cNvGraphicFramePr/>
                  <a:graphic xmlns:a="http://schemas.openxmlformats.org/drawingml/2006/main">
                    <a:graphicData uri="http://schemas.openxmlformats.org/drawingml/2006/picture">
                      <pic:pic xmlns:pic="http://schemas.openxmlformats.org/drawingml/2006/picture">
                        <pic:nvPicPr>
                          <pic:cNvPr id="16063" name="Picture 16063"/>
                          <pic:cNvPicPr/>
                        </pic:nvPicPr>
                        <pic:blipFill>
                          <a:blip r:embed="rId11"/>
                          <a:stretch>
                            <a:fillRect/>
                          </a:stretch>
                        </pic:blipFill>
                        <pic:spPr>
                          <a:xfrm>
                            <a:off x="0" y="0"/>
                            <a:ext cx="97536" cy="100584"/>
                          </a:xfrm>
                          <a:prstGeom prst="rect">
                            <a:avLst/>
                          </a:prstGeom>
                        </pic:spPr>
                      </pic:pic>
                    </a:graphicData>
                  </a:graphic>
                </wp:inline>
              </w:drawing>
            </w:r>
            <w:r>
              <w:t xml:space="preserve">0.001 </w:t>
            </w:r>
          </w:p>
        </w:tc>
        <w:tc>
          <w:tcPr>
            <w:tcW w:w="1412" w:type="dxa"/>
            <w:tcBorders>
              <w:top w:val="single" w:sz="6" w:space="0" w:color="000000"/>
              <w:left w:val="single" w:sz="6" w:space="0" w:color="000000"/>
              <w:bottom w:val="single" w:sz="6" w:space="0" w:color="000000"/>
              <w:right w:val="single" w:sz="6" w:space="0" w:color="000000"/>
            </w:tcBorders>
          </w:tcPr>
          <w:p w14:paraId="1A8212E7" w14:textId="77777777" w:rsidR="00DA1779" w:rsidRDefault="00000000">
            <w:pPr>
              <w:spacing w:after="0" w:line="259" w:lineRule="auto"/>
              <w:ind w:left="36" w:right="0" w:firstLine="0"/>
              <w:jc w:val="left"/>
            </w:pPr>
            <w:r>
              <w:t xml:space="preserve">(2.76, 3.10) </w:t>
            </w:r>
          </w:p>
        </w:tc>
        <w:tc>
          <w:tcPr>
            <w:tcW w:w="1446" w:type="dxa"/>
            <w:tcBorders>
              <w:top w:val="single" w:sz="6" w:space="0" w:color="000000"/>
              <w:left w:val="single" w:sz="6" w:space="0" w:color="000000"/>
              <w:bottom w:val="single" w:sz="6" w:space="0" w:color="000000"/>
              <w:right w:val="single" w:sz="6" w:space="0" w:color="000000"/>
            </w:tcBorders>
          </w:tcPr>
          <w:p w14:paraId="0B1BDBD9" w14:textId="77777777" w:rsidR="00DA1779" w:rsidRDefault="00000000">
            <w:pPr>
              <w:spacing w:after="0" w:line="259" w:lineRule="auto"/>
              <w:ind w:left="37" w:right="0" w:firstLine="0"/>
              <w:jc w:val="left"/>
            </w:pPr>
            <w:r>
              <w:t xml:space="preserve">Yes </w:t>
            </w:r>
          </w:p>
        </w:tc>
      </w:tr>
      <w:tr w:rsidR="00DA1779" w14:paraId="0243A9F0" w14:textId="77777777">
        <w:trPr>
          <w:trHeight w:val="360"/>
        </w:trPr>
        <w:tc>
          <w:tcPr>
            <w:tcW w:w="1623" w:type="dxa"/>
            <w:tcBorders>
              <w:top w:val="single" w:sz="6" w:space="0" w:color="000000"/>
              <w:left w:val="single" w:sz="6" w:space="0" w:color="000000"/>
              <w:bottom w:val="single" w:sz="6" w:space="0" w:color="000000"/>
              <w:right w:val="single" w:sz="6" w:space="0" w:color="000000"/>
            </w:tcBorders>
          </w:tcPr>
          <w:p w14:paraId="5EAEDB84" w14:textId="77777777" w:rsidR="00DA1779" w:rsidRDefault="00000000">
            <w:pPr>
              <w:spacing w:after="0" w:line="259" w:lineRule="auto"/>
              <w:ind w:left="26" w:right="0" w:firstLine="0"/>
              <w:jc w:val="left"/>
            </w:pPr>
            <w:r>
              <w:t xml:space="preserve">3 (Good) </w:t>
            </w:r>
          </w:p>
        </w:tc>
        <w:tc>
          <w:tcPr>
            <w:tcW w:w="1638" w:type="dxa"/>
            <w:tcBorders>
              <w:top w:val="single" w:sz="6" w:space="0" w:color="000000"/>
              <w:left w:val="single" w:sz="6" w:space="0" w:color="000000"/>
              <w:bottom w:val="single" w:sz="6" w:space="0" w:color="000000"/>
              <w:right w:val="single" w:sz="6" w:space="0" w:color="000000"/>
            </w:tcBorders>
          </w:tcPr>
          <w:p w14:paraId="75284DC9" w14:textId="77777777" w:rsidR="00DA1779" w:rsidRDefault="00000000">
            <w:pPr>
              <w:spacing w:after="0" w:line="259" w:lineRule="auto"/>
              <w:ind w:left="41" w:right="0" w:firstLine="0"/>
              <w:jc w:val="left"/>
            </w:pPr>
            <w:r>
              <w:t xml:space="preserve">4 (Fair) </w:t>
            </w:r>
          </w:p>
        </w:tc>
        <w:tc>
          <w:tcPr>
            <w:tcW w:w="1320" w:type="dxa"/>
            <w:tcBorders>
              <w:top w:val="single" w:sz="6" w:space="0" w:color="000000"/>
              <w:left w:val="single" w:sz="6" w:space="0" w:color="000000"/>
              <w:bottom w:val="single" w:sz="6" w:space="0" w:color="000000"/>
              <w:right w:val="single" w:sz="6" w:space="0" w:color="000000"/>
            </w:tcBorders>
          </w:tcPr>
          <w:p w14:paraId="263D1B5F" w14:textId="77777777" w:rsidR="00DA1779" w:rsidRDefault="00000000">
            <w:pPr>
              <w:spacing w:after="0" w:line="259" w:lineRule="auto"/>
              <w:ind w:left="26" w:right="0" w:firstLine="0"/>
              <w:jc w:val="left"/>
            </w:pPr>
            <w:r>
              <w:t xml:space="preserve">1.18 </w:t>
            </w:r>
          </w:p>
        </w:tc>
        <w:tc>
          <w:tcPr>
            <w:tcW w:w="1003" w:type="dxa"/>
            <w:tcBorders>
              <w:top w:val="single" w:sz="6" w:space="0" w:color="000000"/>
              <w:left w:val="single" w:sz="6" w:space="0" w:color="000000"/>
              <w:bottom w:val="single" w:sz="6" w:space="0" w:color="000000"/>
              <w:right w:val="single" w:sz="6" w:space="0" w:color="000000"/>
            </w:tcBorders>
          </w:tcPr>
          <w:p w14:paraId="114FCF06" w14:textId="77777777" w:rsidR="00DA1779" w:rsidRDefault="00000000">
            <w:pPr>
              <w:spacing w:after="0" w:line="259" w:lineRule="auto"/>
              <w:ind w:left="0" w:right="75" w:firstLine="0"/>
              <w:jc w:val="right"/>
            </w:pPr>
            <w:r>
              <w:rPr>
                <w:noProof/>
              </w:rPr>
              <w:drawing>
                <wp:inline distT="0" distB="0" distL="0" distR="0" wp14:anchorId="70DF2464" wp14:editId="3B8404FE">
                  <wp:extent cx="97536" cy="97536"/>
                  <wp:effectExtent l="0" t="0" r="0" b="0"/>
                  <wp:docPr id="16064" name="Picture 16064"/>
                  <wp:cNvGraphicFramePr/>
                  <a:graphic xmlns:a="http://schemas.openxmlformats.org/drawingml/2006/main">
                    <a:graphicData uri="http://schemas.openxmlformats.org/drawingml/2006/picture">
                      <pic:pic xmlns:pic="http://schemas.openxmlformats.org/drawingml/2006/picture">
                        <pic:nvPicPr>
                          <pic:cNvPr id="16064" name="Picture 16064"/>
                          <pic:cNvPicPr/>
                        </pic:nvPicPr>
                        <pic:blipFill>
                          <a:blip r:embed="rId12"/>
                          <a:stretch>
                            <a:fillRect/>
                          </a:stretch>
                        </pic:blipFill>
                        <pic:spPr>
                          <a:xfrm>
                            <a:off x="0" y="0"/>
                            <a:ext cx="97536" cy="97536"/>
                          </a:xfrm>
                          <a:prstGeom prst="rect">
                            <a:avLst/>
                          </a:prstGeom>
                        </pic:spPr>
                      </pic:pic>
                    </a:graphicData>
                  </a:graphic>
                </wp:inline>
              </w:drawing>
            </w:r>
            <w:r>
              <w:t xml:space="preserve">0.001 </w:t>
            </w:r>
          </w:p>
        </w:tc>
        <w:tc>
          <w:tcPr>
            <w:tcW w:w="1412" w:type="dxa"/>
            <w:tcBorders>
              <w:top w:val="single" w:sz="6" w:space="0" w:color="000000"/>
              <w:left w:val="single" w:sz="6" w:space="0" w:color="000000"/>
              <w:bottom w:val="single" w:sz="6" w:space="0" w:color="000000"/>
              <w:right w:val="single" w:sz="6" w:space="0" w:color="000000"/>
            </w:tcBorders>
          </w:tcPr>
          <w:p w14:paraId="3DC5E5E8" w14:textId="77777777" w:rsidR="00DA1779" w:rsidRDefault="00000000">
            <w:pPr>
              <w:spacing w:after="0" w:line="259" w:lineRule="auto"/>
              <w:ind w:left="36" w:right="0" w:firstLine="0"/>
              <w:jc w:val="left"/>
            </w:pPr>
            <w:r>
              <w:t xml:space="preserve">(1.06, 1.29) </w:t>
            </w:r>
          </w:p>
        </w:tc>
        <w:tc>
          <w:tcPr>
            <w:tcW w:w="1446" w:type="dxa"/>
            <w:tcBorders>
              <w:top w:val="single" w:sz="6" w:space="0" w:color="000000"/>
              <w:left w:val="single" w:sz="6" w:space="0" w:color="000000"/>
              <w:bottom w:val="single" w:sz="6" w:space="0" w:color="000000"/>
              <w:right w:val="single" w:sz="6" w:space="0" w:color="000000"/>
            </w:tcBorders>
          </w:tcPr>
          <w:p w14:paraId="6C11CF1E" w14:textId="77777777" w:rsidR="00DA1779" w:rsidRDefault="00000000">
            <w:pPr>
              <w:spacing w:after="0" w:line="259" w:lineRule="auto"/>
              <w:ind w:left="37" w:right="0" w:firstLine="0"/>
              <w:jc w:val="left"/>
            </w:pPr>
            <w:r>
              <w:t xml:space="preserve">Yes </w:t>
            </w:r>
          </w:p>
        </w:tc>
      </w:tr>
      <w:tr w:rsidR="00DA1779" w14:paraId="1B089DD6" w14:textId="77777777">
        <w:trPr>
          <w:trHeight w:val="374"/>
        </w:trPr>
        <w:tc>
          <w:tcPr>
            <w:tcW w:w="1623" w:type="dxa"/>
            <w:tcBorders>
              <w:top w:val="single" w:sz="6" w:space="0" w:color="000000"/>
              <w:left w:val="single" w:sz="6" w:space="0" w:color="000000"/>
              <w:bottom w:val="single" w:sz="6" w:space="0" w:color="000000"/>
              <w:right w:val="single" w:sz="6" w:space="0" w:color="000000"/>
            </w:tcBorders>
          </w:tcPr>
          <w:p w14:paraId="78DB0F36" w14:textId="77777777" w:rsidR="00DA1779" w:rsidRDefault="00000000">
            <w:pPr>
              <w:spacing w:after="0" w:line="259" w:lineRule="auto"/>
              <w:ind w:left="26" w:right="0" w:firstLine="0"/>
              <w:jc w:val="left"/>
            </w:pPr>
            <w:r>
              <w:t xml:space="preserve">3 (Good) </w:t>
            </w:r>
          </w:p>
        </w:tc>
        <w:tc>
          <w:tcPr>
            <w:tcW w:w="1638" w:type="dxa"/>
            <w:tcBorders>
              <w:top w:val="single" w:sz="6" w:space="0" w:color="000000"/>
              <w:left w:val="single" w:sz="6" w:space="0" w:color="000000"/>
              <w:bottom w:val="single" w:sz="6" w:space="0" w:color="000000"/>
              <w:right w:val="single" w:sz="6" w:space="0" w:color="000000"/>
            </w:tcBorders>
          </w:tcPr>
          <w:p w14:paraId="06E37F36" w14:textId="77777777" w:rsidR="00DA1779" w:rsidRDefault="00000000">
            <w:pPr>
              <w:spacing w:after="0" w:line="259" w:lineRule="auto"/>
              <w:ind w:left="41" w:right="0" w:firstLine="0"/>
              <w:jc w:val="left"/>
            </w:pPr>
            <w:r>
              <w:t xml:space="preserve">5 (Poor) </w:t>
            </w:r>
          </w:p>
        </w:tc>
        <w:tc>
          <w:tcPr>
            <w:tcW w:w="1320" w:type="dxa"/>
            <w:tcBorders>
              <w:top w:val="single" w:sz="6" w:space="0" w:color="000000"/>
              <w:left w:val="single" w:sz="6" w:space="0" w:color="000000"/>
              <w:bottom w:val="single" w:sz="6" w:space="0" w:color="000000"/>
              <w:right w:val="single" w:sz="6" w:space="0" w:color="000000"/>
            </w:tcBorders>
          </w:tcPr>
          <w:p w14:paraId="6093F6EF" w14:textId="77777777" w:rsidR="00DA1779" w:rsidRDefault="00000000">
            <w:pPr>
              <w:spacing w:after="0" w:line="259" w:lineRule="auto"/>
              <w:ind w:left="26" w:right="0" w:firstLine="0"/>
              <w:jc w:val="left"/>
            </w:pPr>
            <w:r>
              <w:t xml:space="preserve">1.06 </w:t>
            </w:r>
          </w:p>
        </w:tc>
        <w:tc>
          <w:tcPr>
            <w:tcW w:w="1003" w:type="dxa"/>
            <w:tcBorders>
              <w:top w:val="single" w:sz="6" w:space="0" w:color="000000"/>
              <w:left w:val="single" w:sz="6" w:space="0" w:color="000000"/>
              <w:bottom w:val="single" w:sz="6" w:space="0" w:color="000000"/>
              <w:right w:val="single" w:sz="6" w:space="0" w:color="000000"/>
            </w:tcBorders>
          </w:tcPr>
          <w:p w14:paraId="27751122" w14:textId="77777777" w:rsidR="00DA1779" w:rsidRDefault="00000000">
            <w:pPr>
              <w:spacing w:after="0" w:line="259" w:lineRule="auto"/>
              <w:ind w:left="0" w:right="75" w:firstLine="0"/>
              <w:jc w:val="right"/>
            </w:pPr>
            <w:r>
              <w:rPr>
                <w:noProof/>
              </w:rPr>
              <w:drawing>
                <wp:inline distT="0" distB="0" distL="0" distR="0" wp14:anchorId="52C05712" wp14:editId="37D91C5D">
                  <wp:extent cx="97536" cy="97536"/>
                  <wp:effectExtent l="0" t="0" r="0" b="0"/>
                  <wp:docPr id="16065" name="Picture 16065"/>
                  <wp:cNvGraphicFramePr/>
                  <a:graphic xmlns:a="http://schemas.openxmlformats.org/drawingml/2006/main">
                    <a:graphicData uri="http://schemas.openxmlformats.org/drawingml/2006/picture">
                      <pic:pic xmlns:pic="http://schemas.openxmlformats.org/drawingml/2006/picture">
                        <pic:nvPicPr>
                          <pic:cNvPr id="16065" name="Picture 16065"/>
                          <pic:cNvPicPr/>
                        </pic:nvPicPr>
                        <pic:blipFill>
                          <a:blip r:embed="rId12"/>
                          <a:stretch>
                            <a:fillRect/>
                          </a:stretch>
                        </pic:blipFill>
                        <pic:spPr>
                          <a:xfrm>
                            <a:off x="0" y="0"/>
                            <a:ext cx="97536" cy="97536"/>
                          </a:xfrm>
                          <a:prstGeom prst="rect">
                            <a:avLst/>
                          </a:prstGeom>
                        </pic:spPr>
                      </pic:pic>
                    </a:graphicData>
                  </a:graphic>
                </wp:inline>
              </w:drawing>
            </w:r>
            <w:r>
              <w:t xml:space="preserve">0.001 </w:t>
            </w:r>
          </w:p>
        </w:tc>
        <w:tc>
          <w:tcPr>
            <w:tcW w:w="1412" w:type="dxa"/>
            <w:tcBorders>
              <w:top w:val="single" w:sz="6" w:space="0" w:color="000000"/>
              <w:left w:val="single" w:sz="6" w:space="0" w:color="000000"/>
              <w:bottom w:val="single" w:sz="6" w:space="0" w:color="000000"/>
              <w:right w:val="single" w:sz="6" w:space="0" w:color="000000"/>
            </w:tcBorders>
          </w:tcPr>
          <w:p w14:paraId="511F04D1" w14:textId="77777777" w:rsidR="00DA1779" w:rsidRDefault="00000000">
            <w:pPr>
              <w:spacing w:after="0" w:line="259" w:lineRule="auto"/>
              <w:ind w:left="36" w:right="0" w:firstLine="0"/>
              <w:jc w:val="left"/>
            </w:pPr>
            <w:r>
              <w:t xml:space="preserve">(0.89, 1.23) </w:t>
            </w:r>
          </w:p>
        </w:tc>
        <w:tc>
          <w:tcPr>
            <w:tcW w:w="1446" w:type="dxa"/>
            <w:tcBorders>
              <w:top w:val="single" w:sz="6" w:space="0" w:color="000000"/>
              <w:left w:val="single" w:sz="6" w:space="0" w:color="000000"/>
              <w:bottom w:val="single" w:sz="6" w:space="0" w:color="000000"/>
              <w:right w:val="single" w:sz="6" w:space="0" w:color="000000"/>
            </w:tcBorders>
          </w:tcPr>
          <w:p w14:paraId="2E0899FF" w14:textId="77777777" w:rsidR="00DA1779" w:rsidRDefault="00000000">
            <w:pPr>
              <w:spacing w:after="0" w:line="259" w:lineRule="auto"/>
              <w:ind w:left="37" w:right="0" w:firstLine="0"/>
              <w:jc w:val="left"/>
            </w:pPr>
            <w:r>
              <w:t xml:space="preserve">Yes </w:t>
            </w:r>
          </w:p>
        </w:tc>
      </w:tr>
      <w:tr w:rsidR="00DA1779" w14:paraId="1B778042" w14:textId="77777777">
        <w:trPr>
          <w:trHeight w:val="346"/>
        </w:trPr>
        <w:tc>
          <w:tcPr>
            <w:tcW w:w="1623" w:type="dxa"/>
            <w:tcBorders>
              <w:top w:val="single" w:sz="6" w:space="0" w:color="000000"/>
              <w:left w:val="single" w:sz="6" w:space="0" w:color="000000"/>
              <w:bottom w:val="single" w:sz="6" w:space="0" w:color="000000"/>
              <w:right w:val="single" w:sz="6" w:space="0" w:color="000000"/>
            </w:tcBorders>
          </w:tcPr>
          <w:p w14:paraId="349BD82F" w14:textId="77777777" w:rsidR="00DA1779" w:rsidRDefault="00000000">
            <w:pPr>
              <w:spacing w:after="0" w:line="259" w:lineRule="auto"/>
              <w:ind w:left="26" w:right="0" w:firstLine="0"/>
              <w:jc w:val="left"/>
            </w:pPr>
            <w:r>
              <w:rPr>
                <w:b/>
              </w:rPr>
              <w:t xml:space="preserve">4 (Fair) </w:t>
            </w:r>
          </w:p>
        </w:tc>
        <w:tc>
          <w:tcPr>
            <w:tcW w:w="1638" w:type="dxa"/>
            <w:tcBorders>
              <w:top w:val="single" w:sz="6" w:space="0" w:color="000000"/>
              <w:left w:val="single" w:sz="6" w:space="0" w:color="000000"/>
              <w:bottom w:val="single" w:sz="6" w:space="0" w:color="000000"/>
              <w:right w:val="single" w:sz="6" w:space="0" w:color="000000"/>
            </w:tcBorders>
          </w:tcPr>
          <w:p w14:paraId="59C15AD0" w14:textId="77777777" w:rsidR="00DA1779" w:rsidRDefault="00000000">
            <w:pPr>
              <w:spacing w:after="0" w:line="259" w:lineRule="auto"/>
              <w:ind w:left="41" w:right="0" w:firstLine="0"/>
              <w:jc w:val="left"/>
            </w:pPr>
            <w:r>
              <w:rPr>
                <w:b/>
              </w:rPr>
              <w:t xml:space="preserve">5 (Poor) </w:t>
            </w:r>
          </w:p>
        </w:tc>
        <w:tc>
          <w:tcPr>
            <w:tcW w:w="1320" w:type="dxa"/>
            <w:tcBorders>
              <w:top w:val="single" w:sz="6" w:space="0" w:color="000000"/>
              <w:left w:val="single" w:sz="6" w:space="0" w:color="000000"/>
              <w:bottom w:val="single" w:sz="6" w:space="0" w:color="000000"/>
              <w:right w:val="single" w:sz="6" w:space="0" w:color="000000"/>
            </w:tcBorders>
          </w:tcPr>
          <w:p w14:paraId="69C5D24C" w14:textId="77777777" w:rsidR="00DA1779" w:rsidRDefault="00000000">
            <w:pPr>
              <w:spacing w:after="0" w:line="259" w:lineRule="auto"/>
              <w:ind w:left="26" w:right="0" w:firstLine="0"/>
              <w:jc w:val="left"/>
            </w:pPr>
            <w:r>
              <w:rPr>
                <w:b/>
              </w:rPr>
              <w:t xml:space="preserve">-0.12 </w:t>
            </w:r>
          </w:p>
        </w:tc>
        <w:tc>
          <w:tcPr>
            <w:tcW w:w="1003" w:type="dxa"/>
            <w:tcBorders>
              <w:top w:val="single" w:sz="6" w:space="0" w:color="000000"/>
              <w:left w:val="single" w:sz="6" w:space="0" w:color="000000"/>
              <w:bottom w:val="single" w:sz="6" w:space="0" w:color="000000"/>
              <w:right w:val="single" w:sz="6" w:space="0" w:color="000000"/>
            </w:tcBorders>
          </w:tcPr>
          <w:p w14:paraId="6521ADA9" w14:textId="77777777" w:rsidR="00DA1779" w:rsidRDefault="00000000">
            <w:pPr>
              <w:spacing w:after="0" w:line="259" w:lineRule="auto"/>
              <w:ind w:left="31" w:right="0" w:firstLine="0"/>
              <w:jc w:val="left"/>
            </w:pPr>
            <w:r>
              <w:rPr>
                <w:b/>
              </w:rPr>
              <w:t xml:space="preserve">0.437 </w:t>
            </w:r>
          </w:p>
        </w:tc>
        <w:tc>
          <w:tcPr>
            <w:tcW w:w="1412" w:type="dxa"/>
            <w:tcBorders>
              <w:top w:val="single" w:sz="6" w:space="0" w:color="000000"/>
              <w:left w:val="single" w:sz="6" w:space="0" w:color="000000"/>
              <w:bottom w:val="single" w:sz="6" w:space="0" w:color="000000"/>
              <w:right w:val="single" w:sz="6" w:space="0" w:color="000000"/>
            </w:tcBorders>
          </w:tcPr>
          <w:p w14:paraId="5810167E" w14:textId="77777777" w:rsidR="00DA1779" w:rsidRDefault="00000000">
            <w:pPr>
              <w:spacing w:after="0" w:line="259" w:lineRule="auto"/>
              <w:ind w:left="36" w:right="0" w:firstLine="0"/>
              <w:jc w:val="left"/>
            </w:pPr>
            <w:r>
              <w:rPr>
                <w:b/>
              </w:rPr>
              <w:t xml:space="preserve">(-0.30, 0.07) </w:t>
            </w:r>
          </w:p>
        </w:tc>
        <w:tc>
          <w:tcPr>
            <w:tcW w:w="1446" w:type="dxa"/>
            <w:tcBorders>
              <w:top w:val="single" w:sz="6" w:space="0" w:color="000000"/>
              <w:left w:val="single" w:sz="6" w:space="0" w:color="000000"/>
              <w:bottom w:val="single" w:sz="6" w:space="0" w:color="000000"/>
              <w:right w:val="single" w:sz="6" w:space="0" w:color="000000"/>
            </w:tcBorders>
          </w:tcPr>
          <w:p w14:paraId="7C3BC167" w14:textId="77777777" w:rsidR="00DA1779" w:rsidRDefault="00000000">
            <w:pPr>
              <w:spacing w:after="0" w:line="259" w:lineRule="auto"/>
              <w:ind w:left="37" w:right="0" w:firstLine="0"/>
              <w:jc w:val="left"/>
            </w:pPr>
            <w:r>
              <w:rPr>
                <w:b/>
              </w:rPr>
              <w:t xml:space="preserve">No </w:t>
            </w:r>
          </w:p>
        </w:tc>
      </w:tr>
    </w:tbl>
    <w:p w14:paraId="528036C6" w14:textId="77777777" w:rsidR="00DA1779" w:rsidRDefault="00000000">
      <w:pPr>
        <w:pStyle w:val="Heading2"/>
        <w:spacing w:after="215"/>
        <w:ind w:left="373"/>
      </w:pPr>
      <w:r>
        <w:rPr>
          <w:sz w:val="24"/>
        </w:rPr>
        <w:t xml:space="preserve"> </w:t>
      </w:r>
      <w:r>
        <w:t>Discussion</w:t>
      </w:r>
      <w:r>
        <w:rPr>
          <w:sz w:val="24"/>
        </w:rPr>
        <w:t xml:space="preserve"> </w:t>
      </w:r>
    </w:p>
    <w:p w14:paraId="1BC218C2" w14:textId="77777777" w:rsidR="00DA1779" w:rsidRDefault="00000000">
      <w:pPr>
        <w:ind w:left="13" w:right="0"/>
      </w:pPr>
      <w:r>
        <w:t xml:space="preserve">The results of this analysis provide important insights into the health characteristics of the synthetic healthcare population. The finding that the mean BMI (~28.1) is significantly higher than the healthy reference value of 25 confirms that, on average, the population is in the </w:t>
      </w:r>
      <w:r>
        <w:rPr>
          <w:b/>
        </w:rPr>
        <w:t>overweight category</w:t>
      </w:r>
      <w:r>
        <w:t xml:space="preserve">. This carries substantial public health implications, as elevated BMI is a well-established risk factor for conditions such as </w:t>
      </w:r>
      <w:r>
        <w:rPr>
          <w:b/>
        </w:rPr>
        <w:t>diabetes, hypertension, and cardiovascular disease</w:t>
      </w:r>
      <w:r>
        <w:t xml:space="preserve">. </w:t>
      </w:r>
    </w:p>
    <w:p w14:paraId="003C8141" w14:textId="77777777" w:rsidR="00DA1779" w:rsidRDefault="00000000">
      <w:pPr>
        <w:ind w:left="13" w:right="0"/>
      </w:pPr>
      <w:r>
        <w:t xml:space="preserve">The observed difference in BMI between males and females, while statistically significant, was relatively small in absolute terms. This suggests that although gender is a factor, other health behaviors and lifestyle variables, such as </w:t>
      </w:r>
      <w:r>
        <w:rPr>
          <w:b/>
        </w:rPr>
        <w:t>smoking, exercise frequency, and sleep patterns</w:t>
      </w:r>
      <w:r>
        <w:t xml:space="preserve">, may play a more influential role in determining BMI. </w:t>
      </w:r>
    </w:p>
    <w:p w14:paraId="2C3745A0" w14:textId="77777777" w:rsidR="00DA1779" w:rsidRDefault="00000000">
      <w:pPr>
        <w:ind w:left="13" w:right="0"/>
      </w:pPr>
      <w:r>
        <w:t xml:space="preserve">The strongest finding was the clear, graded relationship between </w:t>
      </w:r>
      <w:r>
        <w:rPr>
          <w:b/>
        </w:rPr>
        <w:t>self-reported general health status (</w:t>
      </w:r>
      <w:proofErr w:type="spellStart"/>
      <w:r>
        <w:rPr>
          <w:b/>
        </w:rPr>
        <w:t>GenHlth</w:t>
      </w:r>
      <w:proofErr w:type="spellEnd"/>
      <w:r>
        <w:rPr>
          <w:b/>
        </w:rPr>
        <w:t>)</w:t>
      </w:r>
      <w:r>
        <w:t xml:space="preserve"> and BMI. Participants reporting excellent health had the lowest average BMI, while those in poorer health categories had progressively higher BMI values. The only non-significant difference was observed between the “Fair” and “Poor” health groups, which may indicate that once BMI reaches a high threshold (falling within the obese category), perceived health status plateaus at a consistently low level. </w:t>
      </w:r>
      <w:r>
        <w:lastRenderedPageBreak/>
        <w:t xml:space="preserve">This relationship is likely </w:t>
      </w:r>
      <w:r>
        <w:rPr>
          <w:b/>
        </w:rPr>
        <w:t>bidirectional</w:t>
      </w:r>
      <w:r>
        <w:t xml:space="preserve">: higher BMI contributes to poorer health outcomes, while declining health can encourage sedentary behaviors and further weight gain. </w:t>
      </w:r>
    </w:p>
    <w:p w14:paraId="5F76C8A4" w14:textId="77777777" w:rsidR="00DA1779" w:rsidRDefault="00000000">
      <w:pPr>
        <w:spacing w:after="296" w:line="259" w:lineRule="auto"/>
        <w:ind w:left="18" w:right="0" w:firstLine="0"/>
        <w:jc w:val="left"/>
      </w:pPr>
      <w:r>
        <w:t xml:space="preserve"> </w:t>
      </w:r>
    </w:p>
    <w:p w14:paraId="6AFC28AC" w14:textId="77777777" w:rsidR="00DA1779" w:rsidRDefault="00000000">
      <w:pPr>
        <w:pStyle w:val="Heading2"/>
        <w:spacing w:after="214"/>
        <w:ind w:left="373"/>
      </w:pPr>
      <w:r>
        <w:t xml:space="preserve"> Limitations</w:t>
      </w:r>
      <w:r>
        <w:rPr>
          <w:sz w:val="24"/>
        </w:rPr>
        <w:t xml:space="preserve"> </w:t>
      </w:r>
    </w:p>
    <w:p w14:paraId="66B13A4E" w14:textId="77777777" w:rsidR="00DA1779" w:rsidRDefault="00000000">
      <w:pPr>
        <w:ind w:left="13" w:right="0"/>
      </w:pPr>
      <w:r>
        <w:t xml:space="preserve">This study has several limitations that should be acknowledged: </w:t>
      </w:r>
    </w:p>
    <w:p w14:paraId="3816AADD" w14:textId="77777777" w:rsidR="00DA1779" w:rsidRDefault="00000000">
      <w:pPr>
        <w:numPr>
          <w:ilvl w:val="0"/>
          <w:numId w:val="10"/>
        </w:numPr>
        <w:ind w:right="0" w:hanging="360"/>
      </w:pPr>
      <w:r>
        <w:rPr>
          <w:b/>
        </w:rPr>
        <w:t>Cross-Sectional Nature:</w:t>
      </w:r>
      <w:r>
        <w:t xml:space="preserve"> The dataset captures patient data at a single point in time, limiting the ability to establish causal relationships. </w:t>
      </w:r>
    </w:p>
    <w:p w14:paraId="58A5A2AC" w14:textId="77777777" w:rsidR="00DA1779" w:rsidRDefault="00000000">
      <w:pPr>
        <w:numPr>
          <w:ilvl w:val="0"/>
          <w:numId w:val="10"/>
        </w:numPr>
        <w:ind w:right="0" w:hanging="360"/>
      </w:pPr>
      <w:r>
        <w:rPr>
          <w:b/>
        </w:rPr>
        <w:t>Self-Reported Measures:</w:t>
      </w:r>
      <w:r>
        <w:t xml:space="preserve"> Variables such as </w:t>
      </w:r>
      <w:proofErr w:type="spellStart"/>
      <w:r>
        <w:rPr>
          <w:i/>
        </w:rPr>
        <w:t>GenHlth</w:t>
      </w:r>
      <w:proofErr w:type="spellEnd"/>
      <w:r>
        <w:t xml:space="preserve"> reflect personal perception and may be influenced by individual bias or recall errors. </w:t>
      </w:r>
    </w:p>
    <w:p w14:paraId="655E77C6" w14:textId="77777777" w:rsidR="00DA1779" w:rsidRDefault="00000000">
      <w:pPr>
        <w:numPr>
          <w:ilvl w:val="0"/>
          <w:numId w:val="10"/>
        </w:numPr>
        <w:ind w:right="0" w:hanging="360"/>
      </w:pPr>
      <w:r>
        <w:rPr>
          <w:b/>
        </w:rPr>
        <w:t>Uncontrolled Confounders:</w:t>
      </w:r>
      <w:r>
        <w:t xml:space="preserve"> The analysis did not explicitly control for factors such as dietary habits, genetic predispositions, or medication use, all of which may influence BMI. </w:t>
      </w:r>
    </w:p>
    <w:p w14:paraId="7425D838" w14:textId="77777777" w:rsidR="00DA1779" w:rsidRDefault="00000000">
      <w:pPr>
        <w:numPr>
          <w:ilvl w:val="0"/>
          <w:numId w:val="10"/>
        </w:numPr>
        <w:ind w:right="0" w:hanging="360"/>
      </w:pPr>
      <w:r>
        <w:rPr>
          <w:b/>
        </w:rPr>
        <w:t>Software Constraints:</w:t>
      </w:r>
      <w:r>
        <w:t xml:space="preserve"> While Excel was useful for initial descriptive and inferential analyses, more advanced statistical techniques (e.g., Tukey’s HSD) required SPSS or Python for robust implementation. </w:t>
      </w:r>
    </w:p>
    <w:p w14:paraId="6AE4CEC2" w14:textId="77777777" w:rsidR="00DA1779" w:rsidRDefault="00000000">
      <w:pPr>
        <w:spacing w:after="50" w:line="259" w:lineRule="auto"/>
        <w:ind w:left="18" w:right="0" w:firstLine="0"/>
        <w:jc w:val="left"/>
      </w:pPr>
      <w:r>
        <w:t xml:space="preserve"> </w:t>
      </w:r>
    </w:p>
    <w:p w14:paraId="66DCD066" w14:textId="77777777" w:rsidR="00DA1779" w:rsidRDefault="00000000">
      <w:pPr>
        <w:spacing w:after="45" w:line="259" w:lineRule="auto"/>
        <w:ind w:left="18" w:right="0" w:firstLine="0"/>
        <w:jc w:val="left"/>
      </w:pPr>
      <w:r>
        <w:t xml:space="preserve"> </w:t>
      </w:r>
    </w:p>
    <w:p w14:paraId="4033D6DC" w14:textId="77777777" w:rsidR="00DA1779" w:rsidRDefault="00000000">
      <w:pPr>
        <w:spacing w:after="50" w:line="259" w:lineRule="auto"/>
        <w:ind w:left="18" w:right="0" w:firstLine="0"/>
        <w:jc w:val="left"/>
      </w:pPr>
      <w:r>
        <w:t xml:space="preserve"> </w:t>
      </w:r>
    </w:p>
    <w:p w14:paraId="1FC68ECA" w14:textId="77777777" w:rsidR="00DA1779" w:rsidRDefault="00000000">
      <w:pPr>
        <w:spacing w:after="298" w:line="259" w:lineRule="auto"/>
        <w:ind w:left="18" w:right="0" w:firstLine="0"/>
        <w:jc w:val="left"/>
      </w:pPr>
      <w:r>
        <w:t xml:space="preserve"> </w:t>
      </w:r>
    </w:p>
    <w:p w14:paraId="1F609F32" w14:textId="77777777" w:rsidR="00DA1779" w:rsidRDefault="00000000">
      <w:pPr>
        <w:pStyle w:val="Heading2"/>
        <w:spacing w:after="214"/>
        <w:ind w:left="373"/>
      </w:pPr>
      <w:r>
        <w:rPr>
          <w:sz w:val="24"/>
        </w:rPr>
        <w:t xml:space="preserve"> </w:t>
      </w:r>
      <w:r>
        <w:t>Conclusion</w:t>
      </w:r>
      <w:r>
        <w:rPr>
          <w:sz w:val="24"/>
        </w:rPr>
        <w:t xml:space="preserve"> </w:t>
      </w:r>
    </w:p>
    <w:p w14:paraId="58C80366" w14:textId="77777777" w:rsidR="00DA1779" w:rsidRDefault="00000000">
      <w:pPr>
        <w:ind w:left="13" w:right="0"/>
      </w:pPr>
      <w:r>
        <w:t xml:space="preserve">This statistical analysis of a large-scale synthetic healthcare dataset demonstrates that the population under study is, on average, </w:t>
      </w:r>
      <w:r>
        <w:rPr>
          <w:b/>
        </w:rPr>
        <w:t>overweight</w:t>
      </w:r>
      <w:r>
        <w:t xml:space="preserve">, highlighting an important public health concern. The findings confirm that BMI is influenced by demographic factors such as gender and, most notably, by </w:t>
      </w:r>
      <w:proofErr w:type="spellStart"/>
      <w:r>
        <w:rPr>
          <w:b/>
        </w:rPr>
        <w:t>selfperceived</w:t>
      </w:r>
      <w:proofErr w:type="spellEnd"/>
      <w:r>
        <w:rPr>
          <w:b/>
        </w:rPr>
        <w:t xml:space="preserve"> general health status</w:t>
      </w:r>
      <w:r>
        <w:t xml:space="preserve">, which showed a strong, consistent relationship with measured BMI. </w:t>
      </w:r>
    </w:p>
    <w:p w14:paraId="0C374FC7" w14:textId="77777777" w:rsidR="00DA1779" w:rsidRDefault="00000000">
      <w:pPr>
        <w:spacing w:after="305"/>
        <w:ind w:left="13" w:right="0"/>
      </w:pPr>
      <w:r>
        <w:t xml:space="preserve">These results reinforce BMI’s role as a </w:t>
      </w:r>
      <w:r>
        <w:rPr>
          <w:b/>
        </w:rPr>
        <w:t>critical health indicator</w:t>
      </w:r>
      <w:r>
        <w:t xml:space="preserve"> and provide evidence supporting targeted public health strategies. Moreover, the analysis lays the groundwork for applying </w:t>
      </w:r>
      <w:r>
        <w:rPr>
          <w:b/>
        </w:rPr>
        <w:t>predictive modeling and machine learning approaches</w:t>
      </w:r>
      <w:r>
        <w:t xml:space="preserve"> to better understand and forecast the impact of lifestyle and demographic variables on chronic disease risk. </w:t>
      </w:r>
    </w:p>
    <w:p w14:paraId="40FC321A" w14:textId="77777777" w:rsidR="00DA1779" w:rsidRDefault="00000000">
      <w:pPr>
        <w:spacing w:after="0" w:line="259" w:lineRule="auto"/>
        <w:ind w:left="18" w:right="0" w:firstLine="0"/>
        <w:jc w:val="left"/>
      </w:pPr>
      <w:r>
        <w:rPr>
          <w:b/>
          <w:sz w:val="31"/>
        </w:rPr>
        <w:t xml:space="preserve"> </w:t>
      </w:r>
    </w:p>
    <w:sectPr w:rsidR="00DA1779">
      <w:headerReference w:type="even" r:id="rId13"/>
      <w:headerReference w:type="default" r:id="rId14"/>
      <w:footerReference w:type="even" r:id="rId15"/>
      <w:footerReference w:type="default" r:id="rId16"/>
      <w:headerReference w:type="first" r:id="rId17"/>
      <w:footerReference w:type="first" r:id="rId18"/>
      <w:pgSz w:w="12240" w:h="15840"/>
      <w:pgMar w:top="1364" w:right="1076" w:bottom="294" w:left="1063" w:header="480" w:footer="4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40DAE" w14:textId="77777777" w:rsidR="00806F83" w:rsidRDefault="00806F83">
      <w:pPr>
        <w:spacing w:after="0" w:line="240" w:lineRule="auto"/>
      </w:pPr>
      <w:r>
        <w:separator/>
      </w:r>
    </w:p>
  </w:endnote>
  <w:endnote w:type="continuationSeparator" w:id="0">
    <w:p w14:paraId="0C651352" w14:textId="77777777" w:rsidR="00806F83" w:rsidRDefault="00806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5C099" w14:textId="77777777" w:rsidR="00DA1779" w:rsidRDefault="00000000">
    <w:pPr>
      <w:spacing w:after="0" w:line="259" w:lineRule="auto"/>
      <w:ind w:left="-1063" w:right="1116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17F3BF2" wp14:editId="692B9ECF">
              <wp:simplePos x="0" y="0"/>
              <wp:positionH relativeFrom="page">
                <wp:posOffset>304800</wp:posOffset>
              </wp:positionH>
              <wp:positionV relativeFrom="page">
                <wp:posOffset>9759391</wp:posOffset>
              </wp:positionV>
              <wp:extent cx="7180835" cy="12192"/>
              <wp:effectExtent l="0" t="0" r="0" b="0"/>
              <wp:wrapSquare wrapText="bothSides"/>
              <wp:docPr id="16123" name="Group 16123"/>
              <wp:cNvGraphicFramePr/>
              <a:graphic xmlns:a="http://schemas.openxmlformats.org/drawingml/2006/main">
                <a:graphicData uri="http://schemas.microsoft.com/office/word/2010/wordprocessingGroup">
                  <wpg:wgp>
                    <wpg:cNvGrpSpPr/>
                    <wpg:grpSpPr>
                      <a:xfrm>
                        <a:off x="0" y="0"/>
                        <a:ext cx="7180835" cy="12192"/>
                        <a:chOff x="0" y="0"/>
                        <a:chExt cx="7180835" cy="12192"/>
                      </a:xfrm>
                    </wpg:grpSpPr>
                    <wps:wsp>
                      <wps:cNvPr id="16674" name="Shape 1667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5" name="Shape 16675"/>
                      <wps:cNvSpPr/>
                      <wps:spPr>
                        <a:xfrm>
                          <a:off x="12192" y="0"/>
                          <a:ext cx="7156450" cy="12192"/>
                        </a:xfrm>
                        <a:custGeom>
                          <a:avLst/>
                          <a:gdLst/>
                          <a:ahLst/>
                          <a:cxnLst/>
                          <a:rect l="0" t="0" r="0" b="0"/>
                          <a:pathLst>
                            <a:path w="7156450" h="12192">
                              <a:moveTo>
                                <a:pt x="0" y="0"/>
                              </a:moveTo>
                              <a:lnTo>
                                <a:pt x="7156450" y="0"/>
                              </a:lnTo>
                              <a:lnTo>
                                <a:pt x="71564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6" name="Shape 16676"/>
                      <wps:cNvSpPr/>
                      <wps:spPr>
                        <a:xfrm>
                          <a:off x="71686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23" style="width:565.42pt;height:0.960022pt;position:absolute;mso-position-horizontal-relative:page;mso-position-horizontal:absolute;margin-left:24pt;mso-position-vertical-relative:page;margin-top:768.456pt;" coordsize="71808,121">
              <v:shape id="Shape 16677" style="position:absolute;width:121;height:121;left:0;top:0;" coordsize="12192,12192" path="m0,0l12192,0l12192,12192l0,12192l0,0">
                <v:stroke weight="0pt" endcap="flat" joinstyle="miter" miterlimit="10" on="false" color="#000000" opacity="0"/>
                <v:fill on="true" color="#000000"/>
              </v:shape>
              <v:shape id="Shape 16678" style="position:absolute;width:71564;height:121;left:121;top:0;" coordsize="7156450,12192" path="m0,0l7156450,0l7156450,12192l0,12192l0,0">
                <v:stroke weight="0pt" endcap="flat" joinstyle="miter" miterlimit="10" on="false" color="#000000" opacity="0"/>
                <v:fill on="true" color="#000000"/>
              </v:shape>
              <v:shape id="Shape 16679" style="position:absolute;width:121;height:121;left:71686;top:0;" coordsize="12192,12192" path="m0,0l12192,0l12192,12192l0,1219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BD1EA" w14:textId="77777777" w:rsidR="00DA1779" w:rsidRDefault="00000000">
    <w:pPr>
      <w:spacing w:after="0" w:line="259" w:lineRule="auto"/>
      <w:ind w:left="-1063" w:right="1116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9785A9E" wp14:editId="29393D0F">
              <wp:simplePos x="0" y="0"/>
              <wp:positionH relativeFrom="page">
                <wp:posOffset>304800</wp:posOffset>
              </wp:positionH>
              <wp:positionV relativeFrom="page">
                <wp:posOffset>9759391</wp:posOffset>
              </wp:positionV>
              <wp:extent cx="7180835" cy="12192"/>
              <wp:effectExtent l="0" t="0" r="0" b="0"/>
              <wp:wrapSquare wrapText="bothSides"/>
              <wp:docPr id="16104" name="Group 16104"/>
              <wp:cNvGraphicFramePr/>
              <a:graphic xmlns:a="http://schemas.openxmlformats.org/drawingml/2006/main">
                <a:graphicData uri="http://schemas.microsoft.com/office/word/2010/wordprocessingGroup">
                  <wpg:wgp>
                    <wpg:cNvGrpSpPr/>
                    <wpg:grpSpPr>
                      <a:xfrm>
                        <a:off x="0" y="0"/>
                        <a:ext cx="7180835" cy="12192"/>
                        <a:chOff x="0" y="0"/>
                        <a:chExt cx="7180835" cy="12192"/>
                      </a:xfrm>
                    </wpg:grpSpPr>
                    <wps:wsp>
                      <wps:cNvPr id="16668" name="Shape 1666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9" name="Shape 16669"/>
                      <wps:cNvSpPr/>
                      <wps:spPr>
                        <a:xfrm>
                          <a:off x="12192" y="0"/>
                          <a:ext cx="7156450" cy="12192"/>
                        </a:xfrm>
                        <a:custGeom>
                          <a:avLst/>
                          <a:gdLst/>
                          <a:ahLst/>
                          <a:cxnLst/>
                          <a:rect l="0" t="0" r="0" b="0"/>
                          <a:pathLst>
                            <a:path w="7156450" h="12192">
                              <a:moveTo>
                                <a:pt x="0" y="0"/>
                              </a:moveTo>
                              <a:lnTo>
                                <a:pt x="7156450" y="0"/>
                              </a:lnTo>
                              <a:lnTo>
                                <a:pt x="71564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0" name="Shape 16670"/>
                      <wps:cNvSpPr/>
                      <wps:spPr>
                        <a:xfrm>
                          <a:off x="71686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04" style="width:565.42pt;height:0.960022pt;position:absolute;mso-position-horizontal-relative:page;mso-position-horizontal:absolute;margin-left:24pt;mso-position-vertical-relative:page;margin-top:768.456pt;" coordsize="71808,121">
              <v:shape id="Shape 16671" style="position:absolute;width:121;height:121;left:0;top:0;" coordsize="12192,12192" path="m0,0l12192,0l12192,12192l0,12192l0,0">
                <v:stroke weight="0pt" endcap="flat" joinstyle="miter" miterlimit="10" on="false" color="#000000" opacity="0"/>
                <v:fill on="true" color="#000000"/>
              </v:shape>
              <v:shape id="Shape 16672" style="position:absolute;width:71564;height:121;left:121;top:0;" coordsize="7156450,12192" path="m0,0l7156450,0l7156450,12192l0,12192l0,0">
                <v:stroke weight="0pt" endcap="flat" joinstyle="miter" miterlimit="10" on="false" color="#000000" opacity="0"/>
                <v:fill on="true" color="#000000"/>
              </v:shape>
              <v:shape id="Shape 16673" style="position:absolute;width:121;height:121;left:71686;top:0;" coordsize="12192,12192" path="m0,0l12192,0l12192,12192l0,1219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8E0D7" w14:textId="77777777" w:rsidR="00DA1779" w:rsidRDefault="00000000">
    <w:pPr>
      <w:spacing w:after="0" w:line="259" w:lineRule="auto"/>
      <w:ind w:left="-1063" w:right="1116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E3412B4" wp14:editId="0EBE7715">
              <wp:simplePos x="0" y="0"/>
              <wp:positionH relativeFrom="page">
                <wp:posOffset>304800</wp:posOffset>
              </wp:positionH>
              <wp:positionV relativeFrom="page">
                <wp:posOffset>9759391</wp:posOffset>
              </wp:positionV>
              <wp:extent cx="7180835" cy="12192"/>
              <wp:effectExtent l="0" t="0" r="0" b="0"/>
              <wp:wrapSquare wrapText="bothSides"/>
              <wp:docPr id="16085" name="Group 16085"/>
              <wp:cNvGraphicFramePr/>
              <a:graphic xmlns:a="http://schemas.openxmlformats.org/drawingml/2006/main">
                <a:graphicData uri="http://schemas.microsoft.com/office/word/2010/wordprocessingGroup">
                  <wpg:wgp>
                    <wpg:cNvGrpSpPr/>
                    <wpg:grpSpPr>
                      <a:xfrm>
                        <a:off x="0" y="0"/>
                        <a:ext cx="7180835" cy="12192"/>
                        <a:chOff x="0" y="0"/>
                        <a:chExt cx="7180835" cy="12192"/>
                      </a:xfrm>
                    </wpg:grpSpPr>
                    <wps:wsp>
                      <wps:cNvPr id="16662" name="Shape 1666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3" name="Shape 16663"/>
                      <wps:cNvSpPr/>
                      <wps:spPr>
                        <a:xfrm>
                          <a:off x="12192" y="0"/>
                          <a:ext cx="7156450" cy="12192"/>
                        </a:xfrm>
                        <a:custGeom>
                          <a:avLst/>
                          <a:gdLst/>
                          <a:ahLst/>
                          <a:cxnLst/>
                          <a:rect l="0" t="0" r="0" b="0"/>
                          <a:pathLst>
                            <a:path w="7156450" h="12192">
                              <a:moveTo>
                                <a:pt x="0" y="0"/>
                              </a:moveTo>
                              <a:lnTo>
                                <a:pt x="7156450" y="0"/>
                              </a:lnTo>
                              <a:lnTo>
                                <a:pt x="71564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4" name="Shape 16664"/>
                      <wps:cNvSpPr/>
                      <wps:spPr>
                        <a:xfrm>
                          <a:off x="71686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85" style="width:565.42pt;height:0.960022pt;position:absolute;mso-position-horizontal-relative:page;mso-position-horizontal:absolute;margin-left:24pt;mso-position-vertical-relative:page;margin-top:768.456pt;" coordsize="71808,121">
              <v:shape id="Shape 16665" style="position:absolute;width:121;height:121;left:0;top:0;" coordsize="12192,12192" path="m0,0l12192,0l12192,12192l0,12192l0,0">
                <v:stroke weight="0pt" endcap="flat" joinstyle="miter" miterlimit="10" on="false" color="#000000" opacity="0"/>
                <v:fill on="true" color="#000000"/>
              </v:shape>
              <v:shape id="Shape 16666" style="position:absolute;width:71564;height:121;left:121;top:0;" coordsize="7156450,12192" path="m0,0l7156450,0l7156450,12192l0,12192l0,0">
                <v:stroke weight="0pt" endcap="flat" joinstyle="miter" miterlimit="10" on="false" color="#000000" opacity="0"/>
                <v:fill on="true" color="#000000"/>
              </v:shape>
              <v:shape id="Shape 16667" style="position:absolute;width:121;height:121;left:71686;top:0;" coordsize="12192,12192" path="m0,0l12192,0l12192,12192l0,1219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16B46" w14:textId="77777777" w:rsidR="00806F83" w:rsidRDefault="00806F83">
      <w:pPr>
        <w:spacing w:after="0" w:line="240" w:lineRule="auto"/>
      </w:pPr>
      <w:r>
        <w:separator/>
      </w:r>
    </w:p>
  </w:footnote>
  <w:footnote w:type="continuationSeparator" w:id="0">
    <w:p w14:paraId="2C0D0A1A" w14:textId="77777777" w:rsidR="00806F83" w:rsidRDefault="00806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628E0" w14:textId="77777777" w:rsidR="00DA1779" w:rsidRDefault="00000000">
    <w:pPr>
      <w:spacing w:after="0" w:line="259" w:lineRule="auto"/>
      <w:ind w:left="-1063" w:right="1116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0521FF8" wp14:editId="29A13C5F">
              <wp:simplePos x="0" y="0"/>
              <wp:positionH relativeFrom="page">
                <wp:posOffset>304800</wp:posOffset>
              </wp:positionH>
              <wp:positionV relativeFrom="page">
                <wp:posOffset>304800</wp:posOffset>
              </wp:positionV>
              <wp:extent cx="7180835" cy="12192"/>
              <wp:effectExtent l="0" t="0" r="0" b="0"/>
              <wp:wrapSquare wrapText="bothSides"/>
              <wp:docPr id="16112" name="Group 16112"/>
              <wp:cNvGraphicFramePr/>
              <a:graphic xmlns:a="http://schemas.openxmlformats.org/drawingml/2006/main">
                <a:graphicData uri="http://schemas.microsoft.com/office/word/2010/wordprocessingGroup">
                  <wpg:wgp>
                    <wpg:cNvGrpSpPr/>
                    <wpg:grpSpPr>
                      <a:xfrm>
                        <a:off x="0" y="0"/>
                        <a:ext cx="7180835" cy="12192"/>
                        <a:chOff x="0" y="0"/>
                        <a:chExt cx="7180835" cy="12192"/>
                      </a:xfrm>
                    </wpg:grpSpPr>
                    <wps:wsp>
                      <wps:cNvPr id="16652" name="Shape 1665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3" name="Shape 16653"/>
                      <wps:cNvSpPr/>
                      <wps:spPr>
                        <a:xfrm>
                          <a:off x="12192" y="0"/>
                          <a:ext cx="7156450" cy="12192"/>
                        </a:xfrm>
                        <a:custGeom>
                          <a:avLst/>
                          <a:gdLst/>
                          <a:ahLst/>
                          <a:cxnLst/>
                          <a:rect l="0" t="0" r="0" b="0"/>
                          <a:pathLst>
                            <a:path w="7156450" h="12192">
                              <a:moveTo>
                                <a:pt x="0" y="0"/>
                              </a:moveTo>
                              <a:lnTo>
                                <a:pt x="7156450" y="0"/>
                              </a:lnTo>
                              <a:lnTo>
                                <a:pt x="71564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4" name="Shape 16654"/>
                      <wps:cNvSpPr/>
                      <wps:spPr>
                        <a:xfrm>
                          <a:off x="71686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12" style="width:565.42pt;height:0.960022pt;position:absolute;mso-position-horizontal-relative:page;mso-position-horizontal:absolute;margin-left:24pt;mso-position-vertical-relative:page;margin-top:24pt;" coordsize="71808,121">
              <v:shape id="Shape 16655" style="position:absolute;width:121;height:121;left:0;top:0;" coordsize="12192,12192" path="m0,0l12192,0l12192,12192l0,12192l0,0">
                <v:stroke weight="0pt" endcap="flat" joinstyle="miter" miterlimit="10" on="false" color="#000000" opacity="0"/>
                <v:fill on="true" color="#000000"/>
              </v:shape>
              <v:shape id="Shape 16656" style="position:absolute;width:71564;height:121;left:121;top:0;" coordsize="7156450,12192" path="m0,0l7156450,0l7156450,12192l0,12192l0,0">
                <v:stroke weight="0pt" endcap="flat" joinstyle="miter" miterlimit="10" on="false" color="#000000" opacity="0"/>
                <v:fill on="true" color="#000000"/>
              </v:shape>
              <v:shape id="Shape 16657" style="position:absolute;width:121;height:121;left:71686;top:0;" coordsize="12192,12192" path="m0,0l12192,0l12192,12192l0,12192l0,0">
                <v:stroke weight="0pt" endcap="flat" joinstyle="miter" miterlimit="10" on="false" color="#000000" opacity="0"/>
                <v:fill on="true" color="#000000"/>
              </v:shape>
              <w10:wrap type="square"/>
            </v:group>
          </w:pict>
        </mc:Fallback>
      </mc:AlternateContent>
    </w:r>
  </w:p>
  <w:p w14:paraId="1C9AE2A8" w14:textId="77777777" w:rsidR="00DA177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995C2BC" wp14:editId="715C5EF1">
              <wp:simplePos x="0" y="0"/>
              <wp:positionH relativeFrom="page">
                <wp:posOffset>304800</wp:posOffset>
              </wp:positionH>
              <wp:positionV relativeFrom="page">
                <wp:posOffset>316941</wp:posOffset>
              </wp:positionV>
              <wp:extent cx="7180835" cy="9442450"/>
              <wp:effectExtent l="0" t="0" r="0" b="0"/>
              <wp:wrapNone/>
              <wp:docPr id="16116" name="Group 16116"/>
              <wp:cNvGraphicFramePr/>
              <a:graphic xmlns:a="http://schemas.openxmlformats.org/drawingml/2006/main">
                <a:graphicData uri="http://schemas.microsoft.com/office/word/2010/wordprocessingGroup">
                  <wpg:wgp>
                    <wpg:cNvGrpSpPr/>
                    <wpg:grpSpPr>
                      <a:xfrm>
                        <a:off x="0" y="0"/>
                        <a:ext cx="7180835" cy="9442450"/>
                        <a:chOff x="0" y="0"/>
                        <a:chExt cx="7180835" cy="9442450"/>
                      </a:xfrm>
                    </wpg:grpSpPr>
                    <wps:wsp>
                      <wps:cNvPr id="16658" name="Shape 16658"/>
                      <wps:cNvSpPr/>
                      <wps:spPr>
                        <a:xfrm>
                          <a:off x="0" y="0"/>
                          <a:ext cx="12192" cy="9442450"/>
                        </a:xfrm>
                        <a:custGeom>
                          <a:avLst/>
                          <a:gdLst/>
                          <a:ahLst/>
                          <a:cxnLst/>
                          <a:rect l="0" t="0" r="0" b="0"/>
                          <a:pathLst>
                            <a:path w="12192" h="9442450">
                              <a:moveTo>
                                <a:pt x="0" y="0"/>
                              </a:moveTo>
                              <a:lnTo>
                                <a:pt x="12192" y="0"/>
                              </a:lnTo>
                              <a:lnTo>
                                <a:pt x="12192" y="9442450"/>
                              </a:lnTo>
                              <a:lnTo>
                                <a:pt x="0" y="944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9" name="Shape 16659"/>
                      <wps:cNvSpPr/>
                      <wps:spPr>
                        <a:xfrm>
                          <a:off x="7168643" y="0"/>
                          <a:ext cx="12192" cy="9442450"/>
                        </a:xfrm>
                        <a:custGeom>
                          <a:avLst/>
                          <a:gdLst/>
                          <a:ahLst/>
                          <a:cxnLst/>
                          <a:rect l="0" t="0" r="0" b="0"/>
                          <a:pathLst>
                            <a:path w="12192" h="9442450">
                              <a:moveTo>
                                <a:pt x="0" y="0"/>
                              </a:moveTo>
                              <a:lnTo>
                                <a:pt x="12192" y="0"/>
                              </a:lnTo>
                              <a:lnTo>
                                <a:pt x="12192" y="9442450"/>
                              </a:lnTo>
                              <a:lnTo>
                                <a:pt x="0" y="944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16" style="width:565.42pt;height:743.5pt;position:absolute;z-index:-2147483648;mso-position-horizontal-relative:page;mso-position-horizontal:absolute;margin-left:24pt;mso-position-vertical-relative:page;margin-top:24.956pt;" coordsize="71808,94424">
              <v:shape id="Shape 16660" style="position:absolute;width:121;height:94424;left:0;top:0;" coordsize="12192,9442450" path="m0,0l12192,0l12192,9442450l0,9442450l0,0">
                <v:stroke weight="0pt" endcap="flat" joinstyle="miter" miterlimit="10" on="false" color="#000000" opacity="0"/>
                <v:fill on="true" color="#000000"/>
              </v:shape>
              <v:shape id="Shape 16661" style="position:absolute;width:121;height:94424;left:71686;top:0;" coordsize="12192,9442450" path="m0,0l12192,0l12192,9442450l0,944245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B43A" w14:textId="77777777" w:rsidR="00DA1779" w:rsidRDefault="00000000">
    <w:pPr>
      <w:spacing w:after="0" w:line="259" w:lineRule="auto"/>
      <w:ind w:left="-1063" w:right="1116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FB329AD" wp14:editId="1752C1DE">
              <wp:simplePos x="0" y="0"/>
              <wp:positionH relativeFrom="page">
                <wp:posOffset>304800</wp:posOffset>
              </wp:positionH>
              <wp:positionV relativeFrom="page">
                <wp:posOffset>304800</wp:posOffset>
              </wp:positionV>
              <wp:extent cx="7180835" cy="12192"/>
              <wp:effectExtent l="0" t="0" r="0" b="0"/>
              <wp:wrapSquare wrapText="bothSides"/>
              <wp:docPr id="16093" name="Group 16093"/>
              <wp:cNvGraphicFramePr/>
              <a:graphic xmlns:a="http://schemas.openxmlformats.org/drawingml/2006/main">
                <a:graphicData uri="http://schemas.microsoft.com/office/word/2010/wordprocessingGroup">
                  <wpg:wgp>
                    <wpg:cNvGrpSpPr/>
                    <wpg:grpSpPr>
                      <a:xfrm>
                        <a:off x="0" y="0"/>
                        <a:ext cx="7180835" cy="12192"/>
                        <a:chOff x="0" y="0"/>
                        <a:chExt cx="7180835" cy="12192"/>
                      </a:xfrm>
                    </wpg:grpSpPr>
                    <wps:wsp>
                      <wps:cNvPr id="16642" name="Shape 1664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3" name="Shape 16643"/>
                      <wps:cNvSpPr/>
                      <wps:spPr>
                        <a:xfrm>
                          <a:off x="12192" y="0"/>
                          <a:ext cx="7156450" cy="12192"/>
                        </a:xfrm>
                        <a:custGeom>
                          <a:avLst/>
                          <a:gdLst/>
                          <a:ahLst/>
                          <a:cxnLst/>
                          <a:rect l="0" t="0" r="0" b="0"/>
                          <a:pathLst>
                            <a:path w="7156450" h="12192">
                              <a:moveTo>
                                <a:pt x="0" y="0"/>
                              </a:moveTo>
                              <a:lnTo>
                                <a:pt x="7156450" y="0"/>
                              </a:lnTo>
                              <a:lnTo>
                                <a:pt x="71564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4" name="Shape 16644"/>
                      <wps:cNvSpPr/>
                      <wps:spPr>
                        <a:xfrm>
                          <a:off x="71686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93" style="width:565.42pt;height:0.960022pt;position:absolute;mso-position-horizontal-relative:page;mso-position-horizontal:absolute;margin-left:24pt;mso-position-vertical-relative:page;margin-top:24pt;" coordsize="71808,121">
              <v:shape id="Shape 16645" style="position:absolute;width:121;height:121;left:0;top:0;" coordsize="12192,12192" path="m0,0l12192,0l12192,12192l0,12192l0,0">
                <v:stroke weight="0pt" endcap="flat" joinstyle="miter" miterlimit="10" on="false" color="#000000" opacity="0"/>
                <v:fill on="true" color="#000000"/>
              </v:shape>
              <v:shape id="Shape 16646" style="position:absolute;width:71564;height:121;left:121;top:0;" coordsize="7156450,12192" path="m0,0l7156450,0l7156450,12192l0,12192l0,0">
                <v:stroke weight="0pt" endcap="flat" joinstyle="miter" miterlimit="10" on="false" color="#000000" opacity="0"/>
                <v:fill on="true" color="#000000"/>
              </v:shape>
              <v:shape id="Shape 16647" style="position:absolute;width:121;height:121;left:71686;top:0;" coordsize="12192,12192" path="m0,0l12192,0l12192,12192l0,12192l0,0">
                <v:stroke weight="0pt" endcap="flat" joinstyle="miter" miterlimit="10" on="false" color="#000000" opacity="0"/>
                <v:fill on="true" color="#000000"/>
              </v:shape>
              <w10:wrap type="square"/>
            </v:group>
          </w:pict>
        </mc:Fallback>
      </mc:AlternateContent>
    </w:r>
  </w:p>
  <w:p w14:paraId="24AAB6DD" w14:textId="77777777" w:rsidR="00DA177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CE42A67" wp14:editId="383B9992">
              <wp:simplePos x="0" y="0"/>
              <wp:positionH relativeFrom="page">
                <wp:posOffset>304800</wp:posOffset>
              </wp:positionH>
              <wp:positionV relativeFrom="page">
                <wp:posOffset>316941</wp:posOffset>
              </wp:positionV>
              <wp:extent cx="7180835" cy="9442450"/>
              <wp:effectExtent l="0" t="0" r="0" b="0"/>
              <wp:wrapNone/>
              <wp:docPr id="16097" name="Group 16097"/>
              <wp:cNvGraphicFramePr/>
              <a:graphic xmlns:a="http://schemas.openxmlformats.org/drawingml/2006/main">
                <a:graphicData uri="http://schemas.microsoft.com/office/word/2010/wordprocessingGroup">
                  <wpg:wgp>
                    <wpg:cNvGrpSpPr/>
                    <wpg:grpSpPr>
                      <a:xfrm>
                        <a:off x="0" y="0"/>
                        <a:ext cx="7180835" cy="9442450"/>
                        <a:chOff x="0" y="0"/>
                        <a:chExt cx="7180835" cy="9442450"/>
                      </a:xfrm>
                    </wpg:grpSpPr>
                    <wps:wsp>
                      <wps:cNvPr id="16648" name="Shape 16648"/>
                      <wps:cNvSpPr/>
                      <wps:spPr>
                        <a:xfrm>
                          <a:off x="0" y="0"/>
                          <a:ext cx="12192" cy="9442450"/>
                        </a:xfrm>
                        <a:custGeom>
                          <a:avLst/>
                          <a:gdLst/>
                          <a:ahLst/>
                          <a:cxnLst/>
                          <a:rect l="0" t="0" r="0" b="0"/>
                          <a:pathLst>
                            <a:path w="12192" h="9442450">
                              <a:moveTo>
                                <a:pt x="0" y="0"/>
                              </a:moveTo>
                              <a:lnTo>
                                <a:pt x="12192" y="0"/>
                              </a:lnTo>
                              <a:lnTo>
                                <a:pt x="12192" y="9442450"/>
                              </a:lnTo>
                              <a:lnTo>
                                <a:pt x="0" y="944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9" name="Shape 16649"/>
                      <wps:cNvSpPr/>
                      <wps:spPr>
                        <a:xfrm>
                          <a:off x="7168643" y="0"/>
                          <a:ext cx="12192" cy="9442450"/>
                        </a:xfrm>
                        <a:custGeom>
                          <a:avLst/>
                          <a:gdLst/>
                          <a:ahLst/>
                          <a:cxnLst/>
                          <a:rect l="0" t="0" r="0" b="0"/>
                          <a:pathLst>
                            <a:path w="12192" h="9442450">
                              <a:moveTo>
                                <a:pt x="0" y="0"/>
                              </a:moveTo>
                              <a:lnTo>
                                <a:pt x="12192" y="0"/>
                              </a:lnTo>
                              <a:lnTo>
                                <a:pt x="12192" y="9442450"/>
                              </a:lnTo>
                              <a:lnTo>
                                <a:pt x="0" y="944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97" style="width:565.42pt;height:743.5pt;position:absolute;z-index:-2147483648;mso-position-horizontal-relative:page;mso-position-horizontal:absolute;margin-left:24pt;mso-position-vertical-relative:page;margin-top:24.956pt;" coordsize="71808,94424">
              <v:shape id="Shape 16650" style="position:absolute;width:121;height:94424;left:0;top:0;" coordsize="12192,9442450" path="m0,0l12192,0l12192,9442450l0,9442450l0,0">
                <v:stroke weight="0pt" endcap="flat" joinstyle="miter" miterlimit="10" on="false" color="#000000" opacity="0"/>
                <v:fill on="true" color="#000000"/>
              </v:shape>
              <v:shape id="Shape 16651" style="position:absolute;width:121;height:94424;left:71686;top:0;" coordsize="12192,9442450" path="m0,0l12192,0l12192,9442450l0,944245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D3977" w14:textId="77777777" w:rsidR="00DA1779" w:rsidRDefault="00000000">
    <w:pPr>
      <w:spacing w:after="0" w:line="259" w:lineRule="auto"/>
      <w:ind w:left="-1063" w:right="1116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E8443D" wp14:editId="508E9F31">
              <wp:simplePos x="0" y="0"/>
              <wp:positionH relativeFrom="page">
                <wp:posOffset>304800</wp:posOffset>
              </wp:positionH>
              <wp:positionV relativeFrom="page">
                <wp:posOffset>304800</wp:posOffset>
              </wp:positionV>
              <wp:extent cx="7180835" cy="12192"/>
              <wp:effectExtent l="0" t="0" r="0" b="0"/>
              <wp:wrapSquare wrapText="bothSides"/>
              <wp:docPr id="16074" name="Group 16074"/>
              <wp:cNvGraphicFramePr/>
              <a:graphic xmlns:a="http://schemas.openxmlformats.org/drawingml/2006/main">
                <a:graphicData uri="http://schemas.microsoft.com/office/word/2010/wordprocessingGroup">
                  <wpg:wgp>
                    <wpg:cNvGrpSpPr/>
                    <wpg:grpSpPr>
                      <a:xfrm>
                        <a:off x="0" y="0"/>
                        <a:ext cx="7180835" cy="12192"/>
                        <a:chOff x="0" y="0"/>
                        <a:chExt cx="7180835" cy="12192"/>
                      </a:xfrm>
                    </wpg:grpSpPr>
                    <wps:wsp>
                      <wps:cNvPr id="16632" name="Shape 1663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33" name="Shape 16633"/>
                      <wps:cNvSpPr/>
                      <wps:spPr>
                        <a:xfrm>
                          <a:off x="12192" y="0"/>
                          <a:ext cx="7156450" cy="12192"/>
                        </a:xfrm>
                        <a:custGeom>
                          <a:avLst/>
                          <a:gdLst/>
                          <a:ahLst/>
                          <a:cxnLst/>
                          <a:rect l="0" t="0" r="0" b="0"/>
                          <a:pathLst>
                            <a:path w="7156450" h="12192">
                              <a:moveTo>
                                <a:pt x="0" y="0"/>
                              </a:moveTo>
                              <a:lnTo>
                                <a:pt x="7156450" y="0"/>
                              </a:lnTo>
                              <a:lnTo>
                                <a:pt x="71564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34" name="Shape 16634"/>
                      <wps:cNvSpPr/>
                      <wps:spPr>
                        <a:xfrm>
                          <a:off x="71686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74" style="width:565.42pt;height:0.960022pt;position:absolute;mso-position-horizontal-relative:page;mso-position-horizontal:absolute;margin-left:24pt;mso-position-vertical-relative:page;margin-top:24pt;" coordsize="71808,121">
              <v:shape id="Shape 16635" style="position:absolute;width:121;height:121;left:0;top:0;" coordsize="12192,12192" path="m0,0l12192,0l12192,12192l0,12192l0,0">
                <v:stroke weight="0pt" endcap="flat" joinstyle="miter" miterlimit="10" on="false" color="#000000" opacity="0"/>
                <v:fill on="true" color="#000000"/>
              </v:shape>
              <v:shape id="Shape 16636" style="position:absolute;width:71564;height:121;left:121;top:0;" coordsize="7156450,12192" path="m0,0l7156450,0l7156450,12192l0,12192l0,0">
                <v:stroke weight="0pt" endcap="flat" joinstyle="miter" miterlimit="10" on="false" color="#000000" opacity="0"/>
                <v:fill on="true" color="#000000"/>
              </v:shape>
              <v:shape id="Shape 16637" style="position:absolute;width:121;height:121;left:71686;top:0;" coordsize="12192,12192" path="m0,0l12192,0l12192,12192l0,12192l0,0">
                <v:stroke weight="0pt" endcap="flat" joinstyle="miter" miterlimit="10" on="false" color="#000000" opacity="0"/>
                <v:fill on="true" color="#000000"/>
              </v:shape>
              <w10:wrap type="square"/>
            </v:group>
          </w:pict>
        </mc:Fallback>
      </mc:AlternateContent>
    </w:r>
  </w:p>
  <w:p w14:paraId="0F626B0B" w14:textId="77777777" w:rsidR="00DA177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A7DFC23" wp14:editId="1E3E7C52">
              <wp:simplePos x="0" y="0"/>
              <wp:positionH relativeFrom="page">
                <wp:posOffset>304800</wp:posOffset>
              </wp:positionH>
              <wp:positionV relativeFrom="page">
                <wp:posOffset>316941</wp:posOffset>
              </wp:positionV>
              <wp:extent cx="7180835" cy="9442450"/>
              <wp:effectExtent l="0" t="0" r="0" b="0"/>
              <wp:wrapNone/>
              <wp:docPr id="16078" name="Group 16078"/>
              <wp:cNvGraphicFramePr/>
              <a:graphic xmlns:a="http://schemas.openxmlformats.org/drawingml/2006/main">
                <a:graphicData uri="http://schemas.microsoft.com/office/word/2010/wordprocessingGroup">
                  <wpg:wgp>
                    <wpg:cNvGrpSpPr/>
                    <wpg:grpSpPr>
                      <a:xfrm>
                        <a:off x="0" y="0"/>
                        <a:ext cx="7180835" cy="9442450"/>
                        <a:chOff x="0" y="0"/>
                        <a:chExt cx="7180835" cy="9442450"/>
                      </a:xfrm>
                    </wpg:grpSpPr>
                    <wps:wsp>
                      <wps:cNvPr id="16638" name="Shape 16638"/>
                      <wps:cNvSpPr/>
                      <wps:spPr>
                        <a:xfrm>
                          <a:off x="0" y="0"/>
                          <a:ext cx="12192" cy="9442450"/>
                        </a:xfrm>
                        <a:custGeom>
                          <a:avLst/>
                          <a:gdLst/>
                          <a:ahLst/>
                          <a:cxnLst/>
                          <a:rect l="0" t="0" r="0" b="0"/>
                          <a:pathLst>
                            <a:path w="12192" h="9442450">
                              <a:moveTo>
                                <a:pt x="0" y="0"/>
                              </a:moveTo>
                              <a:lnTo>
                                <a:pt x="12192" y="0"/>
                              </a:lnTo>
                              <a:lnTo>
                                <a:pt x="12192" y="9442450"/>
                              </a:lnTo>
                              <a:lnTo>
                                <a:pt x="0" y="944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39" name="Shape 16639"/>
                      <wps:cNvSpPr/>
                      <wps:spPr>
                        <a:xfrm>
                          <a:off x="7168643" y="0"/>
                          <a:ext cx="12192" cy="9442450"/>
                        </a:xfrm>
                        <a:custGeom>
                          <a:avLst/>
                          <a:gdLst/>
                          <a:ahLst/>
                          <a:cxnLst/>
                          <a:rect l="0" t="0" r="0" b="0"/>
                          <a:pathLst>
                            <a:path w="12192" h="9442450">
                              <a:moveTo>
                                <a:pt x="0" y="0"/>
                              </a:moveTo>
                              <a:lnTo>
                                <a:pt x="12192" y="0"/>
                              </a:lnTo>
                              <a:lnTo>
                                <a:pt x="12192" y="9442450"/>
                              </a:lnTo>
                              <a:lnTo>
                                <a:pt x="0" y="9442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78" style="width:565.42pt;height:743.5pt;position:absolute;z-index:-2147483648;mso-position-horizontal-relative:page;mso-position-horizontal:absolute;margin-left:24pt;mso-position-vertical-relative:page;margin-top:24.956pt;" coordsize="71808,94424">
              <v:shape id="Shape 16640" style="position:absolute;width:121;height:94424;left:0;top:0;" coordsize="12192,9442450" path="m0,0l12192,0l12192,9442450l0,9442450l0,0">
                <v:stroke weight="0pt" endcap="flat" joinstyle="miter" miterlimit="10" on="false" color="#000000" opacity="0"/>
                <v:fill on="true" color="#000000"/>
              </v:shape>
              <v:shape id="Shape 16641" style="position:absolute;width:121;height:94424;left:71686;top:0;" coordsize="12192,9442450" path="m0,0l12192,0l12192,9442450l0,944245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5391"/>
    <w:multiLevelType w:val="hybridMultilevel"/>
    <w:tmpl w:val="6E6461B4"/>
    <w:lvl w:ilvl="0" w:tplc="B6A0A840">
      <w:start w:val="1"/>
      <w:numFmt w:val="bullet"/>
      <w:lvlText w:val="•"/>
      <w:lvlJc w:val="left"/>
      <w:pPr>
        <w:ind w:left="1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5C5D5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4E06D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1A3D2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F0017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8A325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E0B91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FC84B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8596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385703"/>
    <w:multiLevelType w:val="hybridMultilevel"/>
    <w:tmpl w:val="88EE7D1C"/>
    <w:lvl w:ilvl="0" w:tplc="1B922AF4">
      <w:start w:val="1"/>
      <w:numFmt w:val="lowerLetter"/>
      <w:lvlText w:val="%1."/>
      <w:lvlJc w:val="left"/>
      <w:pPr>
        <w:ind w:left="1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22F26E">
      <w:start w:val="1"/>
      <w:numFmt w:val="lowerLetter"/>
      <w:lvlText w:val="%2"/>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F46A86">
      <w:start w:val="1"/>
      <w:numFmt w:val="lowerRoman"/>
      <w:lvlText w:val="%3"/>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F8D086">
      <w:start w:val="1"/>
      <w:numFmt w:val="decimal"/>
      <w:lvlText w:val="%4"/>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165790">
      <w:start w:val="1"/>
      <w:numFmt w:val="lowerLetter"/>
      <w:lvlText w:val="%5"/>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9AABF8">
      <w:start w:val="1"/>
      <w:numFmt w:val="lowerRoman"/>
      <w:lvlText w:val="%6"/>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FEBA0C">
      <w:start w:val="1"/>
      <w:numFmt w:val="decimal"/>
      <w:lvlText w:val="%7"/>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4CC1C4">
      <w:start w:val="1"/>
      <w:numFmt w:val="lowerLetter"/>
      <w:lvlText w:val="%8"/>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88357C">
      <w:start w:val="1"/>
      <w:numFmt w:val="lowerRoman"/>
      <w:lvlText w:val="%9"/>
      <w:lvlJc w:val="left"/>
      <w:pPr>
        <w:ind w:left="7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A350FA"/>
    <w:multiLevelType w:val="hybridMultilevel"/>
    <w:tmpl w:val="BEFAEDCA"/>
    <w:lvl w:ilvl="0" w:tplc="F93C4028">
      <w:start w:val="1"/>
      <w:numFmt w:val="decimal"/>
      <w:lvlText w:val="%1."/>
      <w:lvlJc w:val="left"/>
      <w:pPr>
        <w:ind w:left="1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4AE800">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DEBB48">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24A70A">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FC583E">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D0634C">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4A54C2">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F025B4">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09C28">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E03A56"/>
    <w:multiLevelType w:val="hybridMultilevel"/>
    <w:tmpl w:val="7CB484B2"/>
    <w:lvl w:ilvl="0" w:tplc="10B667B2">
      <w:start w:val="1"/>
      <w:numFmt w:val="bullet"/>
      <w:lvlText w:val="•"/>
      <w:lvlJc w:val="left"/>
      <w:pPr>
        <w:ind w:left="1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5AFEA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9C47E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1250C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22533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8AA45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2ED02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081F9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3A33E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A2194E"/>
    <w:multiLevelType w:val="hybridMultilevel"/>
    <w:tmpl w:val="E44A8690"/>
    <w:lvl w:ilvl="0" w:tplc="AE580636">
      <w:start w:val="1"/>
      <w:numFmt w:val="lowerLetter"/>
      <w:lvlText w:val="%1."/>
      <w:lvlJc w:val="left"/>
      <w:pPr>
        <w:ind w:left="1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7CE122">
      <w:start w:val="1"/>
      <w:numFmt w:val="lowerLetter"/>
      <w:lvlText w:val="%2"/>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66EFE4">
      <w:start w:val="1"/>
      <w:numFmt w:val="lowerRoman"/>
      <w:lvlText w:val="%3"/>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20CA96">
      <w:start w:val="1"/>
      <w:numFmt w:val="decimal"/>
      <w:lvlText w:val="%4"/>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EA7C4E">
      <w:start w:val="1"/>
      <w:numFmt w:val="lowerLetter"/>
      <w:lvlText w:val="%5"/>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806F10">
      <w:start w:val="1"/>
      <w:numFmt w:val="lowerRoman"/>
      <w:lvlText w:val="%6"/>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16426E">
      <w:start w:val="1"/>
      <w:numFmt w:val="decimal"/>
      <w:lvlText w:val="%7"/>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481ACC">
      <w:start w:val="1"/>
      <w:numFmt w:val="lowerLetter"/>
      <w:lvlText w:val="%8"/>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1E5776">
      <w:start w:val="1"/>
      <w:numFmt w:val="lowerRoman"/>
      <w:lvlText w:val="%9"/>
      <w:lvlJc w:val="left"/>
      <w:pPr>
        <w:ind w:left="7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285D07"/>
    <w:multiLevelType w:val="hybridMultilevel"/>
    <w:tmpl w:val="48C63396"/>
    <w:lvl w:ilvl="0" w:tplc="6DC450D6">
      <w:start w:val="1"/>
      <w:numFmt w:val="decimal"/>
      <w:lvlText w:val="%1."/>
      <w:lvlJc w:val="left"/>
      <w:pPr>
        <w:ind w:left="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D86E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9EA4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12EA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CAB3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8A5A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E0A4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2AB8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9C9D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8A2248"/>
    <w:multiLevelType w:val="hybridMultilevel"/>
    <w:tmpl w:val="9C561802"/>
    <w:lvl w:ilvl="0" w:tplc="83082E96">
      <w:start w:val="1"/>
      <w:numFmt w:val="lowerLetter"/>
      <w:lvlText w:val="%1."/>
      <w:lvlJc w:val="left"/>
      <w:pPr>
        <w:ind w:left="1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88763E">
      <w:start w:val="1"/>
      <w:numFmt w:val="lowerLetter"/>
      <w:lvlText w:val="%2"/>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7C5CAC">
      <w:start w:val="1"/>
      <w:numFmt w:val="lowerRoman"/>
      <w:lvlText w:val="%3"/>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BCA142">
      <w:start w:val="1"/>
      <w:numFmt w:val="decimal"/>
      <w:lvlText w:val="%4"/>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D827F2">
      <w:start w:val="1"/>
      <w:numFmt w:val="lowerLetter"/>
      <w:lvlText w:val="%5"/>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AA43EE">
      <w:start w:val="1"/>
      <w:numFmt w:val="lowerRoman"/>
      <w:lvlText w:val="%6"/>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C63DB0">
      <w:start w:val="1"/>
      <w:numFmt w:val="decimal"/>
      <w:lvlText w:val="%7"/>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444210">
      <w:start w:val="1"/>
      <w:numFmt w:val="lowerLetter"/>
      <w:lvlText w:val="%8"/>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30BCBA">
      <w:start w:val="1"/>
      <w:numFmt w:val="lowerRoman"/>
      <w:lvlText w:val="%9"/>
      <w:lvlJc w:val="left"/>
      <w:pPr>
        <w:ind w:left="7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0064A6"/>
    <w:multiLevelType w:val="hybridMultilevel"/>
    <w:tmpl w:val="2766FBB0"/>
    <w:lvl w:ilvl="0" w:tplc="260E6F24">
      <w:start w:val="1"/>
      <w:numFmt w:val="bullet"/>
      <w:lvlText w:val="•"/>
      <w:lvlJc w:val="left"/>
      <w:pPr>
        <w:ind w:left="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F422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7668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0E04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346A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0EAB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34FA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DC16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1AE8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F991BA9"/>
    <w:multiLevelType w:val="hybridMultilevel"/>
    <w:tmpl w:val="C1625812"/>
    <w:lvl w:ilvl="0" w:tplc="302C6448">
      <w:start w:val="1"/>
      <w:numFmt w:val="bullet"/>
      <w:lvlText w:val="•"/>
      <w:lvlJc w:val="left"/>
      <w:pPr>
        <w:ind w:left="1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18FDA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D6AD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22258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58783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10E53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AECF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A4034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34C2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AEF68ED"/>
    <w:multiLevelType w:val="hybridMultilevel"/>
    <w:tmpl w:val="445AAAE6"/>
    <w:lvl w:ilvl="0" w:tplc="AE384998">
      <w:start w:val="1"/>
      <w:numFmt w:val="lowerLetter"/>
      <w:lvlText w:val="%1."/>
      <w:lvlJc w:val="left"/>
      <w:pPr>
        <w:ind w:left="1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025EA0">
      <w:start w:val="1"/>
      <w:numFmt w:val="lowerLetter"/>
      <w:lvlText w:val="%2"/>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0024E8">
      <w:start w:val="1"/>
      <w:numFmt w:val="lowerRoman"/>
      <w:lvlText w:val="%3"/>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0AAFCC">
      <w:start w:val="1"/>
      <w:numFmt w:val="decimal"/>
      <w:lvlText w:val="%4"/>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761B84">
      <w:start w:val="1"/>
      <w:numFmt w:val="lowerLetter"/>
      <w:lvlText w:val="%5"/>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8AC7BE">
      <w:start w:val="1"/>
      <w:numFmt w:val="lowerRoman"/>
      <w:lvlText w:val="%6"/>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9ECE48">
      <w:start w:val="1"/>
      <w:numFmt w:val="decimal"/>
      <w:lvlText w:val="%7"/>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6A04BC">
      <w:start w:val="1"/>
      <w:numFmt w:val="lowerLetter"/>
      <w:lvlText w:val="%8"/>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D47646">
      <w:start w:val="1"/>
      <w:numFmt w:val="lowerRoman"/>
      <w:lvlText w:val="%9"/>
      <w:lvlJc w:val="left"/>
      <w:pPr>
        <w:ind w:left="7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52799650">
    <w:abstractNumId w:val="2"/>
  </w:num>
  <w:num w:numId="2" w16cid:durableId="1817143491">
    <w:abstractNumId w:val="3"/>
  </w:num>
  <w:num w:numId="3" w16cid:durableId="1535118896">
    <w:abstractNumId w:val="0"/>
  </w:num>
  <w:num w:numId="4" w16cid:durableId="791172627">
    <w:abstractNumId w:val="8"/>
  </w:num>
  <w:num w:numId="5" w16cid:durableId="814877639">
    <w:abstractNumId w:val="7"/>
  </w:num>
  <w:num w:numId="6" w16cid:durableId="355153208">
    <w:abstractNumId w:val="1"/>
  </w:num>
  <w:num w:numId="7" w16cid:durableId="1174102209">
    <w:abstractNumId w:val="6"/>
  </w:num>
  <w:num w:numId="8" w16cid:durableId="1763448216">
    <w:abstractNumId w:val="4"/>
  </w:num>
  <w:num w:numId="9" w16cid:durableId="1781876207">
    <w:abstractNumId w:val="9"/>
  </w:num>
  <w:num w:numId="10" w16cid:durableId="2127499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779"/>
    <w:rsid w:val="005B4CB3"/>
    <w:rsid w:val="006610D4"/>
    <w:rsid w:val="00806F83"/>
    <w:rsid w:val="00860DCC"/>
    <w:rsid w:val="00DA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9C359"/>
  <w15:docId w15:val="{391A3290-666B-C64A-BE06-33DCE3BA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3" w:line="248" w:lineRule="auto"/>
      <w:ind w:left="388" w:right="351"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87" w:line="259" w:lineRule="auto"/>
      <w:ind w:left="388" w:hanging="10"/>
      <w:outlineLvl w:val="0"/>
    </w:pPr>
    <w:rPr>
      <w:rFonts w:ascii="Times New Roman" w:eastAsia="Times New Roman" w:hAnsi="Times New Roman" w:cs="Times New Roman"/>
      <w:b/>
      <w:color w:val="000000"/>
      <w:sz w:val="31"/>
    </w:rPr>
  </w:style>
  <w:style w:type="paragraph" w:styleId="Heading2">
    <w:name w:val="heading 2"/>
    <w:next w:val="Normal"/>
    <w:link w:val="Heading2Char"/>
    <w:uiPriority w:val="9"/>
    <w:unhideWhenUsed/>
    <w:qFormat/>
    <w:pPr>
      <w:keepNext/>
      <w:keepLines/>
      <w:spacing w:after="173" w:line="259" w:lineRule="auto"/>
      <w:ind w:left="388"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14" w:line="259" w:lineRule="auto"/>
      <w:ind w:left="388" w:hanging="10"/>
      <w:outlineLvl w:val="2"/>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1813</Words>
  <Characters>10336</Characters>
  <Application>Microsoft Office Word</Application>
  <DocSecurity>0</DocSecurity>
  <Lines>86</Lines>
  <Paragraphs>24</Paragraphs>
  <ScaleCrop>false</ScaleCrop>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NOSINA (RA2211047010137)</dc:creator>
  <cp:keywords/>
  <cp:lastModifiedBy>KELLEN NOSINA (RA2211047010137)</cp:lastModifiedBy>
  <cp:revision>3</cp:revision>
  <dcterms:created xsi:type="dcterms:W3CDTF">2025-09-23T03:09:00Z</dcterms:created>
  <dcterms:modified xsi:type="dcterms:W3CDTF">2025-09-23T03:10:00Z</dcterms:modified>
</cp:coreProperties>
</file>