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864"/>
          <w:sz w:val="34"/>
          <w:szCs w:val="34"/>
        </w:rPr>
        <w:t xml:space="preserve">NCAA REVENUE, NIL &amp; OUTCOMES</w:t>
      </w:r>
    </w:p>
    <w:p>
      <w:pPr>
        <w:spacing w:after="180"/>
      </w:pPr>
      <w:r>
        <w:rPr>
          <w:color w:val="595959"/>
          <w:sz w:val="19"/>
          <w:szCs w:val="19"/>
        </w:rPr>
        <w:t xml:space="preserve">Zach Keller  ·  Expanded Multi-Sport Analysis  ·  </w:t>
      </w:r>
      <w:r>
        <w:rPr>
          <w:i/>
          <w:iCs/>
          <w:color w:val="595959"/>
          <w:sz w:val="19"/>
          <w:szCs w:val="19"/>
        </w:rPr>
        <w:t xml:space="preserve">github.com/kellerzachary117/ncaa-revenue-analysis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Overview</w:t>
      </w:r>
    </w:p>
    <w:p>
      <w:pPr>
        <w:spacing w:after="100" w:line="264"/>
      </w:pPr>
      <w:r>
        <w:rPr>
          <w:sz w:val="20"/>
          <w:szCs w:val="20"/>
        </w:rPr>
        <w:t xml:space="preserve">An expanded follow-on to the original 30-school NCAA Revenue Allocation Analysis: the full population of Power 4 + Pac-12-remnant conference schools, plus 13 non-P5 schools known for prominent basketball or other-sport programs, tested across four sports (football, basketball, volleyball, and a men's-soccer equalizer for schools without football). Tests whether revenue and NIL valuation predict wins and graduation outcomes, and whether the answer differs by sport.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Schools Analyzed: 83 schools, 249 school-sport rows</w:t>
      </w:r>
    </w:p>
    <w:p>
      <w:pPr>
        <w:spacing w:after="100" w:line="264"/>
      </w:pPr>
      <w:r>
        <w:rPr>
          <w:sz w:val="20"/>
          <w:szCs w:val="20"/>
        </w:rPr>
        <w:t xml:space="preserve">Full population, not a sample, across the conferences below. "Power 5" is used loosely here: the historical Pac-12 dissolved to a 2-school remnant by 2024-25, and the newly announced Pac-12 doesn't launch until 2026-27, after this project's data window.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rPr>
          <w:tblHeader/>
        </w:trPr>
        <w:tc>
          <w:tcPr>
            <w:tcW w:type="dxa" w:w="54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Conference</w:t>
            </w:r>
          </w:p>
        </w:tc>
        <w:tc>
          <w:tcPr>
            <w:tcW w:type="dxa" w:w="27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Schools</w:t>
            </w:r>
          </w:p>
        </w:tc>
        <w:tc>
          <w:tcPr>
            <w:tcW w:type="dxa" w:w="27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Ten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SEC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12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ACC (incl. Notre Dame)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Pac-12 remnant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East (non-football)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West Coast Conference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Summit League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</w:tbl>
    <w:p>
      <w:pPr>
        <w:spacing w:after="40"/>
      </w:pPr>
      <w:r>
        <w:br/>
        <w:t xml:space="preserve"/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Key Findings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Football revenue predicts lower graduation rates. </w:t>
      </w:r>
      <w:r>
        <w:rPr>
          <w:sz w:val="20"/>
          <w:szCs w:val="20"/>
        </w:rPr>
        <w:t xml:space="preserve">Controlling for nothing else, more football revenue significantly predicts a LOWER Graduation Success Rate (coefficient -2.67, p = 0.004), the opposite direction from "more resources helps academics," and a different story from the original 30-school project's finding that it's scholarship-investment share, not raw revenue, that drives outcomes.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Revenue predicts wins, but it depends heavily on the sport. </w:t>
      </w:r>
      <w:r>
        <w:rPr>
          <w:sz w:val="20"/>
          <w:szCs w:val="20"/>
        </w:rPr>
        <w:t xml:space="preserve">Basketball (p &lt; 0.001) and volleyball (p = 0.005) both show real, significant revenue-to-wins relationships. Football's is only marginal (p = 0.075); soccer shows none (small sample).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NIL valuation predicts wins, not grades, and it's concentrated. </w:t>
      </w:r>
      <w:r>
        <w:rPr>
          <w:sz w:val="20"/>
          <w:szCs w:val="20"/>
        </w:rPr>
        <w:t xml:space="preserve">Among schools that actually have a player in On3's national NIL 100, a higher NIL valuation significantly predicts a higher win percentage (p = 0.005), but has no relationship with graduation rate (p = 0.584). Revenue itself strongly predicts whether a school has any NIL-100 presence at all (p &lt; 0.001): NIL visibility concentrates at the schools that are already the wealthiest, it doesn't spread opportunity more evenly.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Real corrections made along the way, not smoothed over. </w:t>
      </w:r>
      <w:r>
        <w:rPr>
          <w:sz w:val="20"/>
          <w:szCs w:val="20"/>
        </w:rPr>
        <w:t xml:space="preserve">Three Big East schools assumed "no football" (Butler, Georgetown, Villanova) actually sponsor real FCS programs, confirmed against the source data and corrected before analysis. A circulating NIL "team rankings" dataset turned out to be from November 2023, not current, and was discarded rather than used.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How It Was Built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Verified the real 2024-25 conference map live (Big Ten, SEC, Big 12, ACC, and a 2-school Pac-12 remnant post-realignment), rather than assuming today's alignment applied retroactively to the data year.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EADA AY2023-24 by-sport revenue, expense, and participant data (the most recent year actually published) for all four sports across all ~2,037 Title IV institutions via the site's live data API, then filtered to the 83-school sample.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Cross-checked football sponsorship against the actual EADA data rather than assuming from conference membership: caught three non-football-assumed schools that really do sponsor FCS football, and confirmed the true no-football group before picking men's soccer as its equalizer sport.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2025-26 season win-loss records from NCAA's official stats site and conference standings sources.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NCAA Graduation Success Rate data (2018 entering cohort) for the full 83-school population using the GSR database's conference+sport combined search, rather than one-by-one lookups.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Sourced NIL valuation from On3's live NIL 100 rankings (football and basketball only), explicitly restricted in the analysis to schools with real NIL-100 presence rather than treating absence as zero spend.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Merged all sources into one school-sport panel and ran the regression models in Python (pandas, statsmodels, robust standard errors).</w:t>
      </w:r>
    </w:p>
    <w:p>
      <w:pPr>
        <w:pStyle w:val="Heading2"/>
        <w:spacing w:after="80" w:before="160"/>
      </w:pPr>
      <w:r>
        <w:rPr>
          <w:b/>
          <w:bCs/>
          <w:color w:val="1F3864"/>
          <w:sz w:val="21"/>
          <w:szCs w:val="21"/>
        </w:rPr>
        <w:t xml:space="preserve">Languages &amp; Tools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Python (pandas, statsmodels): data acquisition, merging, and regression modeling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Git: version control for the full pipeline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Data sources: US Dept. of Education EADA survey; NCAA Graduation Success Rate database; NCAA official statistics; On3 NIL Valuations</w:t>
      </w:r>
    </w:p>
    <w:p>
      <w:pPr>
        <w:pStyle w:val="Heading2"/>
        <w:spacing w:after="80" w:before="160"/>
      </w:pPr>
      <w:r>
        <w:rPr>
          <w:b/>
          <w:bCs/>
          <w:color w:val="1F3864"/>
          <w:sz w:val="21"/>
          <w:szCs w:val="21"/>
        </w:rPr>
        <w:t xml:space="preserve">Presenting This</w:t>
      </w:r>
    </w:p>
    <w:p>
      <w:pPr>
        <w:spacing w:after="100" w:line="264"/>
      </w:pPr>
      <w:r>
        <w:rPr>
          <w:i/>
          <w:iCs/>
          <w:color w:val="595959"/>
          <w:sz w:val="20"/>
          <w:szCs w:val="20"/>
        </w:rPr>
        <w:t xml:space="preserve">Lead with the sport-specific split, not the pooled average: "more money = more wins" is real in basketball and volleyball but weak in football, and football revenue actually predicts worse academic outcomes. Be upfront that the NIL variable is a real but partial proxy (national top-100 presence), not verified spend; nobody publishes that.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2026-08-30T15:36:56.526Z</dcterms:created>
  <dcterms:modified xsi:type="dcterms:W3CDTF">2026-08-30T15:36:56.534Z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