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4"/>
          <w:szCs w:val="34"/>
        </w:rPr>
        <w:t xml:space="preserve">NCAA REVENUE, NIL &amp; OUTCOMES</w:t>
      </w:r>
    </w:p>
    <w:p>
      <w:pPr>
        <w:spacing w:after="180"/>
      </w:pPr>
      <w:r>
        <w:rPr>
          <w:color w:val="595959"/>
          <w:sz w:val="19"/>
          <w:szCs w:val="19"/>
        </w:rPr>
        <w:t xml:space="preserve">Zach Keller  ·  Expanded Multi-Sport Analysis  ·  </w:t>
      </w:r>
      <w:r>
        <w:rPr>
          <w:i/>
          <w:iCs/>
          <w:color w:val="595959"/>
          <w:sz w:val="19"/>
          <w:szCs w:val="19"/>
        </w:rPr>
        <w:t xml:space="preserve">github.com/kellerzachary117/ncaa-revenue-analysis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83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schools analyzed</w:t>
            </w:r>
          </w:p>
        </w:tc>
        <w:tc>
          <w:tcPr>
            <w:tcW w:type="dxa" w:w="27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sports</w:t>
            </w:r>
          </w:p>
        </w:tc>
        <w:tc>
          <w:tcPr>
            <w:tcW w:type="dxa" w:w="27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249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school-sport rows</w:t>
            </w:r>
          </w:p>
        </w:tc>
        <w:tc>
          <w:tcPr>
            <w:tcW w:type="dxa" w:w="27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p=0.009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aid share predicts GSR</w:t>
            </w:r>
          </w:p>
        </w:tc>
      </w:tr>
    </w:tbl>
    <w:p>
      <w:pPr>
        <w:spacing w:after="20"/>
      </w:pPr>
      <w:r>
        <w:br/>
        <w:t xml:space="preserve"/>
      </w:r>
    </w:p>
    <w:p>
      <w:pPr>
        <w:pStyle w:val="Heading1"/>
        <w:pBdr>
          <w:bottom w:val="single" w:color="1F3864" w:sz="6" w:space="4"/>
        </w:pBdr>
        <w:spacing w:after="120" w:before="200"/>
      </w:pPr>
      <w:r>
        <w:rPr>
          <w:b/>
          <w:bCs/>
          <w:color w:val="1F3864"/>
          <w:sz w:val="26"/>
          <w:szCs w:val="26"/>
        </w:rPr>
        <w:t xml:space="preserve">Overview</w:t>
      </w:r>
    </w:p>
    <w:p>
      <w:pPr>
        <w:spacing w:after="100" w:line="264"/>
      </w:pPr>
      <w:r>
        <w:rPr>
          <w:sz w:val="20"/>
          <w:szCs w:val="20"/>
        </w:rPr>
        <w:t xml:space="preserve">An expanded follow-on to the original 30-school NCAA Revenue Allocation Analysis: the full population of Power 4 + Pac-12-remnant conference schools, plus 13 non-P5 schools known for prominent basketball or other-sport programs, tested across four sports (football, basketball, volleyball, and a men's-soccer equalizer for schools without football). Tests whether revenue and NIL valuation predict wins and graduation outcomes, and whether the answer differs by sport.</w:t>
      </w:r>
    </w:p>
    <w:p>
      <w:pPr>
        <w:pStyle w:val="Heading1"/>
        <w:pBdr>
          <w:bottom w:val="single" w:color="1F3864" w:sz="6" w:space="4"/>
        </w:pBdr>
        <w:spacing w:after="120" w:before="200"/>
      </w:pPr>
      <w:r>
        <w:rPr>
          <w:b/>
          <w:bCs/>
          <w:color w:val="1F3864"/>
          <w:sz w:val="26"/>
          <w:szCs w:val="26"/>
        </w:rPr>
        <w:t xml:space="preserve">Schools Analyzed: 83 schools, 249 school-sport rows</w:t>
      </w:r>
    </w:p>
    <w:p>
      <w:pPr>
        <w:spacing w:after="100" w:line="264"/>
      </w:pPr>
      <w:r>
        <w:rPr>
          <w:sz w:val="20"/>
          <w:szCs w:val="20"/>
        </w:rPr>
        <w:t xml:space="preserve">Full population, not a sample, across the conferences below. "Power 5" is used loosely here: the historical Pac-12 dissolved to a 2-school remnant by 2024-25, and the newly announced Pac-12 doesn't launch until 2026-27, after this project's data window.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700"/>
        <w:gridCol w:w="2700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Conference</w:t>
            </w:r>
          </w:p>
        </w:tc>
        <w:tc>
          <w:tcPr>
            <w:tcW w:type="dxa" w:w="27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Schools</w:t>
            </w:r>
          </w:p>
        </w:tc>
        <w:tc>
          <w:tcPr>
            <w:tcW w:type="dxa" w:w="27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Big Ten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Big 12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 (incl. Notre Dame)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Pac-12 remnant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Big East (non-football)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non-P5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West Coast Conference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non-P5</w:t>
            </w:r>
          </w:p>
        </w:tc>
      </w:tr>
      <w:tr>
        <w:tc>
          <w:tcPr>
            <w:tcW w:type="dxa" w:w="54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Summit League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non-P5</w:t>
            </w:r>
          </w:p>
        </w:tc>
      </w:tr>
    </w:tbl>
    <w:p>
      <w:pPr>
        <w:spacing w:after="40"/>
      </w:pPr>
      <w:r>
        <w:br/>
        <w:t xml:space="preserve"/>
      </w:r>
    </w:p>
    <w:p>
      <w:pPr>
        <w:pStyle w:val="Heading2"/>
        <w:spacing w:after="80" w:before="160"/>
      </w:pPr>
      <w:r>
        <w:rPr>
          <w:b/>
          <w:bCs/>
          <w:color w:val="1F3864"/>
          <w:sz w:val="21"/>
          <w:szCs w:val="21"/>
        </w:rPr>
        <w:t xml:space="preserve">By the Numbers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21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Sport</w:t>
            </w:r>
          </w:p>
        </w:tc>
        <w:tc>
          <w:tcPr>
            <w:tcW w:type="dxa" w:w="21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Avg. Revenue</w:t>
            </w:r>
          </w:p>
        </w:tc>
        <w:tc>
          <w:tcPr>
            <w:tcW w:type="dxa" w:w="21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Avg. GSR</w:t>
            </w:r>
          </w:p>
        </w:tc>
        <w:tc>
          <w:tcPr>
            <w:tcW w:type="dxa" w:w="21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Avg. Win %</w:t>
            </w:r>
          </w:p>
        </w:tc>
      </w:tr>
      <w:tr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Football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$77.2M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56%</w:t>
            </w:r>
          </w:p>
        </w:tc>
      </w:tr>
      <w:tr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Basketball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$22.4M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59%</w:t>
            </w:r>
          </w:p>
        </w:tc>
      </w:tr>
      <w:tr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Volleyball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$2.1M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</w:tr>
      <w:tr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Soccer (equalizer)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$3.1M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21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36%</w:t>
            </w:r>
          </w:p>
        </w:tc>
      </w:tr>
    </w:tbl>
    <w:p>
      <w:pPr>
        <w:spacing w:after="40"/>
      </w:pPr>
      <w:r>
        <w:br/>
        <w:t xml:space="preserve"/>
      </w:r>
    </w:p>
    <w:p>
      <w:pPr>
        <w:pStyle w:val="Heading1"/>
        <w:pBdr>
          <w:bottom w:val="single" w:color="1F3864" w:sz="6" w:space="4"/>
        </w:pBdr>
        <w:spacing w:after="120" w:before="200"/>
      </w:pPr>
      <w:r>
        <w:rPr>
          <w:b/>
          <w:bCs/>
          <w:color w:val="1F3864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 w:line="252"/>
      </w:pPr>
      <w:r>
        <w:rPr>
          <w:b/>
          <w:bCs/>
          <w:sz w:val="20"/>
          <w:szCs w:val="20"/>
        </w:rPr>
        <w:t xml:space="preserve">Scholarship reinvestment explains football's revenue effect. </w:t>
      </w:r>
      <w:r>
        <w:rPr>
          <w:sz w:val="20"/>
          <w:szCs w:val="20"/>
        </w:rPr>
        <w:t xml:space="preserve">On its own, more football revenue significantly predicts a LOWER Graduation Success Rate (p = 0.004). But once scholarship/aid investment share is added to the model, that revenue effect stops being significant (p = 0.328), while aid share itself becomes a significant positive predictor (p = 0.029). It isn't that football money hurts academics; it's that big-revenue programs that don't reinvest proportionally in aid have worse outcomes, replicating the original 30-school project's core finding at this larger scale, and pinpointing it specifically to football.</w:t>
      </w:r>
    </w:p>
    <w:p>
      <w:pPr>
        <w:spacing w:after="120" w:before="8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252"/>
      </w:pPr>
      <w:r>
        <w:rPr>
          <w:b/>
          <w:bCs/>
          <w:sz w:val="20"/>
          <w:szCs w:val="20"/>
        </w:rPr>
        <w:t xml:space="preserve">Revenue predicts wins, but it depends heavily on the sport. </w:t>
      </w:r>
      <w:r>
        <w:rPr>
          <w:sz w:val="20"/>
          <w:szCs w:val="20"/>
        </w:rPr>
        <w:t xml:space="preserve">Basketball (p &lt; 0.001) and volleyball (p = 0.005) both show real, significant revenue-to-wins relationships. Football's is only marginal (p = 0.071); soccer shows none (small sample).</w:t>
      </w:r>
    </w:p>
    <w:p>
      <w:pPr>
        <w:spacing w:after="120" w:before="80"/>
        <w:jc w:val="center"/>
      </w:pPr>
      <w:r>
        <w:drawing>
          <wp:inline distT="0" distB="0" distL="0" distR="0">
            <wp:extent cx="6096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252"/>
      </w:pPr>
      <w:r>
        <w:rPr>
          <w:b/>
          <w:bCs/>
          <w:sz w:val="20"/>
          <w:szCs w:val="20"/>
        </w:rPr>
        <w:t xml:space="preserve">NIL valuation predicts wins, not grades, and it's concentrated. </w:t>
      </w:r>
      <w:r>
        <w:rPr>
          <w:sz w:val="20"/>
          <w:szCs w:val="20"/>
        </w:rPr>
        <w:t xml:space="preserve">Among schools that actually have a player in On3's national NIL 100, a higher NIL valuation significantly predicts a higher win percentage (p = 0.005), but has no relationship with graduation rate (p = 0.584). Revenue itself strongly predicts whether a school has any NIL-100 presence at all (p &lt; 0.001): NIL visibility concentrates at the schools that are already the wealthiest, it doesn't spread opportunity more evenly.</w:t>
      </w:r>
    </w:p>
    <w:p>
      <w:pPr>
        <w:pStyle w:val="ListParagraph"/>
        <w:numPr>
          <w:ilvl w:val="0"/>
          <w:numId w:val="2"/>
        </w:numPr>
        <w:spacing w:after="80" w:line="252"/>
      </w:pPr>
      <w:r>
        <w:rPr>
          <w:b/>
          <w:bCs/>
          <w:sz w:val="20"/>
          <w:szCs w:val="20"/>
        </w:rPr>
        <w:t xml:space="preserve">Real corrections made along the way, not smoothed over. </w:t>
      </w:r>
      <w:r>
        <w:rPr>
          <w:sz w:val="20"/>
          <w:szCs w:val="20"/>
        </w:rPr>
        <w:t xml:space="preserve">Three Big East schools assumed "no football" (Butler, Georgetown, Villanova) actually sponsor real FCS programs, confirmed against the source data and corrected before analysis. A circulating NIL "team rankings" dataset turned out to be from November 2023, not current, and was discarded rather than used.</w:t>
      </w:r>
    </w:p>
    <w:p>
      <w:pPr>
        <w:pStyle w:val="Heading1"/>
        <w:pBdr>
          <w:bottom w:val="single" w:color="1F3864" w:sz="6" w:space="4"/>
        </w:pBdr>
        <w:spacing w:after="120" w:before="200"/>
      </w:pPr>
      <w:r>
        <w:rPr>
          <w:b/>
          <w:bCs/>
          <w:color w:val="1F3864"/>
          <w:sz w:val="26"/>
          <w:szCs w:val="26"/>
        </w:rPr>
        <w:t xml:space="preserve">How It Was Built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Verified the real 2024-25 conference map live (Big Ten, SEC, Big 12, ACC, and a 2-school Pac-12 remnant post-realignment), rather than assuming today's alignment applied retroactively to the data year.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Pulled real EADA AY2023-24 by-sport revenue, expense, and participant data (the most recent year actually published) for all four sports across all ~2,037 Title IV institutions via the site's live data API, then filtered to the 83-school sample.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Cross-checked football sponsorship against the actual EADA data rather than assuming from conference membership: caught three non-football-assumed schools that really do sponsor FCS football, and confirmed the true no-football group before picking men's soccer as its equalizer sport.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Pulled real 2025-26 season win-loss records from NCAA's official stats site and conference standings sources.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Pulled real NCAA Graduation Success Rate data (2018 entering cohort) for the full 83-school population using the GSR database's conference+sport combined search, rather than one-by-one lookups.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Sourced NIL valuation from On3's live NIL 100 rankings (football and basketball only), explicitly restricted in the analysis to schools with real NIL-100 presence rather than treating absence as zero spend.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Pulled institution-level scholarship/aid investment share from a separate EADA data category after confirming, against the raw federal data dictionary, that aid is never reported broken out by individual sport the way revenue and expenses are.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sz w:val="20"/>
          <w:szCs w:val="20"/>
        </w:rPr>
        <w:t xml:space="preserve">Merged all sources into one school-sport panel and ran the regression models in Python (pandas, statsmodels, robust standard errors).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1"/>
          <w:szCs w:val="21"/>
        </w:rPr>
        <w:t xml:space="preserve">Languages &amp; Tools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Python (pandas, statsmodels): data acquisition, merging, and regression modeling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Git: version control for the full pipeline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sz w:val="20"/>
          <w:szCs w:val="20"/>
        </w:rPr>
        <w:t xml:space="preserve">Data sources: US Dept. of Education EADA survey; NCAA Graduation Success Rate database; NCAA official statistics; On3 NIL Valuations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1"/>
          <w:szCs w:val="21"/>
        </w:rPr>
        <w:t xml:space="preserve">Presenting This</w:t>
      </w:r>
    </w:p>
    <w:p>
      <w:pPr>
        <w:spacing w:after="100" w:line="264"/>
      </w:pPr>
      <w:r>
        <w:rPr>
          <w:i/>
          <w:iCs/>
          <w:color w:val="595959"/>
          <w:sz w:val="20"/>
          <w:szCs w:val="20"/>
        </w:rPr>
        <w:t xml:space="preserve">Lead with the scholarship-share finding, it's the strongest story: revenue alone looks like it hurts football academics, but that's really scholarship reinvestment doing the work, the same mechanism the original 30-school project found, now pinpointed to one sport. Keep the sport-specific win% split as the second beat. Be upfront that the NIL variable is a real but partial proxy (national top-100 presence), not verified spend; nobody publishes that.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0e9f98f47f2fecf8f7ac670eece8211ea7ef36.png"/><Relationship Id="rId8" Type="http://schemas.openxmlformats.org/officeDocument/2006/relationships/image" Target="media/54fe857c9a8123e9b4e1296eef16718f1a9cf26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2026-08-30T15:55:16.865Z</dcterms:created>
  <dcterms:modified xsi:type="dcterms:W3CDTF">2026-08-30T15:55:16.866Z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