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color w:val="071E49"/>
          <w:sz w:val="54"/>
        </w:rPr>
        <w:t>AI Work Evidence Pilot Brief</w:t>
      </w:r>
    </w:p>
    <w:p>
      <w:r>
        <w:rPr>
          <w:rFonts w:ascii="Arial" w:hAnsi="Arial"/>
          <w:b/>
          <w:color w:val="0B7A3B"/>
          <w:sz w:val="36"/>
        </w:rPr>
        <w:t>Trust Calibration Context</w:t>
      </w:r>
    </w:p>
    <w:p>
      <w:r>
        <w:rPr>
          <w:b/>
        </w:rPr>
        <w:t xml:space="preserve">External-facing example based on aggregate pilot evidence. </w:t>
      </w:r>
      <w:r>
        <w:t>Replace the example organization label and citations with a customer-approved aggregate evidence package before using in a customer-specific readout.</w:t>
      </w:r>
    </w:p>
    <w:tbl>
      <w:tblPr>
        <w:tblStyle w:val="TableGrid"/>
        <w:tblW w:type="dxa" w:w="9700"/>
        <w:jc w:val="center"/>
        <w:tblLayout w:type="fixed"/>
        <w:tblLook w:firstColumn="1" w:firstRow="1" w:lastColumn="0" w:lastRow="0" w:noHBand="0" w:noVBand="1" w:val="04A0"/>
      </w:tblPr>
      <w:tblGrid>
        <w:gridCol w:w="2592"/>
        <w:gridCol w:w="2592"/>
        <w:gridCol w:w="2592"/>
        <w:gridCol w:w="2592"/>
      </w:tblGrid>
      <w:tr>
        <w:tc>
          <w:tcPr>
            <w:tcW w:type="dxa" w:w="2200"/>
            <w:shd w:fill="071E49"/>
            <w:vAlign w:val="center"/>
          </w:tcPr>
          <w:p>
            <w:pPr>
              <w:jc w:val="center"/>
            </w:pPr>
            <w:r>
              <w:rPr>
                <w:rFonts w:ascii="Arial" w:hAnsi="Arial"/>
                <w:b/>
                <w:color w:val="FFFFFF"/>
                <w:sz w:val="17"/>
              </w:rPr>
              <w:t>Aggregate</w:t>
              <w:br/>
              <w:t>episodes</w:t>
            </w:r>
          </w:p>
        </w:tc>
        <w:tc>
          <w:tcPr>
            <w:tcW w:type="dxa" w:w="3000"/>
            <w:shd w:fill="071E49"/>
            <w:vAlign w:val="center"/>
          </w:tcPr>
          <w:p>
            <w:pPr>
              <w:jc w:val="center"/>
            </w:pPr>
            <w:r>
              <w:rPr>
                <w:rFonts w:ascii="Arial" w:hAnsi="Arial"/>
                <w:b/>
                <w:color w:val="FFFFFF"/>
                <w:sz w:val="17"/>
              </w:rPr>
              <w:t>Recovered after</w:t>
              <w:br/>
              <w:t>friction</w:t>
            </w:r>
          </w:p>
        </w:tc>
        <w:tc>
          <w:tcPr>
            <w:tcW w:type="dxa" w:w="2700"/>
            <w:shd w:fill="071E49"/>
            <w:vAlign w:val="center"/>
          </w:tcPr>
          <w:p>
            <w:pPr>
              <w:jc w:val="center"/>
            </w:pPr>
            <w:r>
              <w:rPr>
                <w:rFonts w:ascii="Arial" w:hAnsi="Arial"/>
                <w:b/>
                <w:color w:val="FFFFFF"/>
                <w:sz w:val="17"/>
              </w:rPr>
              <w:t>Evidence</w:t>
              <w:br/>
              <w:t>gap</w:t>
            </w:r>
          </w:p>
        </w:tc>
        <w:tc>
          <w:tcPr>
            <w:tcW w:type="dxa" w:w="1800"/>
            <w:shd w:fill="071E49"/>
            <w:vAlign w:val="center"/>
          </w:tcPr>
          <w:p>
            <w:pPr>
              <w:jc w:val="center"/>
            </w:pPr>
            <w:r>
              <w:rPr>
                <w:rFonts w:ascii="Arial" w:hAnsi="Arial"/>
                <w:b/>
                <w:color w:val="FFFFFF"/>
                <w:sz w:val="17"/>
              </w:rPr>
              <w:t>API</w:t>
              <w:br/>
              <w:t>required</w:t>
            </w:r>
          </w:p>
        </w:tc>
      </w:tr>
      <w:tr>
        <w:tc>
          <w:tcPr>
            <w:tcW w:type="dxa" w:w="2200"/>
            <w:vAlign w:val="center"/>
          </w:tcPr>
          <w:p>
            <w:pPr>
              <w:jc w:val="center"/>
            </w:pPr>
            <w:r>
              <w:rPr>
                <w:rFonts w:ascii="Arial" w:hAnsi="Arial"/>
                <w:b/>
                <w:color w:val="071E49"/>
                <w:sz w:val="19"/>
              </w:rPr>
              <w:t>88,028,657</w:t>
            </w:r>
          </w:p>
        </w:tc>
        <w:tc>
          <w:tcPr>
            <w:tcW w:type="dxa" w:w="3000"/>
            <w:vAlign w:val="center"/>
          </w:tcPr>
          <w:p>
            <w:pPr>
              <w:jc w:val="center"/>
            </w:pPr>
            <w:r>
              <w:rPr>
                <w:rFonts w:ascii="Arial" w:hAnsi="Arial"/>
                <w:b/>
                <w:color w:val="071E49"/>
                <w:sz w:val="19"/>
              </w:rPr>
              <w:t>15,826,000</w:t>
              <w:br/>
              <w:t>(18.0%)</w:t>
            </w:r>
          </w:p>
        </w:tc>
        <w:tc>
          <w:tcPr>
            <w:tcW w:type="dxa" w:w="2700"/>
            <w:vAlign w:val="center"/>
          </w:tcPr>
          <w:p>
            <w:r>
              <w:t>37,959,260</w:t>
              <w:br/>
              <w:t>(43.1%)</w:t>
            </w:r>
          </w:p>
        </w:tc>
        <w:tc>
          <w:tcPr>
            <w:tcW w:type="dxa" w:w="1800"/>
            <w:vAlign w:val="center"/>
          </w:tcPr>
          <w:p>
            <w:pPr>
              <w:jc w:val="center"/>
            </w:pPr>
            <w:r>
              <w:rPr>
                <w:rFonts w:ascii="Arial" w:hAnsi="Arial"/>
                <w:b/>
                <w:color w:val="071E49"/>
                <w:sz w:val="19"/>
              </w:rPr>
              <w:t>No</w:t>
            </w:r>
          </w:p>
        </w:tc>
      </w:tr>
    </w:tbl>
    <w:p/>
    <w:p>
      <w:pPr>
        <w:jc w:val="center"/>
      </w:pPr>
      <w:r>
        <w:drawing>
          <wp:inline xmlns:a="http://schemas.openxmlformats.org/drawingml/2006/main" xmlns:pic="http://schemas.openxmlformats.org/drawingml/2006/picture">
            <wp:extent cx="6309360" cy="3549015"/>
            <wp:docPr id="1" name="Picture 1"/>
            <wp:cNvGraphicFramePr>
              <a:graphicFrameLocks noChangeAspect="1"/>
            </wp:cNvGraphicFramePr>
            <a:graphic>
              <a:graphicData uri="http://schemas.openxmlformats.org/drawingml/2006/picture">
                <pic:pic>
                  <pic:nvPicPr>
                    <pic:cNvPr id="0" name="trust_episode_pattern_chart.png"/>
                    <pic:cNvPicPr/>
                  </pic:nvPicPr>
                  <pic:blipFill>
                    <a:blip r:embed="rId9"/>
                    <a:stretch>
                      <a:fillRect/>
                    </a:stretch>
                  </pic:blipFill>
                  <pic:spPr>
                    <a:xfrm>
                      <a:off x="0" y="0"/>
                      <a:ext cx="6309360" cy="3549015"/>
                    </a:xfrm>
                    <a:prstGeom prst="rect"/>
                  </pic:spPr>
                </pic:pic>
              </a:graphicData>
            </a:graphic>
          </wp:inline>
        </w:drawing>
      </w:r>
    </w:p>
    <w:p>
      <w:pPr>
        <w:pStyle w:val="Heading1"/>
      </w:pPr>
      <w:r>
        <w:t>Executive Takeaway</w:t>
      </w:r>
    </w:p>
    <w:p>
      <w:r>
        <w:t>FluencyTracr turns aggregate AI work telemetry into evidence about where AI-assisted work resolves, recovers after friction, stalls, or lacks enough evidence for confident interpretation. In this sample pilot, the readout covers 88,028,657 aggregate AI work episodes across seven approved business days.</w:t>
      </w:r>
    </w:p>
    <w:p>
      <w:r>
        <w:t>The signal is useful because it goes beyond citation clicks and thumbs feedback. It looks at what happens after AI-assisted work hits friction: does work recover, continue, stall, or disappear into an evidence gap?</w:t>
      </w:r>
    </w:p>
    <w:p>
      <w:r>
        <w:t>This is Trust Calibration Context. It is not a trust score, not a citation-click metric, and not a correctness detector. It does not identify, score, rank, or evaluate employees.</w:t>
      </w:r>
    </w:p>
    <w:p>
      <w:pPr>
        <w:pStyle w:val="Heading1"/>
      </w:pPr>
      <w:r>
        <w:t>What The Pilot Shows</w:t>
      </w:r>
    </w:p>
    <w:p>
      <w:pPr>
        <w:pStyle w:val="ListBullet"/>
      </w:pPr>
      <w:r>
        <w:t>Work resolved with corroboration: 3,567,326 aggregate episodes (4.1%).</w:t>
      </w:r>
    </w:p>
    <w:p>
      <w:pPr>
        <w:pStyle w:val="ListBullet"/>
      </w:pPr>
      <w:r>
        <w:t>Work resolved without explicit verification: 30,676,071 aggregate episodes (34.8%).</w:t>
      </w:r>
    </w:p>
    <w:p>
      <w:pPr>
        <w:pStyle w:val="ListBullet"/>
      </w:pPr>
      <w:r>
        <w:t>Work recovered after friction: 15,826,000 aggregate episodes (18.0%).</w:t>
      </w:r>
    </w:p>
    <w:p>
      <w:pPr>
        <w:pStyle w:val="ListBullet"/>
      </w:pPr>
      <w:r>
        <w:t>Rows with incomplete, ambiguous, or undocumented source coverage are withheld from pattern rows and carried into evidence-gap caveat language.</w:t>
      </w:r>
    </w:p>
    <w:p>
      <w:pPr>
        <w:pStyle w:val="ListBullet"/>
      </w:pPr>
      <w:r>
        <w:t>Rare pattern cells below the aggregate safety floor are withheld from pattern rows and carried into evidence-gap caveat language.</w:t>
      </w:r>
    </w:p>
    <w:p>
      <w:pPr>
        <w:pStyle w:val="ListBullet"/>
      </w:pPr>
      <w:r>
        <w:t>Evidence gap remains: 37,959,260 aggregate episodes (43.1%).</w:t>
      </w:r>
    </w:p>
    <w:p>
      <w:pPr>
        <w:pStyle w:val="Heading1"/>
      </w:pPr>
      <w:r>
        <w:t>Why Executives Should Care</w:t>
      </w:r>
    </w:p>
    <w:p>
      <w:r>
        <w:t>Most AI adoption dashboards show usage. FluencyTracr adds work evidence: whether aggregate AI-assisted work appears to resolve, recover, stall, or lack enough source coverage to interpret safely.</w:t>
      </w:r>
    </w:p>
    <w:p>
      <w:pPr>
        <w:pStyle w:val="ListBullet"/>
      </w:pPr>
      <w:r>
        <w:t>Where AI is helping work move through friction.</w:t>
      </w:r>
    </w:p>
    <w:p>
      <w:pPr>
        <w:pStyle w:val="ListBullet"/>
      </w:pPr>
      <w:r>
        <w:t>Where teams may be accepting output without enough corroborating evidence.</w:t>
      </w:r>
    </w:p>
    <w:p>
      <w:pPr>
        <w:pStyle w:val="ListBullet"/>
      </w:pPr>
      <w:r>
        <w:t>Where workflow design or source coverage needs repair before scaling.</w:t>
      </w:r>
    </w:p>
    <w:p>
      <w:pPr>
        <w:pStyle w:val="ListBullet"/>
      </w:pPr>
      <w:r>
        <w:t>Where outcome evidence is needed before making value claims.</w:t>
      </w:r>
    </w:p>
    <w:p>
      <w:pPr>
        <w:jc w:val="center"/>
      </w:pPr>
      <w:r>
        <w:drawing>
          <wp:inline xmlns:a="http://schemas.openxmlformats.org/drawingml/2006/main" xmlns:pic="http://schemas.openxmlformats.org/drawingml/2006/picture">
            <wp:extent cx="6309360" cy="2663952"/>
            <wp:docPr id="2" name="Picture 2"/>
            <wp:cNvGraphicFramePr>
              <a:graphicFrameLocks noChangeAspect="1"/>
            </wp:cNvGraphicFramePr>
            <a:graphic>
              <a:graphicData uri="http://schemas.openxmlformats.org/drawingml/2006/picture">
                <pic:pic>
                  <pic:nvPicPr>
                    <pic:cNvPr id="0" name="trust_episode_evidence_flow.png"/>
                    <pic:cNvPicPr/>
                  </pic:nvPicPr>
                  <pic:blipFill>
                    <a:blip r:embed="rId10"/>
                    <a:stretch>
                      <a:fillRect/>
                    </a:stretch>
                  </pic:blipFill>
                  <pic:spPr>
                    <a:xfrm>
                      <a:off x="0" y="0"/>
                      <a:ext cx="6309360" cy="2663952"/>
                    </a:xfrm>
                    <a:prstGeom prst="rect"/>
                  </pic:spPr>
                </pic:pic>
              </a:graphicData>
            </a:graphic>
          </wp:inline>
        </w:drawing>
      </w:r>
    </w:p>
    <w:p>
      <w:pPr>
        <w:pStyle w:val="Heading1"/>
      </w:pPr>
      <w:r>
        <w:t>What A Customer Would Provide</w:t>
      </w:r>
    </w:p>
    <w:p>
      <w:r>
        <w:t>No API is required for this pilot phase. A customer pilot can run from an aggregate CSV export generated in the customer environment.</w:t>
      </w:r>
    </w:p>
    <w:p>
      <w:pPr>
        <w:pStyle w:val="ListBullet"/>
      </w:pPr>
      <w:r>
        <w:t>Approved aggregate scope: workflow, AI surface, cohort, approved segment, role family, or function where aggregate-safe.</w:t>
      </w:r>
    </w:p>
    <w:p>
      <w:pPr>
        <w:pStyle w:val="ListBullet"/>
      </w:pPr>
      <w:r>
        <w:t>Aggregate Trust Episode Boundary CSV export with final aggregate rows only.</w:t>
      </w:r>
    </w:p>
    <w:p>
      <w:pPr>
        <w:pStyle w:val="ListBullet"/>
      </w:pPr>
      <w:r>
        <w:t>Source coverage declaration for trace, run, action, feedback, citation/source, continuation, completion, failure, pause, skip, and cancellation evidence.</w:t>
      </w:r>
    </w:p>
    <w:p>
      <w:pPr>
        <w:pStyle w:val="ListBullet"/>
      </w:pPr>
      <w:r>
        <w:t>Customer-owned outcome evidence only if the customer wants to move beyond evidence readiness.</w:t>
      </w:r>
    </w:p>
    <w:p>
      <w:r>
        <w:t>The pilot does not require enablement-system access, training records, survey joins, HR data, or person-level employee data.</w:t>
      </w:r>
    </w:p>
    <w:p>
      <w:pPr>
        <w:pStyle w:val="Heading1"/>
      </w:pPr>
      <w:r>
        <w:t>Governance Guardrails</w:t>
      </w:r>
    </w:p>
    <w:p>
      <w:pPr>
        <w:pStyle w:val="ListBullet"/>
      </w:pPr>
      <w:r>
        <w:t>does not calculate ROI,</w:t>
      </w:r>
    </w:p>
    <w:p>
      <w:pPr>
        <w:pStyle w:val="ListBullet"/>
      </w:pPr>
      <w:r>
        <w:t>does not establish causality,</w:t>
      </w:r>
    </w:p>
    <w:p>
      <w:pPr>
        <w:pStyle w:val="ListBullet"/>
      </w:pPr>
      <w:r>
        <w:t>does not prove output correctness,</w:t>
      </w:r>
    </w:p>
    <w:p>
      <w:pPr>
        <w:pStyle w:val="ListBullet"/>
      </w:pPr>
      <w:r>
        <w:t>does not create productivity claims,</w:t>
      </w:r>
    </w:p>
    <w:p>
      <w:pPr>
        <w:pStyle w:val="ListBullet"/>
      </w:pPr>
      <w:r>
        <w:t>does not add canonical events,</w:t>
      </w:r>
    </w:p>
    <w:p>
      <w:pPr>
        <w:pStyle w:val="ListBullet"/>
      </w:pPr>
      <w:r>
        <w:t>does not add suppression reasons,</w:t>
      </w:r>
    </w:p>
    <w:p>
      <w:pPr>
        <w:pStyle w:val="ListBullet"/>
      </w:pPr>
      <w:r>
        <w:t>does not create runtime APIs or schemas,</w:t>
      </w:r>
    </w:p>
    <w:p>
      <w:pPr>
        <w:pStyle w:val="ListBullet"/>
      </w:pPr>
      <w:r>
        <w:t>does not ingest raw traces into FluencyTracr,</w:t>
      </w:r>
    </w:p>
    <w:p>
      <w:pPr>
        <w:pStyle w:val="ListBullet"/>
      </w:pPr>
      <w:r>
        <w:t>does not identify, score, rank, or evaluate employees,</w:t>
      </w:r>
    </w:p>
    <w:p>
      <w:pPr>
        <w:pStyle w:val="ListBullet"/>
      </w:pPr>
      <w:r>
        <w:t>does not produce team or manager rankings.</w:t>
      </w:r>
    </w:p>
    <w:p>
      <w:pPr>
        <w:pStyle w:val="Heading1"/>
      </w:pPr>
      <w:r>
        <w:t>Recommended Next Step</w:t>
      </w:r>
    </w:p>
    <w:p>
      <w:r>
        <w:t>Use this brief as the source for an executive deck and a customer pilot checklist. The next commercial step is not an API. It is a customer-safe pilot packet:</w:t>
      </w:r>
    </w:p>
    <w:p>
      <w:pPr>
        <w:pStyle w:val="ListBullet"/>
      </w:pPr>
      <w:r>
        <w:t>BigQuery aggregate export template.</w:t>
      </w:r>
    </w:p>
    <w:p>
      <w:pPr>
        <w:pStyle w:val="ListBullet"/>
      </w:pPr>
      <w:r>
        <w:t>Source coverage checklist.</w:t>
      </w:r>
    </w:p>
    <w:p>
      <w:pPr>
        <w:pStyle w:val="ListBullet"/>
      </w:pPr>
      <w:r>
        <w:t>Approved aggregate segment intake form.</w:t>
      </w:r>
    </w:p>
    <w:p>
      <w:pPr>
        <w:pStyle w:val="ListBullet"/>
      </w:pPr>
      <w:r>
        <w:t>Executive deck based on this brief.</w:t>
      </w:r>
    </w:p>
    <w:p>
      <w:pPr>
        <w:pStyle w:val="ListBullet"/>
      </w:pPr>
      <w:r>
        <w:t>Customer-specific readout generated from their aggregate export.</w:t>
      </w:r>
    </w:p>
    <w:p>
      <w:r>
        <w:t>Only after two or three pilots show repeated demand for persistence or self-service access should FluencyTracr consider an aggregate-results API.</w:t>
      </w:r>
    </w:p>
    <w:p>
      <w:pPr>
        <w:pStyle w:val="Heading1"/>
      </w:pPr>
      <w:r>
        <w:t>Evidence References</w:t>
      </w:r>
    </w:p>
    <w:p>
      <w:pPr>
        <w:pStyle w:val="ListBullet"/>
      </w:pPr>
      <w:r>
        <w:t>Trust Episode Boundary input contract proposal.</w:t>
      </w:r>
    </w:p>
    <w:p>
      <w:pPr>
        <w:pStyle w:val="ListBullet"/>
      </w:pPr>
      <w:r>
        <w:t>V4 Trust Episode Boundary validation readout.</w:t>
      </w:r>
    </w:p>
    <w:p>
      <w:pPr>
        <w:pStyle w:val="ListBullet"/>
      </w:pPr>
      <w:r>
        <w:t>Product-episode dedup readout.</w:t>
      </w:r>
    </w:p>
    <w:p>
      <w:pPr>
        <w:pStyle w:val="ListBullet"/>
      </w:pPr>
      <w:r>
        <w:t>Key-confidence coverage readout.</w:t>
      </w:r>
    </w:p>
    <w:p>
      <w:pPr>
        <w:pStyle w:val="ListBullet"/>
      </w:pPr>
      <w:r>
        <w:t>Pilot executive readout generated from aggregate CSV export.</w:t>
      </w:r>
    </w:p>
    <w:sectPr w:rsidR="00FC693F" w:rsidRPr="0006063C" w:rsidSect="00034616">
      <w:footerReference w:type="default" r:id="rId11"/>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B5563"/>
        <w:sz w:val="16"/>
      </w:rPr>
      <w:t>FluencyTracr - AI Work Evidence Pilot Brief - aggregate signals, not scores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71E4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71E4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071E4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