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061A44"/>
          <w:sz w:val="48"/>
        </w:rPr>
        <w:t>FluencyTracr Internal Pilot Report</w:t>
      </w:r>
    </w:p>
    <w:p>
      <w:r>
        <w:t>Internal pilot rehearsal. Aggregate evidence only.</w:t>
      </w:r>
    </w:p>
    <w:p>
      <w:pPr>
        <w:spacing w:after="120"/>
      </w:pPr>
      <w:r>
        <w:rPr>
          <w:rFonts w:ascii="Arial" w:hAnsi="Arial"/>
          <w:sz w:val="21"/>
        </w:rPr>
        <w:t>Run date: 2026-05-28</w:t>
      </w:r>
    </w:p>
    <w:p>
      <w:pPr>
        <w:spacing w:after="120"/>
      </w:pPr>
      <w:r>
        <w:rPr>
          <w:rFonts w:ascii="Arial" w:hAnsi="Arial"/>
          <w:sz w:val="21"/>
        </w:rPr>
        <w:t>Status: `INTERNAL_PILOT_REHEARSAL`</w:t>
      </w:r>
    </w:p>
    <w:p>
      <w:pPr>
        <w:spacing w:after="120"/>
      </w:pPr>
      <w:r>
        <w:rPr>
          <w:rFonts w:ascii="Arial" w:hAnsi="Arial"/>
          <w:sz w:val="21"/>
        </w:rPr>
        <w:t>This packet uses company-owned aggregate dogfood exports and a fresh BigQuery run. It is designed to show what FluencyTracr can deliver without asking a client for additional inputs at the start of a pilot.</w:t>
      </w:r>
    </w:p>
    <w:p>
      <w:pPr>
        <w:pStyle w:val="Heading1"/>
      </w:pPr>
      <w:r>
        <w:rPr>
          <w:rFonts w:ascii="Arial" w:hAnsi="Arial"/>
          <w:color w:val="061A44"/>
        </w:rPr>
        <w:t>Executive Summary</w:t>
      </w:r>
    </w:p>
    <w:p>
      <w:pPr>
        <w:spacing w:after="120"/>
      </w:pPr>
      <w:r>
        <w:rPr>
          <w:rFonts w:ascii="Arial" w:hAnsi="Arial"/>
          <w:sz w:val="21"/>
        </w:rPr>
        <w:t>FluencyTracr can already produce a meaningful aggregate AI work evidence package from observed telemetry. The strongest current value is not ROI calculation; it is a governed recommendation engine that separates activity volume from workflow evidence, trust evidence, source coverage, and value-investigation readiness.</w:t>
      </w:r>
    </w:p>
    <w:p>
      <w:pPr>
        <w:spacing w:after="120"/>
      </w:pPr>
      <w:r>
        <w:rPr>
          <w:rFonts w:ascii="Arial" w:hAnsi="Arial"/>
          <w:sz w:val="21"/>
        </w:rPr>
        <w:t>Top findings:</w:t>
      </w:r>
    </w:p>
    <w:p>
      <w:pPr>
        <w:ind w:left="259"/>
      </w:pPr>
      <w:r>
        <w:rPr>
          <w:rFonts w:ascii="Arial" w:hAnsi="Arial"/>
          <w:sz w:val="20"/>
        </w:rPr>
        <w:t>• AI is broadly present: 25,081 high-volume assistive work patterns show reach and surface coverage.</w:t>
      </w:r>
    </w:p>
    <w:p>
      <w:pPr>
        <w:ind w:left="259"/>
      </w:pPr>
      <w:r>
        <w:rPr>
          <w:rFonts w:ascii="Arial" w:hAnsi="Arial"/>
          <w:sz w:val="20"/>
        </w:rPr>
        <w:t>• Workflow-grade evidence exists but is smaller: 2,025 aggregate patterns show search-to-agent movement, post-friction continuation, execution-linked workflow, or verification-attached workflow.</w:t>
      </w:r>
    </w:p>
    <w:p>
      <w:pPr>
        <w:ind w:left="259"/>
      </w:pPr>
      <w:r>
        <w:rPr>
          <w:rFonts w:ascii="Arial" w:hAnsi="Arial"/>
          <w:sz w:val="20"/>
        </w:rPr>
        <w:t>• The strongest immediate value test is support friction: 1,333 aggregate patterns combine search-to-agent escalation with post-friction continuation.</w:t>
      </w:r>
    </w:p>
    <w:p>
      <w:pPr>
        <w:ind w:left="259"/>
      </w:pPr>
      <w:r>
        <w:rPr>
          <w:rFonts w:ascii="Arial" w:hAnsi="Arial"/>
          <w:sz w:val="20"/>
        </w:rPr>
        <w:t>• The biggest trust/product gap remains evidence quality: 37,959,260 aggregate product episodes sit in the public evidence gap.</w:t>
      </w:r>
    </w:p>
    <w:p>
      <w:pPr>
        <w:ind w:left="259"/>
      </w:pPr>
      <w:r>
        <w:rPr>
          <w:rFonts w:ascii="Arial" w:hAnsi="Arial"/>
          <w:sz w:val="20"/>
        </w:rPr>
        <w:t>• The current blocker is not telemetry volume; it is governed outcome evidence, attribution, and customer-owned assumptions.</w:t>
      </w:r>
    </w:p>
    <w:p>
      <w:pPr>
        <w:pStyle w:val="Heading1"/>
      </w:pPr>
      <w:r>
        <w:rPr>
          <w:rFonts w:ascii="Arial" w:hAnsi="Arial"/>
          <w:color w:val="061A44"/>
        </w:rPr>
        <w:t>Executive Outcomes And Strategies</w:t>
      </w:r>
    </w:p>
    <w:p>
      <w:r>
        <w:rPr>
          <w:rFonts w:ascii="Courier New" w:hAnsi="Courier New"/>
          <w:sz w:val="15"/>
        </w:rPr>
        <w:t>| Outcome | What it means | Strategy |</w:t>
      </w:r>
    </w:p>
    <w:p>
      <w:r>
        <w:rPr>
          <w:rFonts w:ascii="Courier New" w:hAnsi="Courier New"/>
          <w:sz w:val="15"/>
        </w:rPr>
        <w:t>| --- | --- | --- |</w:t>
      </w:r>
    </w:p>
    <w:p>
      <w:r>
        <w:rPr>
          <w:rFonts w:ascii="Courier New" w:hAnsi="Courier New"/>
          <w:sz w:val="15"/>
        </w:rPr>
        <w:t>| Evidence layer is viable | Existing aggregate telemetry can produce a structured AI Work Evidence packet. | Sell the pilot as evidence readiness and recommendation routing, not as ROI proof. |</w:t>
      </w:r>
    </w:p>
    <w:p>
      <w:r>
        <w:rPr>
          <w:rFonts w:ascii="Courier New" w:hAnsi="Courier New"/>
          <w:sz w:val="15"/>
        </w:rPr>
        <w:t>| Workflow evidence is differentiated | FluencyTracr can distinguish broad AI use from execution-linked, verification-linked, and recovery-like work paths. | Lead with workflow/service families rather than adoption volume. |</w:t>
      </w:r>
    </w:p>
    <w:p>
      <w:r>
        <w:rPr>
          <w:rFonts w:ascii="Courier New" w:hAnsi="Courier New"/>
          <w:sz w:val="15"/>
        </w:rPr>
        <w:t>| Trust remains the proof-loop problem | Verification and continuation exist, but attribution gaps are still material. | Make trust-loop repair a strategic workstream before quality/risk claims. |</w:t>
      </w:r>
    </w:p>
    <w:p>
      <w:r>
        <w:rPr>
          <w:rFonts w:ascii="Courier New" w:hAnsi="Courier New"/>
          <w:sz w:val="15"/>
        </w:rPr>
        <w:t>| Outcome data should be requested selectively | The recommendation engine can name the smallest next outcome data needed. | Ask for support, CRM, QA, or workflow metrics only when the observed pattern justifies it. |</w:t>
      </w:r>
    </w:p>
    <w:p>
      <w:r>
        <w:rPr>
          <w:rFonts w:ascii="Courier New" w:hAnsi="Courier New"/>
          <w:sz w:val="15"/>
        </w:rPr>
        <w:t>| ROI remains blocked | No governed outcome join or assumption ledger is present in this packet. | Provide formulas for customer testing, not dollarized claims. |</w:t>
      </w:r>
    </w:p>
    <w:p>
      <w:pPr>
        <w:pStyle w:val="Heading1"/>
      </w:pPr>
      <w:r>
        <w:rPr>
          <w:rFonts w:ascii="Arial" w:hAnsi="Arial"/>
          <w:color w:val="061A44"/>
        </w:rPr>
        <w:t>Recommendation Engine Design</w:t>
      </w:r>
    </w:p>
    <w:p>
      <w:pPr>
        <w:spacing w:after="120"/>
      </w:pPr>
      <w:r>
        <w:rPr>
          <w:rFonts w:ascii="Arial" w:hAnsi="Arial"/>
          <w:sz w:val="21"/>
        </w:rPr>
        <w:t>Yes: this packet now contains a docs-only recommendation engine shape based on the FluencyTracr frameworks. It consumes aggregate AI Work Evidence, AI-service workflow families, Velocity x Depth context, behavioral primitives, trust/source coverage, and value-readiness zones. It emits recommended customer-owned outcome signals, formula families, readiness states, caveats, and blocked claims.</w:t>
      </w:r>
    </w:p>
    <w:p>
      <w:pPr>
        <w:spacing w:after="120"/>
      </w:pPr>
      <w:r>
        <w:rPr>
          <w:rFonts w:ascii="Arial" w:hAnsi="Arial"/>
          <w:sz w:val="21"/>
        </w:rPr>
        <w:t>It is not a runtime engine yet. It does not add APIs, schemas, canonical events, suppression reasons, scores, ROI calculation, causality claims, productivity claims, or people/team ranking.</w:t>
      </w:r>
    </w:p>
    <w:p>
      <w:r>
        <w:rPr>
          <w:rFonts w:ascii="Courier New" w:hAnsi="Courier New"/>
          <w:sz w:val="15"/>
        </w:rPr>
        <w:t>| Recommendation | AI-service workflow family | Observed pattern | Outcome data to request | Value route | Current readiness |</w:t>
      </w:r>
    </w:p>
    <w:p>
      <w:r>
        <w:rPr>
          <w:rFonts w:ascii="Courier New" w:hAnsi="Courier New"/>
          <w:sz w:val="15"/>
        </w:rPr>
        <w:t>| --- | --- | --- | --- | --- | --- |</w:t>
      </w:r>
    </w:p>
    <w:p>
      <w:r>
        <w:rPr>
          <w:rFonts w:ascii="Courier New" w:hAnsi="Courier New"/>
          <w:sz w:val="15"/>
        </w:rPr>
        <w:t>| Support friction value test | Search-to-agent workflow | Search-to-agent escalation plus post-friction continuation | Resolution time, escalation rate, reopen rate, backlog movement, CSAT | Cost, experience, quality | Outcome evidence missing |</w:t>
      </w:r>
    </w:p>
    <w:p>
      <w:r>
        <w:rPr>
          <w:rFonts w:ascii="Courier New" w:hAnsi="Courier New"/>
          <w:sz w:val="15"/>
        </w:rPr>
        <w:t>| Workflow execution capacity test | Agent or action execution workflow | Execution-linked workflow | Completed work volume, cycle time, backlog movement, stage progression | Capacity, cost, revenue | Outcome evidence missing |</w:t>
      </w:r>
    </w:p>
    <w:p>
      <w:r>
        <w:rPr>
          <w:rFonts w:ascii="Courier New" w:hAnsi="Courier New"/>
          <w:sz w:val="15"/>
        </w:rPr>
        <w:t>| Verification quality and risk test | Verification or feedback-attached workflow | Verification-attached workflow | QA pass rate, defect rate, correction rate, reopen rate, approval coverage | Quality, risk | Trust attribution hold |</w:t>
      </w:r>
    </w:p>
    <w:p>
      <w:r>
        <w:rPr>
          <w:rFonts w:ascii="Courier New" w:hAnsi="Courier New"/>
          <w:sz w:val="15"/>
        </w:rPr>
        <w:t>| Proof-loop repair agenda | Trust-evidence repair workflow | Trust evidence gap | Verification coverage, feedback-loop coverage, unresolved trust-gap rate | Risk, quality | Source coverage hold |</w:t>
      </w:r>
    </w:p>
    <w:p>
      <w:r>
        <w:rPr>
          <w:rFonts w:ascii="Courier New" w:hAnsi="Courier New"/>
          <w:sz w:val="15"/>
        </w:rPr>
        <w:t>| Source-linkage repair | Source-linkage or boundary repair | Weak linkage context | Source coverage, join completeness, metadata completeness | Instrumentation | Source coverage hold |</w:t>
      </w:r>
    </w:p>
    <w:p>
      <w:pPr>
        <w:pStyle w:val="Heading1"/>
      </w:pPr>
      <w:r>
        <w:rPr>
          <w:rFonts w:ascii="Arial" w:hAnsi="Arial"/>
          <w:color w:val="061A44"/>
        </w:rPr>
        <w:t>Recommended Executive Strategy</w:t>
      </w:r>
    </w:p>
    <w:p>
      <w:pPr>
        <w:spacing w:after="120"/>
      </w:pPr>
      <w:r>
        <w:rPr>
          <w:rFonts w:ascii="Arial" w:hAnsi="Arial"/>
          <w:sz w:val="21"/>
        </w:rPr>
        <w:t>1. Start the client pilot with the AI Work Evidence packet, not an ROI promise.</w:t>
      </w:r>
    </w:p>
    <w:p>
      <w:pPr>
        <w:spacing w:after="120"/>
      </w:pPr>
      <w:r>
        <w:rPr>
          <w:rFonts w:ascii="Arial" w:hAnsi="Arial"/>
          <w:sz w:val="21"/>
        </w:rPr>
        <w:t>2. Use the recommendation engine to identify which outcome system should be connected next.</w:t>
      </w:r>
    </w:p>
    <w:p>
      <w:pPr>
        <w:spacing w:after="120"/>
      </w:pPr>
      <w:r>
        <w:rPr>
          <w:rFonts w:ascii="Arial" w:hAnsi="Arial"/>
          <w:sz w:val="21"/>
        </w:rPr>
        <w:t>3. Prioritize a support friction value test if the client has support outcomes available.</w:t>
      </w:r>
    </w:p>
    <w:p>
      <w:pPr>
        <w:spacing w:after="120"/>
      </w:pPr>
      <w:r>
        <w:rPr>
          <w:rFonts w:ascii="Arial" w:hAnsi="Arial"/>
          <w:sz w:val="21"/>
        </w:rPr>
        <w:t>4. Treat high-volume assistive use as reach, not value, until workflow completion evidence is attached.</w:t>
      </w:r>
    </w:p>
    <w:p>
      <w:pPr>
        <w:spacing w:after="120"/>
      </w:pPr>
      <w:r>
        <w:rPr>
          <w:rFonts w:ascii="Arial" w:hAnsi="Arial"/>
          <w:sz w:val="21"/>
        </w:rPr>
        <w:t>5. Keep trust evidence repair explicit before using quality, risk, or reliability language externally.</w:t>
      </w:r>
    </w:p>
    <w:p>
      <w:pPr>
        <w:pStyle w:val="Heading1"/>
      </w:pPr>
      <w:r>
        <w:rPr>
          <w:rFonts w:ascii="Arial" w:hAnsi="Arial"/>
          <w:color w:val="061A44"/>
        </w:rPr>
        <w:t>Appendix A: Fresh Data Run</w:t>
      </w:r>
    </w:p>
    <w:p>
      <w:pPr>
        <w:ind w:left="259"/>
      </w:pPr>
      <w:r>
        <w:rPr>
          <w:rFonts w:ascii="Arial" w:hAnsi="Arial"/>
          <w:sz w:val="20"/>
        </w:rPr>
        <w:t>• BigQuery job: `scio-apps:bqjob_r68a7577f065e48e5_0000019e6ee2c806_1`</w:t>
      </w:r>
    </w:p>
    <w:p>
      <w:pPr>
        <w:ind w:left="259"/>
      </w:pPr>
      <w:r>
        <w:rPr>
          <w:rFonts w:ascii="Arial" w:hAnsi="Arial"/>
          <w:sz w:val="20"/>
        </w:rPr>
        <w:t>• Duration: `0:06:00.970000`</w:t>
      </w:r>
    </w:p>
    <w:p>
      <w:pPr>
        <w:ind w:left="259"/>
      </w:pPr>
      <w:r>
        <w:rPr>
          <w:rFonts w:ascii="Arial" w:hAnsi="Arial"/>
          <w:sz w:val="20"/>
        </w:rPr>
        <w:t>• Bytes processed: `4,926,181,266,149`</w:t>
      </w:r>
    </w:p>
    <w:p>
      <w:pPr>
        <w:ind w:left="259"/>
      </w:pPr>
      <w:r>
        <w:rPr>
          <w:rFonts w:ascii="Arial" w:hAnsi="Arial"/>
          <w:sz w:val="20"/>
        </w:rPr>
        <w:t>• Source: scrubbed GCE customer events + scrubbed agent spans</w:t>
      </w:r>
    </w:p>
    <w:p>
      <w:pPr>
        <w:pStyle w:val="Heading2"/>
      </w:pPr>
      <w:r>
        <w:rPr>
          <w:rFonts w:ascii="Arial" w:hAnsi="Arial"/>
          <w:color w:val="061A44"/>
        </w:rPr>
        <w:t>Microcosm Framework Results</w:t>
      </w:r>
    </w:p>
    <w:p>
      <w:r>
        <w:rPr>
          <w:rFonts w:ascii="Courier New" w:hAnsi="Courier New"/>
          <w:sz w:val="15"/>
        </w:rPr>
        <w:t>| Window | Sampled aggregate windows | Frequency | Engagement | Breadth | Reliability | Quality multiplier |</w:t>
      </w:r>
    </w:p>
    <w:p>
      <w:r>
        <w:rPr>
          <w:rFonts w:ascii="Courier New" w:hAnsi="Courier New"/>
          <w:sz w:val="15"/>
        </w:rPr>
        <w:t>| --- | ---: | ---: | ---: | ---: | ---: | ---: |</w:t>
      </w:r>
    </w:p>
    <w:p>
      <w:r>
        <w:rPr>
          <w:rFonts w:ascii="Courier New" w:hAnsi="Courier New"/>
          <w:sz w:val="15"/>
        </w:rPr>
        <w:t>| Window 1 | 13 | 70.2 | 17.3 | 5.7 | 0.71 | 1.22 |</w:t>
      </w:r>
    </w:p>
    <w:p>
      <w:r>
        <w:rPr>
          <w:rFonts w:ascii="Courier New" w:hAnsi="Courier New"/>
          <w:sz w:val="15"/>
        </w:rPr>
        <w:t>| Window 2 | 15 | 62.3 | 15.7 | 5.1 | 0.64 | 1.12 |</w:t>
      </w:r>
    </w:p>
    <w:p>
      <w:r>
        <w:rPr>
          <w:rFonts w:ascii="Courier New" w:hAnsi="Courier New"/>
          <w:sz w:val="15"/>
        </w:rPr>
        <w:t>| Window 3 | 13 | 80.6 | 20.6 | 6.5 | 0.69 | 1.18 |</w:t>
      </w:r>
    </w:p>
    <w:p>
      <w:pPr>
        <w:pStyle w:val="Heading2"/>
      </w:pPr>
      <w:r>
        <w:rPr>
          <w:rFonts w:ascii="Arial" w:hAnsi="Arial"/>
          <w:color w:val="061A44"/>
        </w:rPr>
        <w:t>AI Work Pattern Distribution</w:t>
      </w:r>
    </w:p>
    <w:p>
      <w:r>
        <w:rPr>
          <w:rFonts w:ascii="Courier New" w:hAnsi="Courier New"/>
          <w:sz w:val="15"/>
        </w:rPr>
        <w:t>| AI-service workflow family | Pattern tier | Aggregate AI work patterns | Share | Interpretation |</w:t>
      </w:r>
    </w:p>
    <w:p>
      <w:r>
        <w:rPr>
          <w:rFonts w:ascii="Courier New" w:hAnsi="Courier New"/>
          <w:sz w:val="15"/>
        </w:rPr>
        <w:t>| --- | --- | ---: | ---: | --- |</w:t>
      </w:r>
    </w:p>
    <w:p>
      <w:r>
        <w:rPr>
          <w:rFonts w:ascii="Courier New" w:hAnsi="Courier New"/>
          <w:sz w:val="15"/>
        </w:rPr>
        <w:t>| Assistive search or answer surface | High Volume Assistive Surface | 25,081 | 90.9% | Reach and surface coverage; weak workflow evidence by itself. |</w:t>
      </w:r>
    </w:p>
    <w:p>
      <w:r>
        <w:rPr>
          <w:rFonts w:ascii="Courier New" w:hAnsi="Courier New"/>
          <w:sz w:val="15"/>
        </w:rPr>
        <w:t>| Search-to-agent workflow | Post Friction Continuation | 891 | 3.2% | Recovery-like evidence: work continues after friction without claiming intent. |</w:t>
      </w:r>
    </w:p>
    <w:p>
      <w:r>
        <w:rPr>
          <w:rFonts w:ascii="Courier New" w:hAnsi="Courier New"/>
          <w:sz w:val="15"/>
        </w:rPr>
        <w:t>| Agent or action execution workflow | Execution Linked Workflow | 478 | 1.7% | AI is attached to actual workflow execution. |</w:t>
      </w:r>
    </w:p>
    <w:p>
      <w:r>
        <w:rPr>
          <w:rFonts w:ascii="Courier New" w:hAnsi="Courier New"/>
          <w:sz w:val="15"/>
        </w:rPr>
        <w:t>| Search-to-agent workflow | Search To Agent Escalation | 442 | 1.6% | Navigation from search into agent context; not outcome evidence yet. |</w:t>
      </w:r>
    </w:p>
    <w:p>
      <w:r>
        <w:rPr>
          <w:rFonts w:ascii="Courier New" w:hAnsi="Courier New"/>
          <w:sz w:val="15"/>
        </w:rPr>
        <w:t>| Source-linkage or boundary repair | Weak Linkage Context | 388 | 1.4% | Source-coverage caveat lane. |</w:t>
      </w:r>
    </w:p>
    <w:p>
      <w:r>
        <w:rPr>
          <w:rFonts w:ascii="Courier New" w:hAnsi="Courier New"/>
          <w:sz w:val="15"/>
        </w:rPr>
        <w:t>| Verification or feedback-attached workflow | Verification Attached Workflow | 214 | 0.8% | Strongest trust-adjacent workflow lane. |</w:t>
      </w:r>
    </w:p>
    <w:p>
      <w:r>
        <w:rPr>
          <w:rFonts w:ascii="Courier New" w:hAnsi="Courier New"/>
          <w:sz w:val="15"/>
        </w:rPr>
        <w:t>| Residual linked context | Other Linked Context | 96 | 0.3% | Residual linked context. |</w:t>
      </w:r>
    </w:p>
    <w:p>
      <w:pPr>
        <w:pStyle w:val="Heading1"/>
      </w:pPr>
      <w:r>
        <w:rPr>
          <w:rFonts w:ascii="Arial" w:hAnsi="Arial"/>
          <w:color w:val="061A44"/>
        </w:rPr>
        <w:t>Appendix B: Value Realization Readiness</w:t>
      </w:r>
    </w:p>
    <w:p>
      <w:r>
        <w:rPr>
          <w:rFonts w:ascii="Courier New" w:hAnsi="Courier New"/>
          <w:sz w:val="15"/>
        </w:rPr>
        <w:t>| Readout zone | Aggregate cohort rows | Signal rows | Attributed signal rows | Executive action |</w:t>
      </w:r>
    </w:p>
    <w:p>
      <w:r>
        <w:rPr>
          <w:rFonts w:ascii="Courier New" w:hAnsi="Courier New"/>
          <w:sz w:val="15"/>
        </w:rPr>
        <w:t>| --- | ---: | ---: | ---: | --- |</w:t>
      </w:r>
    </w:p>
    <w:p>
      <w:r>
        <w:rPr>
          <w:rFonts w:ascii="Courier New" w:hAnsi="Courier New"/>
          <w:sz w:val="15"/>
        </w:rPr>
        <w:t>| Trust Evidence Gap | 6,537,249 | 2,754,490 | 0 | Repair proof loops before value interpretation. |</w:t>
      </w:r>
    </w:p>
    <w:p>
      <w:r>
        <w:rPr>
          <w:rFonts w:ascii="Courier New" w:hAnsi="Courier New"/>
          <w:sz w:val="15"/>
        </w:rPr>
        <w:t>| Scale Candidate | 125,100 | 683,340 | 337,775 | Scale-and-measure review; attach outcome evidence. |</w:t>
      </w:r>
    </w:p>
    <w:p>
      <w:r>
        <w:rPr>
          <w:rFonts w:ascii="Courier New" w:hAnsi="Courier New"/>
          <w:sz w:val="15"/>
        </w:rPr>
        <w:t>| Shallow Adoption | 17,241 | 54,116 | 41,060 | Workflow redesign before scale. |</w:t>
      </w:r>
    </w:p>
    <w:p>
      <w:r>
        <w:rPr>
          <w:rFonts w:ascii="Courier New" w:hAnsi="Courier New"/>
          <w:sz w:val="15"/>
        </w:rPr>
        <w:t>| Focused Expert Use | 1,250 | 2,004 | 1,782 | Package the expert pattern if the business confirms value. |</w:t>
      </w:r>
    </w:p>
    <w:p>
      <w:r>
        <w:rPr>
          <w:rFonts w:ascii="Courier New" w:hAnsi="Courier New"/>
          <w:sz w:val="15"/>
        </w:rPr>
        <w:t>| Suppressed | 0 | 0 | 0 | Do not interpret. |</w:t>
      </w:r>
    </w:p>
    <w:p>
      <w:pPr>
        <w:pStyle w:val="Heading1"/>
      </w:pPr>
      <w:r>
        <w:rPr>
          <w:rFonts w:ascii="Arial" w:hAnsi="Arial"/>
          <w:color w:val="061A44"/>
        </w:rPr>
        <w:t>Appendix C: Trust And Source Coverage</w:t>
      </w:r>
    </w:p>
    <w:p>
      <w:pPr>
        <w:ind w:left="259"/>
      </w:pPr>
      <w:r>
        <w:rPr>
          <w:rFonts w:ascii="Arial" w:hAnsi="Arial"/>
          <w:sz w:val="20"/>
        </w:rPr>
        <w:t>• Seven-business-day trust pilot: 87,985,613 high-confidence aggregate product episodes.</w:t>
      </w:r>
    </w:p>
    <w:p>
      <w:pPr>
        <w:ind w:left="259"/>
      </w:pPr>
      <w:r>
        <w:rPr>
          <w:rFonts w:ascii="Arial" w:hAnsi="Arial"/>
          <w:sz w:val="20"/>
        </w:rPr>
        <w:t>• High-confidence coverage: 100.0%.</w:t>
      </w:r>
    </w:p>
    <w:p>
      <w:pPr>
        <w:ind w:left="259"/>
      </w:pPr>
      <w:r>
        <w:rPr>
          <w:rFonts w:ascii="Arial" w:hAnsi="Arial"/>
          <w:sz w:val="20"/>
        </w:rPr>
        <w:t>• Recovered-after-failure pattern inside high-confidence coverage: 18.0%.</w:t>
      </w:r>
    </w:p>
    <w:p>
      <w:pPr>
        <w:ind w:left="259"/>
      </w:pPr>
      <w:r>
        <w:rPr>
          <w:rFonts w:ascii="Arial" w:hAnsi="Arial"/>
          <w:sz w:val="20"/>
        </w:rPr>
        <w:t>• Public evidence gap: 37,959,260 aggregate episodes (43.1%).</w:t>
      </w:r>
    </w:p>
    <w:p>
      <w:pPr>
        <w:ind w:left="259"/>
      </w:pPr>
      <w:r>
        <w:rPr>
          <w:rFonts w:ascii="Arial" w:hAnsi="Arial"/>
          <w:sz w:val="20"/>
        </w:rPr>
        <w:t>• True downstream-evidence gap: 37,484,844 aggregate episodes.</w:t>
      </w:r>
    </w:p>
    <w:p>
      <w:pPr>
        <w:ind w:left="259"/>
      </w:pPr>
      <w:r>
        <w:rPr>
          <w:rFonts w:ascii="Arial" w:hAnsi="Arial"/>
          <w:sz w:val="20"/>
        </w:rPr>
        <w:t>• Ambiguous-boundary fold-in: 474,414 aggregate episodes.</w:t>
      </w:r>
    </w:p>
    <w:p>
      <w:pPr>
        <w:spacing w:after="120"/>
      </w:pPr>
      <w:r>
        <w:rPr>
          <w:rFonts w:ascii="Arial" w:hAnsi="Arial"/>
          <w:sz w:val="21"/>
        </w:rPr>
        <w:t>Trust evidence is strongest when verification or continuation attaches to workflow-linked paths. Citation clicks and explicit feedback are useful corroboration, but they are too sparse or too attribution-sensitive to carry the trust story alone.</w:t>
      </w:r>
    </w:p>
    <w:p>
      <w:pPr>
        <w:pStyle w:val="Heading1"/>
      </w:pPr>
      <w:r>
        <w:rPr>
          <w:rFonts w:ascii="Arial" w:hAnsi="Arial"/>
          <w:color w:val="061A44"/>
        </w:rPr>
        <w:t>Appendix D: Outcome And ROI Boundary</w:t>
      </w:r>
    </w:p>
    <w:p>
      <w:pPr>
        <w:spacing w:after="120"/>
      </w:pPr>
      <w:r>
        <w:rPr>
          <w:rFonts w:ascii="Arial" w:hAnsi="Arial"/>
          <w:sz w:val="21"/>
        </w:rPr>
        <w:t>The current company-owned telemetry is strong enough for value-investigation routing, but not for ROI calculation.</w:t>
      </w:r>
    </w:p>
    <w:p>
      <w:pPr>
        <w:ind w:left="259"/>
      </w:pPr>
      <w:r>
        <w:rPr>
          <w:rFonts w:ascii="Arial" w:hAnsi="Arial"/>
          <w:sz w:val="20"/>
        </w:rPr>
        <w:t>• Outcome metric identity: missing in saved V4 exports.</w:t>
      </w:r>
    </w:p>
    <w:p>
      <w:pPr>
        <w:ind w:left="259"/>
      </w:pPr>
      <w:r>
        <w:rPr>
          <w:rFonts w:ascii="Arial" w:hAnsi="Arial"/>
          <w:sz w:val="20"/>
        </w:rPr>
        <w:t>• Window-aligned outcome export: held.</w:t>
      </w:r>
    </w:p>
    <w:p>
      <w:pPr>
        <w:ind w:left="259"/>
      </w:pPr>
      <w:r>
        <w:rPr>
          <w:rFonts w:ascii="Arial" w:hAnsi="Arial"/>
          <w:sz w:val="20"/>
        </w:rPr>
        <w:t>• Customer-owned assumptions: missing.</w:t>
      </w:r>
    </w:p>
    <w:p>
      <w:pPr>
        <w:ind w:left="259"/>
      </w:pPr>
      <w:r>
        <w:rPr>
          <w:rFonts w:ascii="Arial" w:hAnsi="Arial"/>
          <w:sz w:val="20"/>
        </w:rPr>
        <w:t>• Behavior-to-outcome attribution: held.</w:t>
      </w:r>
    </w:p>
    <w:p>
      <w:pPr>
        <w:ind w:left="259"/>
      </w:pPr>
      <w:r>
        <w:rPr>
          <w:rFonts w:ascii="Arial" w:hAnsi="Arial"/>
          <w:sz w:val="20"/>
        </w:rPr>
        <w:t>• Time-saved range values: suppressed.</w:t>
      </w:r>
    </w:p>
    <w:p>
      <w:pPr>
        <w:spacing w:after="120"/>
      </w:pPr>
      <w:r>
        <w:rPr>
          <w:rFonts w:ascii="Arial" w:hAnsi="Arial"/>
          <w:sz w:val="21"/>
        </w:rPr>
        <w:t>This should be presented as an evidence-readiness product, not a dollarized ROI product.</w:t>
      </w:r>
    </w:p>
    <w:p>
      <w:pPr>
        <w:pStyle w:val="Heading1"/>
      </w:pPr>
      <w:r>
        <w:rPr>
          <w:rFonts w:ascii="Arial" w:hAnsi="Arial"/>
          <w:color w:val="061A44"/>
        </w:rPr>
        <w:t>Appendix E: Pilot Decision Memo</w:t>
      </w:r>
    </w:p>
    <w:p>
      <w:pPr>
        <w:spacing w:after="120"/>
      </w:pPr>
      <w:r>
        <w:rPr>
          <w:rFonts w:ascii="Arial" w:hAnsi="Arial"/>
          <w:sz w:val="21"/>
        </w:rPr>
        <w:t>Decision: continue to a customer-facing rehearsal packet, but keep the claim narrow.</w:t>
      </w:r>
    </w:p>
    <w:p>
      <w:pPr>
        <w:spacing w:after="120"/>
      </w:pPr>
      <w:r>
        <w:rPr>
          <w:rFonts w:ascii="Arial" w:hAnsi="Arial"/>
          <w:sz w:val="21"/>
        </w:rPr>
        <w:t>Recommended posture:</w:t>
      </w:r>
    </w:p>
    <w:p>
      <w:pPr>
        <w:spacing w:after="120"/>
      </w:pPr>
      <w:r>
        <w:rPr>
          <w:rFonts w:ascii="Arial" w:hAnsi="Arial"/>
          <w:sz w:val="21"/>
        </w:rPr>
        <w:t>1. Lead with aggregate AI work evidence, not adoption dashboards.</w:t>
      </w:r>
    </w:p>
    <w:p>
      <w:pPr>
        <w:spacing w:after="120"/>
      </w:pPr>
      <w:r>
        <w:rPr>
          <w:rFonts w:ascii="Arial" w:hAnsi="Arial"/>
          <w:sz w:val="21"/>
        </w:rPr>
        <w:t>2. Show AI work pattern tiers so executives can distinguish reach, workflow execution, recovery-like continuation, verification, and weak-linkage gaps.</w:t>
      </w:r>
    </w:p>
    <w:p>
      <w:pPr>
        <w:spacing w:after="120"/>
      </w:pPr>
      <w:r>
        <w:rPr>
          <w:rFonts w:ascii="Arial" w:hAnsi="Arial"/>
          <w:sz w:val="21"/>
        </w:rPr>
        <w:t>3. Use Velocity x Depth as the operating map.</w:t>
      </w:r>
    </w:p>
    <w:p>
      <w:pPr>
        <w:spacing w:after="120"/>
      </w:pPr>
      <w:r>
        <w:rPr>
          <w:rFonts w:ascii="Arial" w:hAnsi="Arial"/>
          <w:sz w:val="21"/>
        </w:rPr>
        <w:t>4. Use Trust Evidence Gap as the proof-loop repair agenda.</w:t>
      </w:r>
    </w:p>
    <w:p>
      <w:pPr>
        <w:spacing w:after="120"/>
      </w:pPr>
      <w:r>
        <w:rPr>
          <w:rFonts w:ascii="Arial" w:hAnsi="Arial"/>
          <w:sz w:val="21"/>
        </w:rPr>
        <w:t>5. Treat ROI as blocked until outcome metrics and assumptions are available inside the governed evidence layer.</w:t>
      </w:r>
    </w:p>
    <w:p>
      <w:pPr>
        <w:spacing w:after="120"/>
      </w:pPr>
      <w:r>
        <w:rPr>
          <w:rFonts w:ascii="Arial" w:hAnsi="Arial"/>
          <w:sz w:val="21"/>
        </w:rPr>
        <w:t>Non-goals: no individual scoring, no team ranking, no manager ranking, no productivity claim, no causality claim, no ROI calculation, no raw prompt or output inspection.</w:t>
      </w:r>
    </w:p>
    <w:p>
      <w:pPr>
        <w:pStyle w:val="Heading1"/>
      </w:pPr>
      <w:r>
        <w:rPr>
          <w:rFonts w:ascii="Arial" w:hAnsi="Arial"/>
          <w:color w:val="061A44"/>
        </w:rPr>
        <w:t>Appendix F: Glossary</w:t>
      </w:r>
    </w:p>
    <w:p>
      <w:pPr>
        <w:ind w:left="259"/>
      </w:pPr>
      <w:r>
        <w:rPr>
          <w:rFonts w:ascii="Arial" w:hAnsi="Arial"/>
          <w:sz w:val="20"/>
        </w:rPr>
        <w:t>• **AI Work Evidence:** Aggregate telemetry that shows where AI is present in real work, how it is connected to workflows, and where evidence is strong or weak.</w:t>
      </w:r>
    </w:p>
    <w:p>
      <w:pPr>
        <w:ind w:left="259"/>
      </w:pPr>
      <w:r>
        <w:rPr>
          <w:rFonts w:ascii="Arial" w:hAnsi="Arial"/>
          <w:sz w:val="20"/>
        </w:rPr>
        <w:t>• **AI surface:** A place where AI can be used, such as search, chat, autocomplete, a workflow run, an agent span, or an embedded assistant.</w:t>
      </w:r>
    </w:p>
    <w:p>
      <w:pPr>
        <w:ind w:left="259"/>
      </w:pPr>
      <w:r>
        <w:rPr>
          <w:rFonts w:ascii="Arial" w:hAnsi="Arial"/>
          <w:sz w:val="20"/>
        </w:rPr>
        <w:t>• **Workflow evidence:** Aggregate signs that AI is attached to a real work path instead of a standalone interaction.</w:t>
      </w:r>
    </w:p>
    <w:p>
      <w:pPr>
        <w:ind w:left="259"/>
      </w:pPr>
      <w:r>
        <w:rPr>
          <w:rFonts w:ascii="Arial" w:hAnsi="Arial"/>
          <w:sz w:val="20"/>
        </w:rPr>
        <w:t>• **Velocity:** How quickly AI-assisted work appears to move, using aggregate frequency, engagement, and repeat-use patterns.</w:t>
      </w:r>
    </w:p>
    <w:p>
      <w:pPr>
        <w:ind w:left="259"/>
      </w:pPr>
      <w:r>
        <w:rPr>
          <w:rFonts w:ascii="Arial" w:hAnsi="Arial"/>
          <w:sz w:val="20"/>
        </w:rPr>
        <w:t>• **Depth:** How embedded AI appears to be across surfaces and workflows, not how skilled any individual person is.</w:t>
      </w:r>
    </w:p>
    <w:p>
      <w:pPr>
        <w:ind w:left="259"/>
      </w:pPr>
      <w:r>
        <w:rPr>
          <w:rFonts w:ascii="Arial" w:hAnsi="Arial"/>
          <w:sz w:val="20"/>
        </w:rPr>
        <w:t>• **Frequency:** How often AI activity appears in the aggregate window.</w:t>
      </w:r>
    </w:p>
    <w:p>
      <w:pPr>
        <w:ind w:left="259"/>
      </w:pPr>
      <w:r>
        <w:rPr>
          <w:rFonts w:ascii="Arial" w:hAnsi="Arial"/>
          <w:sz w:val="20"/>
        </w:rPr>
        <w:t>• **Engagement:** How much aggregate interaction occurs around AI-assisted work, such as repeated use or continued activity.</w:t>
      </w:r>
    </w:p>
    <w:p>
      <w:pPr>
        <w:ind w:left="259"/>
      </w:pPr>
      <w:r>
        <w:rPr>
          <w:rFonts w:ascii="Arial" w:hAnsi="Arial"/>
          <w:sz w:val="20"/>
        </w:rPr>
        <w:t>• **Breadth:** How many distinct AI surfaces or work contexts appear in the aggregate evidence.</w:t>
      </w:r>
    </w:p>
    <w:p>
      <w:pPr>
        <w:ind w:left="259"/>
      </w:pPr>
      <w:r>
        <w:rPr>
          <w:rFonts w:ascii="Arial" w:hAnsi="Arial"/>
          <w:sz w:val="20"/>
        </w:rPr>
        <w:t>• **Reliability Factor:** A confidence lens that looks for abandonment, friction loops, recovery, and verification signals before interpreting behavior.</w:t>
      </w:r>
    </w:p>
    <w:p>
      <w:pPr>
        <w:ind w:left="259"/>
      </w:pPr>
      <w:r>
        <w:rPr>
          <w:rFonts w:ascii="Arial" w:hAnsi="Arial"/>
          <w:sz w:val="20"/>
        </w:rPr>
        <w:t>• **Quality Multiplier:** A caveat lens that can discount or amplify time-saved assumptions later; this packet does not use it to calculate ROI.</w:t>
      </w:r>
    </w:p>
    <w:p>
      <w:pPr>
        <w:ind w:left="259"/>
      </w:pPr>
      <w:r>
        <w:rPr>
          <w:rFonts w:ascii="Arial" w:hAnsi="Arial"/>
          <w:sz w:val="20"/>
        </w:rPr>
        <w:t>• **Trust evidence:** Aggregate signs that people verified, continued, corrected, recovered, or gave feedback after AI assistance.</w:t>
      </w:r>
    </w:p>
    <w:p>
      <w:pPr>
        <w:ind w:left="259"/>
      </w:pPr>
      <w:r>
        <w:rPr>
          <w:rFonts w:ascii="Arial" w:hAnsi="Arial"/>
          <w:sz w:val="20"/>
        </w:rPr>
        <w:t>• **Trust attribution:** Whether a trust signal can be attached to a workflow path with enough confidence to interpret it.</w:t>
      </w:r>
    </w:p>
    <w:p>
      <w:pPr>
        <w:ind w:left="259"/>
      </w:pPr>
      <w:r>
        <w:rPr>
          <w:rFonts w:ascii="Arial" w:hAnsi="Arial"/>
          <w:sz w:val="20"/>
        </w:rPr>
        <w:t>• **Evidence gap:** A place where activity exists but the supporting source coverage, attribution, or downstream context is not strong enough to interpret.</w:t>
      </w:r>
    </w:p>
    <w:p>
      <w:pPr>
        <w:ind w:left="259"/>
      </w:pPr>
      <w:r>
        <w:rPr>
          <w:rFonts w:ascii="Arial" w:hAnsi="Arial"/>
          <w:sz w:val="20"/>
        </w:rPr>
        <w:t>• **AI work pattern tier:** A plain-language bucket that separates raw AI activity from stronger workflow, verification, or source-coverage evidence.</w:t>
      </w:r>
    </w:p>
    <w:p>
      <w:pPr>
        <w:ind w:left="259"/>
      </w:pPr>
      <w:r>
        <w:rPr>
          <w:rFonts w:ascii="Arial" w:hAnsi="Arial"/>
          <w:sz w:val="20"/>
        </w:rPr>
        <w:t>• **Value-readiness zone:** An executive action lane that says what to do next, such as scale, redesign, repair trust loops, or hold interpretation.</w:t>
      </w:r>
    </w:p>
    <w:p>
      <w:pPr>
        <w:ind w:left="259"/>
      </w:pPr>
      <w:r>
        <w:rPr>
          <w:rFonts w:ascii="Arial" w:hAnsi="Arial"/>
          <w:sz w:val="20"/>
        </w:rPr>
        <w:t>• **Outcome evidence:** Customer-owned aggregate business context, such as a KPI window, that can be attached later without claiming causality by default.</w:t>
      </w:r>
    </w:p>
    <w:p>
      <w:pPr>
        <w:ind w:left="259"/>
      </w:pPr>
      <w:r>
        <w:rPr>
          <w:rFonts w:ascii="Arial" w:hAnsi="Arial"/>
          <w:sz w:val="20"/>
        </w:rPr>
        <w:t>• **Value hypothesis:** A testable idea about where AI may create value, such as acceleration, quality premium, or net-new work. It is not ROI proof.</w:t>
      </w:r>
    </w:p>
    <w:p>
      <w:pPr>
        <w:ind w:left="259"/>
      </w:pPr>
      <w:r>
        <w:rPr>
          <w:rFonts w:ascii="Arial" w:hAnsi="Arial"/>
          <w:sz w:val="20"/>
        </w:rPr>
        <w:t>• **Source coverage:** How complete and unambiguous the available telemetry is for a given aggregate interpretation.</w:t>
      </w:r>
    </w:p>
    <w:p>
      <w:pPr>
        <w:ind w:left="259"/>
      </w:pPr>
      <w:r>
        <w:rPr>
          <w:rFonts w:ascii="Arial" w:hAnsi="Arial"/>
          <w:sz w:val="20"/>
        </w:rPr>
        <w:t>• **Suppressed:** A fail-closed result where FluencyTracr withholds interpretation because the governed evidence bar is not met.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