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61A44"/>
          <w:sz w:val="48"/>
        </w:rPr>
        <w:t>FluencyTracr Pilot Decision Memo</w:t>
      </w:r>
    </w:p>
    <w:p>
      <w:r>
        <w:t>Internal pilot rehearsal. Aggregate evidence only.</w:t>
      </w:r>
    </w:p>
    <w:p>
      <w:pPr>
        <w:spacing w:after="120"/>
      </w:pPr>
      <w:r>
        <w:rPr>
          <w:rFonts w:ascii="Arial" w:hAnsi="Arial"/>
          <w:sz w:val="21"/>
        </w:rPr>
        <w:t>Date: 2026-05-28</w:t>
      </w:r>
    </w:p>
    <w:p>
      <w:pPr>
        <w:spacing w:after="120"/>
      </w:pPr>
      <w:r>
        <w:rPr>
          <w:rFonts w:ascii="Arial" w:hAnsi="Arial"/>
          <w:sz w:val="21"/>
        </w:rPr>
        <w:t>Decision: `PROCEED_TO_EXECUTIVE_REHEARSAL_PACKET`</w:t>
      </w:r>
    </w:p>
    <w:p>
      <w:pPr>
        <w:pStyle w:val="Heading1"/>
      </w:pPr>
      <w:r>
        <w:rPr>
          <w:rFonts w:ascii="Arial" w:hAnsi="Arial"/>
          <w:color w:val="061A44"/>
        </w:rPr>
        <w:t>Why</w:t>
      </w:r>
    </w:p>
    <w:p>
      <w:pPr>
        <w:spacing w:after="120"/>
      </w:pPr>
      <w:r>
        <w:rPr>
          <w:rFonts w:ascii="Arial" w:hAnsi="Arial"/>
          <w:sz w:val="21"/>
        </w:rPr>
        <w:t>The internal pilot shows that FluencyTracr can separate raw AI activity from workflow-integrated evidence, trust evidence, source coverage, and value-readiness using aggregate telemetry we already collect.</w:t>
      </w:r>
    </w:p>
    <w:p>
      <w:pPr>
        <w:pStyle w:val="Heading1"/>
      </w:pPr>
      <w:r>
        <w:rPr>
          <w:rFonts w:ascii="Arial" w:hAnsi="Arial"/>
          <w:color w:val="061A44"/>
        </w:rPr>
        <w:t>Evidence</w:t>
      </w:r>
    </w:p>
    <w:p>
      <w:pPr>
        <w:ind w:left="259"/>
      </w:pPr>
      <w:r>
        <w:rPr>
          <w:rFonts w:ascii="Arial" w:hAnsi="Arial"/>
          <w:sz w:val="20"/>
        </w:rPr>
        <w:t>• Scale-candidate cohort rows: 125,100.</w:t>
      </w:r>
    </w:p>
    <w:p>
      <w:pPr>
        <w:ind w:left="259"/>
      </w:pPr>
      <w:r>
        <w:rPr>
          <w:rFonts w:ascii="Arial" w:hAnsi="Arial"/>
          <w:sz w:val="20"/>
        </w:rPr>
        <w:t>• Trust-evidence-gap cohort rows: 6,537,249.</w:t>
      </w:r>
    </w:p>
    <w:p>
      <w:pPr>
        <w:ind w:left="259"/>
      </w:pPr>
      <w:r>
        <w:rPr>
          <w:rFonts w:ascii="Arial" w:hAnsi="Arial"/>
          <w:sz w:val="20"/>
        </w:rPr>
        <w:t>• Shallow-adoption cohort rows: 17,241.</w:t>
      </w:r>
    </w:p>
    <w:p>
      <w:pPr>
        <w:ind w:left="259"/>
      </w:pPr>
      <w:r>
        <w:rPr>
          <w:rFonts w:ascii="Arial" w:hAnsi="Arial"/>
          <w:sz w:val="20"/>
        </w:rPr>
        <w:t>• Focused-expert-use cohort rows: 1,250.</w:t>
      </w:r>
    </w:p>
    <w:p>
      <w:pPr>
        <w:ind w:left="259"/>
      </w:pPr>
      <w:r>
        <w:rPr>
          <w:rFonts w:ascii="Arial" w:hAnsi="Arial"/>
          <w:sz w:val="20"/>
        </w:rPr>
        <w:t>• Skill-read evidence rows with parent joins: 2,210,614 (99.6%).</w:t>
      </w:r>
    </w:p>
    <w:p>
      <w:pPr>
        <w:pStyle w:val="Heading1"/>
      </w:pPr>
      <w:r>
        <w:rPr>
          <w:rFonts w:ascii="Arial" w:hAnsi="Arial"/>
          <w:color w:val="061A44"/>
        </w:rPr>
        <w:t>What We Can Promise</w:t>
      </w:r>
    </w:p>
    <w:p>
      <w:pPr>
        <w:ind w:left="259"/>
      </w:pPr>
      <w:r>
        <w:rPr>
          <w:rFonts w:ascii="Arial" w:hAnsi="Arial"/>
          <w:sz w:val="20"/>
        </w:rPr>
        <w:t>• Identify where AI is present versus embedded in workflow execution.</w:t>
      </w:r>
    </w:p>
    <w:p>
      <w:pPr>
        <w:ind w:left="259"/>
      </w:pPr>
      <w:r>
        <w:rPr>
          <w:rFonts w:ascii="Arial" w:hAnsi="Arial"/>
          <w:sz w:val="20"/>
        </w:rPr>
        <w:t>• Identify where post-friction continuation and verification evidence exist.</w:t>
      </w:r>
    </w:p>
    <w:p>
      <w:pPr>
        <w:ind w:left="259"/>
      </w:pPr>
      <w:r>
        <w:rPr>
          <w:rFonts w:ascii="Arial" w:hAnsi="Arial"/>
          <w:sz w:val="20"/>
        </w:rPr>
        <w:t>• Identify where trust and source coverage are too weak for interpretation.</w:t>
      </w:r>
    </w:p>
    <w:p>
      <w:pPr>
        <w:ind w:left="259"/>
      </w:pPr>
      <w:r>
        <w:rPr>
          <w:rFonts w:ascii="Arial" w:hAnsi="Arial"/>
          <w:sz w:val="20"/>
        </w:rPr>
        <w:t>• Route value hypotheses to the right next investigation.</w:t>
      </w:r>
    </w:p>
    <w:p>
      <w:pPr>
        <w:pStyle w:val="Heading1"/>
      </w:pPr>
      <w:r>
        <w:rPr>
          <w:rFonts w:ascii="Arial" w:hAnsi="Arial"/>
          <w:color w:val="061A44"/>
        </w:rPr>
        <w:t>What We Cannot Promise Yet</w:t>
      </w:r>
    </w:p>
    <w:p>
      <w:pPr>
        <w:ind w:left="259"/>
      </w:pPr>
      <w:r>
        <w:rPr>
          <w:rFonts w:ascii="Arial" w:hAnsi="Arial"/>
          <w:sz w:val="20"/>
        </w:rPr>
        <w:t>• Dollarized ROI.</w:t>
      </w:r>
    </w:p>
    <w:p>
      <w:pPr>
        <w:ind w:left="259"/>
      </w:pPr>
      <w:r>
        <w:rPr>
          <w:rFonts w:ascii="Arial" w:hAnsi="Arial"/>
          <w:sz w:val="20"/>
        </w:rPr>
        <w:t>• Causal impact.</w:t>
      </w:r>
    </w:p>
    <w:p>
      <w:pPr>
        <w:ind w:left="259"/>
      </w:pPr>
      <w:r>
        <w:rPr>
          <w:rFonts w:ascii="Arial" w:hAnsi="Arial"/>
          <w:sz w:val="20"/>
        </w:rPr>
        <w:t>• Productivity lift.</w:t>
      </w:r>
    </w:p>
    <w:p>
      <w:pPr>
        <w:ind w:left="259"/>
      </w:pPr>
      <w:r>
        <w:rPr>
          <w:rFonts w:ascii="Arial" w:hAnsi="Arial"/>
          <w:sz w:val="20"/>
        </w:rPr>
        <w:t>• Output correctness.</w:t>
      </w:r>
    </w:p>
    <w:p>
      <w:pPr>
        <w:ind w:left="259"/>
      </w:pPr>
      <w:r>
        <w:rPr>
          <w:rFonts w:ascii="Arial" w:hAnsi="Arial"/>
          <w:sz w:val="20"/>
        </w:rPr>
        <w:t>• Employee, team, manager, or department scoring.</w:t>
      </w:r>
    </w:p>
    <w:p>
      <w:pPr>
        <w:pStyle w:val="Heading1"/>
      </w:pPr>
      <w:r>
        <w:rPr>
          <w:rFonts w:ascii="Arial" w:hAnsi="Arial"/>
          <w:color w:val="061A44"/>
        </w:rPr>
        <w:t>Next Action</w:t>
      </w:r>
    </w:p>
    <w:p>
      <w:pPr>
        <w:spacing w:after="120"/>
      </w:pPr>
      <w:r>
        <w:rPr>
          <w:rFonts w:ascii="Arial" w:hAnsi="Arial"/>
          <w:sz w:val="21"/>
        </w:rPr>
        <w:t>Build the external-facing executive rehearsal deck/report from this packet, then decide whether to pilot with a customer using the same aggregate-only variable names and evidence lanes.</w:t>
      </w:r>
    </w:p>
    <w:p>
      <w:pPr>
        <w:pStyle w:val="Heading1"/>
      </w:pPr>
      <w:r>
        <w:rPr>
          <w:rFonts w:ascii="Arial" w:hAnsi="Arial"/>
          <w:color w:val="061A44"/>
        </w:rPr>
        <w:t>Glossary</w:t>
      </w:r>
    </w:p>
    <w:p>
      <w:pPr>
        <w:ind w:left="259"/>
      </w:pPr>
      <w:r>
        <w:rPr>
          <w:rFonts w:ascii="Arial" w:hAnsi="Arial"/>
          <w:sz w:val="20"/>
        </w:rPr>
        <w:t>• **AI Work Evidence:** Aggregate telemetry that shows where AI is present in real work, how it is connected to workflows, and where evidence is strong or weak.</w:t>
      </w:r>
    </w:p>
    <w:p>
      <w:pPr>
        <w:ind w:left="259"/>
      </w:pPr>
      <w:r>
        <w:rPr>
          <w:rFonts w:ascii="Arial" w:hAnsi="Arial"/>
          <w:sz w:val="20"/>
        </w:rPr>
        <w:t>• **AI surface:** A place where AI can be used, such as search, chat, autocomplete, a workflow run, an agent span, or an embedded assistant.</w:t>
      </w:r>
    </w:p>
    <w:p>
      <w:pPr>
        <w:ind w:left="259"/>
      </w:pPr>
      <w:r>
        <w:rPr>
          <w:rFonts w:ascii="Arial" w:hAnsi="Arial"/>
          <w:sz w:val="20"/>
        </w:rPr>
        <w:t>• **Workflow evidence:** Aggregate signs that AI is attached to a real work path instead of a standalone interaction.</w:t>
      </w:r>
    </w:p>
    <w:p>
      <w:pPr>
        <w:ind w:left="259"/>
      </w:pPr>
      <w:r>
        <w:rPr>
          <w:rFonts w:ascii="Arial" w:hAnsi="Arial"/>
          <w:sz w:val="20"/>
        </w:rPr>
        <w:t>• **Velocity:** How quickly AI-assisted work appears to move, using aggregate frequency, engagement, and repeat-use patterns.</w:t>
      </w:r>
    </w:p>
    <w:p>
      <w:pPr>
        <w:ind w:left="259"/>
      </w:pPr>
      <w:r>
        <w:rPr>
          <w:rFonts w:ascii="Arial" w:hAnsi="Arial"/>
          <w:sz w:val="20"/>
        </w:rPr>
        <w:t>• **Depth:** How embedded AI appears to be across surfaces and workflows, not how skilled any individual person is.</w:t>
      </w:r>
    </w:p>
    <w:p>
      <w:pPr>
        <w:ind w:left="259"/>
      </w:pPr>
      <w:r>
        <w:rPr>
          <w:rFonts w:ascii="Arial" w:hAnsi="Arial"/>
          <w:sz w:val="20"/>
        </w:rPr>
        <w:t>• **Frequency:** How often AI activity appears in the aggregate window.</w:t>
      </w:r>
    </w:p>
    <w:p>
      <w:pPr>
        <w:ind w:left="259"/>
      </w:pPr>
      <w:r>
        <w:rPr>
          <w:rFonts w:ascii="Arial" w:hAnsi="Arial"/>
          <w:sz w:val="20"/>
        </w:rPr>
        <w:t>• **Engagement:** How much aggregate interaction occurs around AI-assisted work, such as repeated use or continued activity.</w:t>
      </w:r>
    </w:p>
    <w:p>
      <w:pPr>
        <w:ind w:left="259"/>
      </w:pPr>
      <w:r>
        <w:rPr>
          <w:rFonts w:ascii="Arial" w:hAnsi="Arial"/>
          <w:sz w:val="20"/>
        </w:rPr>
        <w:t>• **Breadth:** How many distinct AI surfaces or work contexts appear in the aggregate evidence.</w:t>
      </w:r>
    </w:p>
    <w:p>
      <w:pPr>
        <w:ind w:left="259"/>
      </w:pPr>
      <w:r>
        <w:rPr>
          <w:rFonts w:ascii="Arial" w:hAnsi="Arial"/>
          <w:sz w:val="20"/>
        </w:rPr>
        <w:t>• **Reliability Factor:** A confidence lens that looks for abandonment, friction loops, recovery, and verification signals before interpreting behavior.</w:t>
      </w:r>
    </w:p>
    <w:p>
      <w:pPr>
        <w:ind w:left="259"/>
      </w:pPr>
      <w:r>
        <w:rPr>
          <w:rFonts w:ascii="Arial" w:hAnsi="Arial"/>
          <w:sz w:val="20"/>
        </w:rPr>
        <w:t>• **Quality Multiplier:** A caveat lens that can discount or amplify time-saved assumptions later; this packet does not use it to calculate ROI.</w:t>
      </w:r>
    </w:p>
    <w:p>
      <w:pPr>
        <w:ind w:left="259"/>
      </w:pPr>
      <w:r>
        <w:rPr>
          <w:rFonts w:ascii="Arial" w:hAnsi="Arial"/>
          <w:sz w:val="20"/>
        </w:rPr>
        <w:t>• **Trust evidence:** Aggregate signs that people verified, continued, corrected, recovered, or gave feedback after AI assistance.</w:t>
      </w:r>
    </w:p>
    <w:p>
      <w:pPr>
        <w:ind w:left="259"/>
      </w:pPr>
      <w:r>
        <w:rPr>
          <w:rFonts w:ascii="Arial" w:hAnsi="Arial"/>
          <w:sz w:val="20"/>
        </w:rPr>
        <w:t>• **Trust attribution:** Whether a trust signal can be attached to a workflow path with enough confidence to interpret it.</w:t>
      </w:r>
    </w:p>
    <w:p>
      <w:pPr>
        <w:ind w:left="259"/>
      </w:pPr>
      <w:r>
        <w:rPr>
          <w:rFonts w:ascii="Arial" w:hAnsi="Arial"/>
          <w:sz w:val="20"/>
        </w:rPr>
        <w:t>• **Evidence gap:** A place where activity exists but the supporting source coverage, attribution, or downstream context is not strong enough to interpret.</w:t>
      </w:r>
    </w:p>
    <w:p>
      <w:pPr>
        <w:ind w:left="259"/>
      </w:pPr>
      <w:r>
        <w:rPr>
          <w:rFonts w:ascii="Arial" w:hAnsi="Arial"/>
          <w:sz w:val="20"/>
        </w:rPr>
        <w:t>• **AI work pattern tier:** A plain-language bucket that separates raw AI activity from stronger workflow, verification, or source-coverage evidence.</w:t>
      </w:r>
    </w:p>
    <w:p>
      <w:pPr>
        <w:ind w:left="259"/>
      </w:pPr>
      <w:r>
        <w:rPr>
          <w:rFonts w:ascii="Arial" w:hAnsi="Arial"/>
          <w:sz w:val="20"/>
        </w:rPr>
        <w:t>• **Value-readiness zone:** An executive action lane that says what to do next, such as scale, redesign, repair trust loops, or hold interpretation.</w:t>
      </w:r>
    </w:p>
    <w:p>
      <w:pPr>
        <w:ind w:left="259"/>
      </w:pPr>
      <w:r>
        <w:rPr>
          <w:rFonts w:ascii="Arial" w:hAnsi="Arial"/>
          <w:sz w:val="20"/>
        </w:rPr>
        <w:t>• **Outcome evidence:** Customer-owned aggregate business context, such as a KPI window, that can be attached later without claiming causality by default.</w:t>
      </w:r>
    </w:p>
    <w:p>
      <w:pPr>
        <w:ind w:left="259"/>
      </w:pPr>
      <w:r>
        <w:rPr>
          <w:rFonts w:ascii="Arial" w:hAnsi="Arial"/>
          <w:sz w:val="20"/>
        </w:rPr>
        <w:t>• **Value hypothesis:** A testable idea about where AI may create value, such as acceleration, quality premium, or net-new work. It is not ROI proof.</w:t>
      </w:r>
    </w:p>
    <w:p>
      <w:pPr>
        <w:ind w:left="259"/>
      </w:pPr>
      <w:r>
        <w:rPr>
          <w:rFonts w:ascii="Arial" w:hAnsi="Arial"/>
          <w:sz w:val="20"/>
        </w:rPr>
        <w:t>• **Source coverage:** How complete and unambiguous the available telemetry is for a given aggregate interpretation.</w:t>
      </w:r>
    </w:p>
    <w:p>
      <w:pPr>
        <w:ind w:left="259"/>
      </w:pPr>
      <w:r>
        <w:rPr>
          <w:rFonts w:ascii="Arial" w:hAnsi="Arial"/>
          <w:sz w:val="20"/>
        </w:rPr>
        <w:t>• **Suppressed:** A fail-closed result where FluencyTracr withholds interpretation because the governed evidence bar is not met.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