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FluencyTracr AI Work Evidence Layer Report</w:t>
      </w:r>
    </w:p>
    <w:p/>
    <w:p>
      <w:r>
        <w:t>External-facing working draft. This report explains the visual model for</w:t>
      </w:r>
    </w:p>
    <w:p>
      <w:r>
        <w:t>FluencyTracr as an aggregate AI work evidence layer: what inputs it uses, which</w:t>
      </w:r>
    </w:p>
    <w:p>
      <w:r>
        <w:t>behavioral primitives it observes, how those primitives support Velocity,</w:t>
      </w:r>
    </w:p>
    <w:p>
      <w:r>
        <w:t>Depth, Reliability, Quality, Trust Calibration, and Time-Saved Defensibility,</w:t>
      </w:r>
    </w:p>
    <w:p>
      <w:r>
        <w:t>and what executive outputs are safe to claim.</w:t>
      </w:r>
    </w:p>
    <w:p/>
    <w:p>
      <w:r>
        <w:t>This report is evidence-bound. It does not claim ROI, causality, productivity</w:t>
      </w:r>
    </w:p>
    <w:p>
      <w:r>
        <w:t>lift, employee fluency, team ranking, manager ranking, or output correctness.</w:t>
      </w:r>
    </w:p>
    <w:p/>
    <w:p>
      <w:pPr>
        <w:pStyle w:val="Heading1"/>
      </w:pPr>
      <w:r>
        <w:t>1. Executive Summary</w:t>
      </w:r>
    </w:p>
    <w:p/>
    <w:p>
      <w:r>
        <w:t>Most AI adoption dashboards show activity: logins, prompts, messages, users, or</w:t>
      </w:r>
    </w:p>
    <w:p>
      <w:r>
        <w:rPr>
          <w:b/>
          <w:color w:val="082252"/>
        </w:rPr>
        <w:t>tool launches. FluencyTracr is designed to answer a harder question:</w:t>
      </w:r>
    </w:p>
    <w:p/>
    <w:p>
      <w:r>
        <w:rPr>
          <w:rFonts w:ascii="Courier New" w:hAnsi="Courier New"/>
          <w:color w:val="1F2937"/>
          <w:sz w:val="17"/>
        </w:rPr>
        <w:t>Is aggregate AI-assisted work actually moving, recovering, being verified, and</w:t>
        <w:br/>
      </w:r>
      <w:r>
        <w:rPr>
          <w:rFonts w:ascii="Courier New" w:hAnsi="Courier New"/>
          <w:color w:val="1F2937"/>
          <w:sz w:val="17"/>
        </w:rPr>
        <w:t>becoming embedded enough to support safer value-realization decisions?</w:t>
      </w:r>
    </w:p>
    <w:p/>
    <w:p>
      <w:r>
        <w:t>FluencyTracr does this by converting governed aggregate telemetry into</w:t>
      </w:r>
    </w:p>
    <w:p>
      <w:r>
        <w:t>behavioral evidence. The product does not inspect raw prompts or outputs. It</w:t>
      </w:r>
    </w:p>
    <w:p>
      <w:r>
        <w:t>does not evaluate employees. It does not score individuals or rank teams. It</w:t>
      </w:r>
    </w:p>
    <w:p>
      <w:r>
        <w:rPr>
          <w:b/>
          <w:color w:val="082252"/>
        </w:rPr>
        <w:t>uses aggregate, fail-closed evidence to help leaders understand:</w:t>
      </w:r>
    </w:p>
    <w:p/>
    <w:p>
      <w:pPr>
        <w:pStyle w:val="ListBullet"/>
      </w:pPr>
      <w:r>
        <w:t>where AI work appears ready to scale,</w:t>
      </w:r>
    </w:p>
    <w:p>
      <w:pPr>
        <w:pStyle w:val="ListBullet"/>
      </w:pPr>
      <w:r>
        <w:t>where adoption is fast but shallow,</w:t>
      </w:r>
    </w:p>
    <w:p>
      <w:pPr>
        <w:pStyle w:val="ListBullet"/>
      </w:pPr>
      <w:r>
        <w:t>where usage is deep but creating drag,</w:t>
      </w:r>
    </w:p>
    <w:p>
      <w:pPr>
        <w:pStyle w:val="ListBullet"/>
      </w:pPr>
      <w:r>
        <w:t>where trust evidence is missing,</w:t>
      </w:r>
    </w:p>
    <w:p>
      <w:pPr>
        <w:pStyle w:val="ListBullet"/>
      </w:pPr>
      <w:r>
        <w:t>where source coverage is too weak to interpret,</w:t>
      </w:r>
    </w:p>
    <w:p>
      <w:pPr>
        <w:pStyle w:val="ListBullet"/>
      </w:pPr>
      <w:r>
        <w:t>where customer-owned outcome evidence is needed before value claims can be</w:t>
      </w:r>
    </w:p>
    <w:p>
      <w:r>
        <w:t xml:space="preserve">  made.</w:t>
      </w:r>
    </w:p>
    <w:p/>
    <w:p>
      <w:r>
        <w:rPr>
          <w:b/>
          <w:color w:val="082252"/>
        </w:rPr>
        <w:t>The core operating model is:</w:t>
      </w:r>
    </w:p>
    <w:p/>
    <w:p>
      <w:r>
        <w:rPr>
          <w:rFonts w:ascii="Courier New" w:hAnsi="Courier New"/>
          <w:color w:val="1F2937"/>
          <w:sz w:val="17"/>
        </w:rPr>
        <w:t>Aggregate inputs</w:t>
        <w:br/>
      </w:r>
      <w:r>
        <w:rPr>
          <w:rFonts w:ascii="Courier New" w:hAnsi="Courier New"/>
          <w:color w:val="1F2937"/>
          <w:sz w:val="17"/>
        </w:rPr>
        <w:t>-&gt; behavioral primitives</w:t>
        <w:br/>
      </w:r>
      <w:r>
        <w:rPr>
          <w:rFonts w:ascii="Courier New" w:hAnsi="Courier New"/>
          <w:color w:val="1F2937"/>
          <w:sz w:val="17"/>
        </w:rPr>
        <w:t>-&gt; confidence frameworks</w:t>
        <w:br/>
      </w:r>
      <w:r>
        <w:rPr>
          <w:rFonts w:ascii="Courier New" w:hAnsi="Courier New"/>
          <w:color w:val="1F2937"/>
          <w:sz w:val="17"/>
        </w:rPr>
        <w:t>-&gt; executive readouts</w:t>
      </w:r>
    </w:p>
    <w:p/>
    <w:p>
      <w:r>
        <w:rPr>
          <w:b/>
          <w:color w:val="082252"/>
        </w:rPr>
        <w:t>The frameworks in the visual are:</w:t>
      </w:r>
    </w:p>
    <w:p/>
    <w:p>
      <w:pPr>
        <w:pStyle w:val="ListBullet"/>
      </w:pPr>
      <w:r>
        <w:t>Behavioral Evidence Primitives</w:t>
      </w:r>
    </w:p>
    <w:p>
      <w:pPr>
        <w:pStyle w:val="ListBullet"/>
      </w:pPr>
      <w:r>
        <w:t>Velocity</w:t>
      </w:r>
    </w:p>
    <w:p>
      <w:pPr>
        <w:pStyle w:val="ListBullet"/>
      </w:pPr>
      <w:r>
        <w:t>Depth</w:t>
      </w:r>
    </w:p>
    <w:p>
      <w:pPr>
        <w:pStyle w:val="ListBullet"/>
      </w:pPr>
      <w:r>
        <w:t>Velocity x Depth zones</w:t>
      </w:r>
    </w:p>
    <w:p>
      <w:pPr>
        <w:pStyle w:val="ListBullet"/>
      </w:pPr>
      <w:r>
        <w:t>Reliability Factor</w:t>
      </w:r>
    </w:p>
    <w:p>
      <w:pPr>
        <w:pStyle w:val="ListBullet"/>
      </w:pPr>
      <w:r>
        <w:t>Quality Multiplier</w:t>
      </w:r>
    </w:p>
    <w:p>
      <w:pPr>
        <w:pStyle w:val="ListBullet"/>
      </w:pPr>
      <w:r>
        <w:t>Trust Calibration</w:t>
      </w:r>
    </w:p>
    <w:p>
      <w:pPr>
        <w:pStyle w:val="ListBullet"/>
      </w:pPr>
      <w:r>
        <w:t>Source Coverage</w:t>
      </w:r>
    </w:p>
    <w:p>
      <w:pPr>
        <w:pStyle w:val="ListBullet"/>
      </w:pPr>
      <w:r>
        <w:t>Outcome Readiness</w:t>
      </w:r>
    </w:p>
    <w:p>
      <w:pPr>
        <w:pStyle w:val="ListBullet"/>
      </w:pPr>
      <w:r>
        <w:t>Value Hypotheses</w:t>
      </w:r>
    </w:p>
    <w:p>
      <w:pPr>
        <w:pStyle w:val="ListBullet"/>
      </w:pPr>
      <w:r>
        <w:t>Time-Saved Defensibility Range</w:t>
      </w:r>
    </w:p>
    <w:p/>
    <w:p>
      <w:pPr>
        <w:pStyle w:val="Heading1"/>
      </w:pPr>
      <w:r>
        <w:t>2. What FluencyTracr Takes In</w:t>
      </w:r>
    </w:p>
    <w:p/>
    <w:p>
      <w:r>
        <w:t>FluencyTracr should ingest or receive only aggregate, governed evidence. The</w:t>
      </w:r>
    </w:p>
    <w:p>
      <w:r>
        <w:t>customer-side or source-side transformer can compute over raw telemetry, but</w:t>
      </w:r>
    </w:p>
    <w:p>
      <w:r>
        <w:t>FluencyTracr output should stay aggregate-only.</w:t>
      </w:r>
    </w:p>
    <w:p/>
    <w:p>
      <w:pPr>
        <w:pStyle w:val="Heading2"/>
      </w:pPr>
      <w:r>
        <w:t>2.1 AI Surfaces</w:t>
      </w:r>
    </w:p>
    <w:p/>
    <w:p>
      <w:r>
        <w:t>An AI surface is the place or mode where AI-assisted work happens.</w:t>
      </w:r>
    </w:p>
    <w:p/>
    <w:p>
      <w:r>
        <w:rPr>
          <w:b/>
          <w:color w:val="082252"/>
        </w:rPr>
        <w:t>Examples:</w:t>
      </w:r>
    </w:p>
    <w:p/>
    <w:p>
      <w:pPr>
        <w:pStyle w:val="ListBullet"/>
      </w:pPr>
      <w:r>
        <w:t>Search</w:t>
      </w:r>
    </w:p>
    <w:p>
      <w:pPr>
        <w:pStyle w:val="ListBullet"/>
      </w:pPr>
      <w:r>
        <w:t>Chat / assistant</w:t>
      </w:r>
    </w:p>
    <w:p>
      <w:pPr>
        <w:pStyle w:val="ListBullet"/>
      </w:pPr>
      <w:r>
        <w:t>AI summaries</w:t>
      </w:r>
    </w:p>
    <w:p>
      <w:pPr>
        <w:pStyle w:val="ListBullet"/>
      </w:pPr>
      <w:r>
        <w:t>embedded assist inside an application</w:t>
      </w:r>
    </w:p>
    <w:p>
      <w:pPr>
        <w:pStyle w:val="ListBullet"/>
      </w:pPr>
      <w:r>
        <w:t>Skills</w:t>
      </w:r>
    </w:p>
    <w:p>
      <w:pPr>
        <w:pStyle w:val="ListBullet"/>
      </w:pPr>
      <w:r>
        <w:t>named workflow agents</w:t>
      </w:r>
    </w:p>
    <w:p>
      <w:pPr>
        <w:pStyle w:val="ListBullet"/>
      </w:pPr>
      <w:r>
        <w:t>autonomous agents</w:t>
      </w:r>
    </w:p>
    <w:p>
      <w:pPr>
        <w:pStyle w:val="ListBullet"/>
      </w:pPr>
      <w:r>
        <w:t>ephemeral agents</w:t>
      </w:r>
    </w:p>
    <w:p>
      <w:pPr>
        <w:pStyle w:val="ListBullet"/>
      </w:pPr>
      <w:r>
        <w:t>MCP or tool-mediated actions</w:t>
      </w:r>
    </w:p>
    <w:p>
      <w:pPr>
        <w:pStyle w:val="ListBullet"/>
      </w:pPr>
      <w:r>
        <w:t>verification or feedback surfaces</w:t>
      </w:r>
    </w:p>
    <w:p/>
    <w:p>
      <w:r>
        <w:rPr>
          <w:b/>
          <w:color w:val="082252"/>
        </w:rPr>
        <w:t>Why this matters:</w:t>
      </w:r>
    </w:p>
    <w:p/>
    <w:p>
      <w:r>
        <w:t>Surface context helps separate broad, coherent work integration from raw usage</w:t>
      </w:r>
    </w:p>
    <w:p>
      <w:r>
        <w:t>volume. A cohort using Search, Chat, Skills, and a governed workflow agent is</w:t>
      </w:r>
    </w:p>
    <w:p>
      <w:r>
        <w:t>showing a different pattern than a cohort sending many messages in one surface.</w:t>
      </w:r>
    </w:p>
    <w:p/>
    <w:p>
      <w:r>
        <w:rPr>
          <w:b/>
          <w:color w:val="082252"/>
        </w:rPr>
        <w:t>Safe interpretation:</w:t>
      </w:r>
    </w:p>
    <w:p/>
    <w:p>
      <w:r>
        <w:rPr>
          <w:rFonts w:ascii="Courier New" w:hAnsi="Courier New"/>
          <w:color w:val="1F2937"/>
          <w:sz w:val="17"/>
        </w:rPr>
        <w:t>AI surface evidence helps explain work context. It is not a score, rank, or</w:t>
        <w:br/>
      </w:r>
      <w:r>
        <w:rPr>
          <w:rFonts w:ascii="Courier New" w:hAnsi="Courier New"/>
          <w:color w:val="1F2937"/>
          <w:sz w:val="17"/>
        </w:rPr>
        <w:t>proof of productivity.</w:t>
      </w:r>
    </w:p>
    <w:p/>
    <w:p>
      <w:pPr>
        <w:pStyle w:val="Heading2"/>
      </w:pPr>
      <w:r>
        <w:t>2.2 Workflows</w:t>
      </w:r>
    </w:p>
    <w:p/>
    <w:p>
      <w:r>
        <w:t>A workflow is the governed work context being evaluated.</w:t>
      </w:r>
    </w:p>
    <w:p/>
    <w:p>
      <w:r>
        <w:rPr>
          <w:b/>
          <w:color w:val="082252"/>
        </w:rPr>
        <w:t>Examples:</w:t>
      </w:r>
    </w:p>
    <w:p/>
    <w:p>
      <w:pPr>
        <w:pStyle w:val="ListBullet"/>
      </w:pPr>
      <w:r>
        <w:t>support case resolution</w:t>
      </w:r>
    </w:p>
    <w:p>
      <w:pPr>
        <w:pStyle w:val="ListBullet"/>
      </w:pPr>
      <w:r>
        <w:t>sales proposal drafting</w:t>
      </w:r>
    </w:p>
    <w:p>
      <w:pPr>
        <w:pStyle w:val="ListBullet"/>
      </w:pPr>
      <w:r>
        <w:t>customer onboarding project planning</w:t>
      </w:r>
    </w:p>
    <w:p>
      <w:pPr>
        <w:pStyle w:val="ListBullet"/>
      </w:pPr>
      <w:r>
        <w:t>employee policy question answering</w:t>
      </w:r>
    </w:p>
    <w:p>
      <w:pPr>
        <w:pStyle w:val="ListBullet"/>
      </w:pPr>
      <w:r>
        <w:t>engineering incident triage</w:t>
      </w:r>
    </w:p>
    <w:p>
      <w:pPr>
        <w:pStyle w:val="ListBullet"/>
      </w:pPr>
      <w:r>
        <w:t>research synthesis</w:t>
      </w:r>
    </w:p>
    <w:p>
      <w:pPr>
        <w:pStyle w:val="ListBullet"/>
      </w:pPr>
      <w:r>
        <w:t>contract review support</w:t>
      </w:r>
    </w:p>
    <w:p/>
    <w:p>
      <w:r>
        <w:rPr>
          <w:b/>
          <w:color w:val="082252"/>
        </w:rPr>
        <w:t>Why this matters:</w:t>
      </w:r>
    </w:p>
    <w:p/>
    <w:p>
      <w:r>
        <w:t>The same AI behavior can mean different things in different workflows. Low</w:t>
      </w:r>
    </w:p>
    <w:p>
      <w:r>
        <w:t>verification might be acceptable for a low-risk summarization workflow, but</w:t>
      </w:r>
    </w:p>
    <w:p>
      <w:r>
        <w:t>risky in a regulated or customer-facing decision workflow.</w:t>
      </w:r>
    </w:p>
    <w:p/>
    <w:p>
      <w:r>
        <w:rPr>
          <w:b/>
          <w:color w:val="082252"/>
        </w:rPr>
        <w:t>Safe interpretation:</w:t>
      </w:r>
    </w:p>
    <w:p/>
    <w:p>
      <w:r>
        <w:rPr>
          <w:rFonts w:ascii="Courier New" w:hAnsi="Courier New"/>
          <w:color w:val="1F2937"/>
          <w:sz w:val="17"/>
        </w:rPr>
        <w:t>Workflow context determines how behavioral evidence should be interpreted.</w:t>
      </w:r>
    </w:p>
    <w:p/>
    <w:p>
      <w:pPr>
        <w:pStyle w:val="Heading2"/>
      </w:pPr>
      <w:r>
        <w:t>2.3 Cohorts And Approved Segments</w:t>
      </w:r>
    </w:p>
    <w:p/>
    <w:p>
      <w:r>
        <w:t>A cohort is an approved aggregate group. A segment is a customer-approved slice</w:t>
      </w:r>
    </w:p>
    <w:p>
      <w:r>
        <w:t>of that cohort.</w:t>
      </w:r>
    </w:p>
    <w:p/>
    <w:p>
      <w:r>
        <w:rPr>
          <w:b/>
          <w:color w:val="082252"/>
        </w:rPr>
        <w:t>Examples:</w:t>
      </w:r>
    </w:p>
    <w:p/>
    <w:p>
      <w:pPr>
        <w:pStyle w:val="ListBullet"/>
      </w:pPr>
      <w:r>
        <w:t>approved business function</w:t>
      </w:r>
    </w:p>
    <w:p>
      <w:pPr>
        <w:pStyle w:val="ListBullet"/>
      </w:pPr>
      <w:r>
        <w:t>role family</w:t>
      </w:r>
    </w:p>
    <w:p>
      <w:pPr>
        <w:pStyle w:val="ListBullet"/>
      </w:pPr>
      <w:r>
        <w:t>region</w:t>
      </w:r>
    </w:p>
    <w:p>
      <w:pPr>
        <w:pStyle w:val="ListBullet"/>
      </w:pPr>
      <w:r>
        <w:t>tenure band</w:t>
      </w:r>
    </w:p>
    <w:p>
      <w:pPr>
        <w:pStyle w:val="ListBullet"/>
      </w:pPr>
      <w:r>
        <w:t>workflow cohort</w:t>
      </w:r>
    </w:p>
    <w:p>
      <w:pPr>
        <w:pStyle w:val="ListBullet"/>
      </w:pPr>
      <w:r>
        <w:t>AI surface cohort</w:t>
      </w:r>
    </w:p>
    <w:p>
      <w:pPr>
        <w:pStyle w:val="ListBullet"/>
      </w:pPr>
      <w:r>
        <w:t>Velocity band</w:t>
      </w:r>
    </w:p>
    <w:p>
      <w:pPr>
        <w:pStyle w:val="ListBullet"/>
      </w:pPr>
      <w:r>
        <w:t>Depth Repertoire band</w:t>
      </w:r>
    </w:p>
    <w:p>
      <w:pPr>
        <w:pStyle w:val="ListBullet"/>
      </w:pPr>
      <w:r>
        <w:t>approved customer/account segment</w:t>
      </w:r>
    </w:p>
    <w:p/>
    <w:p>
      <w:r>
        <w:rPr>
          <w:b/>
          <w:color w:val="082252"/>
        </w:rPr>
        <w:t>Governance boundary:</w:t>
      </w:r>
    </w:p>
    <w:p/>
    <w:p>
      <w:r>
        <w:t>Segments are intervention contexts, not performance groups. They must not be</w:t>
      </w:r>
    </w:p>
    <w:p>
      <w:r>
        <w:t>used to rank employees, managers, teams, departments, or customers.</w:t>
      </w:r>
    </w:p>
    <w:p/>
    <w:p>
      <w:r>
        <w:rPr>
          <w:b/>
          <w:color w:val="082252"/>
        </w:rPr>
        <w:t>Suppression boundary:</w:t>
      </w:r>
    </w:p>
    <w:p/>
    <w:p>
      <w:r>
        <w:t>Suppression must be evaluated independently for the exact suppression bucket,</w:t>
      </w:r>
    </w:p>
    <w:p>
      <w:r>
        <w:rPr>
          <w:b/>
          <w:color w:val="082252"/>
        </w:rPr>
        <w:t>including optional slice keys:</w:t>
      </w:r>
    </w:p>
    <w:p/>
    <w:p>
      <w:r>
        <w:rPr>
          <w:rFonts w:ascii="Courier New" w:hAnsi="Courier New"/>
          <w:color w:val="1F2937"/>
          <w:sz w:val="17"/>
        </w:rPr>
        <w:t>(workflow_id, jbtd_id, persona_id)</w:t>
      </w:r>
    </w:p>
    <w:p/>
    <w:p>
      <w:r>
        <w:t>If a readout cannot prove the exact suppression bucket, it should remain</w:t>
      </w:r>
    </w:p>
    <w:p>
      <w:r>
        <w:t>suppressed or use evidence-gap language only.</w:t>
      </w:r>
    </w:p>
    <w:p/>
    <w:p>
      <w:pPr>
        <w:pStyle w:val="Heading2"/>
      </w:pPr>
      <w:r>
        <w:t>2.4 Role Families And Functions</w:t>
      </w:r>
    </w:p>
    <w:p/>
    <w:p>
      <w:r>
        <w:t>Role family or function can be useful when the customer approves it and the</w:t>
      </w:r>
    </w:p>
    <w:p>
      <w:r>
        <w:t>segment is aggregate-safe.</w:t>
      </w:r>
    </w:p>
    <w:p/>
    <w:p>
      <w:r>
        <w:rPr>
          <w:b/>
          <w:color w:val="082252"/>
        </w:rPr>
        <w:t>Examples:</w:t>
      </w:r>
    </w:p>
    <w:p/>
    <w:p>
      <w:pPr>
        <w:pStyle w:val="ListBullet"/>
      </w:pPr>
      <w:r>
        <w:t>Sales</w:t>
      </w:r>
    </w:p>
    <w:p>
      <w:pPr>
        <w:pStyle w:val="ListBullet"/>
      </w:pPr>
      <w:r>
        <w:t>Support</w:t>
      </w:r>
    </w:p>
    <w:p>
      <w:pPr>
        <w:pStyle w:val="ListBullet"/>
      </w:pPr>
      <w:r>
        <w:t>Engineering</w:t>
      </w:r>
    </w:p>
    <w:p>
      <w:pPr>
        <w:pStyle w:val="ListBullet"/>
      </w:pPr>
      <w:r>
        <w:t>Customer Success</w:t>
      </w:r>
    </w:p>
    <w:p>
      <w:pPr>
        <w:pStyle w:val="ListBullet"/>
      </w:pPr>
      <w:r>
        <w:t>Legal</w:t>
      </w:r>
    </w:p>
    <w:p>
      <w:pPr>
        <w:pStyle w:val="ListBullet"/>
      </w:pPr>
      <w:r>
        <w:t>Finance</w:t>
      </w:r>
    </w:p>
    <w:p>
      <w:pPr>
        <w:pStyle w:val="ListBullet"/>
      </w:pPr>
      <w:r>
        <w:t>Operations</w:t>
      </w:r>
    </w:p>
    <w:p/>
    <w:p>
      <w:r>
        <w:rPr>
          <w:b/>
          <w:color w:val="082252"/>
        </w:rPr>
        <w:t>Safe use:</w:t>
      </w:r>
    </w:p>
    <w:p/>
    <w:p>
      <w:r>
        <w:rPr>
          <w:rFonts w:ascii="Courier New" w:hAnsi="Courier New"/>
          <w:color w:val="1F2937"/>
          <w:sz w:val="17"/>
        </w:rPr>
        <w:t>Role/function context can help explain workflow fit and intervention design.</w:t>
      </w:r>
    </w:p>
    <w:p/>
    <w:p>
      <w:r>
        <w:rPr>
          <w:b/>
          <w:color w:val="082252"/>
        </w:rPr>
        <w:t>Unsafe use:</w:t>
      </w:r>
    </w:p>
    <w:p/>
    <w:p>
      <w:r>
        <w:rPr>
          <w:rFonts w:ascii="Courier New" w:hAnsi="Courier New"/>
          <w:color w:val="1F2937"/>
          <w:sz w:val="17"/>
        </w:rPr>
        <w:t>Role/function context must not become employee scoring, manager ranking, or</w:t>
        <w:br/>
      </w:r>
      <w:r>
        <w:rPr>
          <w:rFonts w:ascii="Courier New" w:hAnsi="Courier New"/>
          <w:color w:val="1F2937"/>
          <w:sz w:val="17"/>
        </w:rPr>
        <w:t>department productivity comparison.</w:t>
      </w:r>
    </w:p>
    <w:p/>
    <w:p>
      <w:pPr>
        <w:pStyle w:val="Heading2"/>
      </w:pPr>
      <w:r>
        <w:t>2.5 Source Coverage</w:t>
      </w:r>
    </w:p>
    <w:p/>
    <w:p>
      <w:r>
        <w:t>Source coverage describes which signals are observable and trustworthy enough to</w:t>
      </w:r>
    </w:p>
    <w:p>
      <w:r>
        <w:t>interpret.</w:t>
      </w:r>
    </w:p>
    <w:p/>
    <w:p>
      <w:r>
        <w:rPr>
          <w:b/>
          <w:color w:val="082252"/>
        </w:rPr>
        <w:t>Coverage areas:</w:t>
      </w:r>
    </w:p>
    <w:p/>
    <w:p>
      <w:pPr>
        <w:pStyle w:val="ListBullet"/>
      </w:pPr>
      <w:r>
        <w:t>trace keys</w:t>
      </w:r>
    </w:p>
    <w:p>
      <w:pPr>
        <w:pStyle w:val="ListBullet"/>
      </w:pPr>
      <w:r>
        <w:t>run keys</w:t>
      </w:r>
    </w:p>
    <w:p>
      <w:pPr>
        <w:pStyle w:val="ListBullet"/>
      </w:pPr>
      <w:r>
        <w:t>action keys</w:t>
      </w:r>
    </w:p>
    <w:p>
      <w:pPr>
        <w:pStyle w:val="ListBullet"/>
      </w:pPr>
      <w:r>
        <w:t>session keys</w:t>
      </w:r>
    </w:p>
    <w:p>
      <w:pPr>
        <w:pStyle w:val="ListBullet"/>
      </w:pPr>
      <w:r>
        <w:t>completion evidence</w:t>
      </w:r>
    </w:p>
    <w:p>
      <w:pPr>
        <w:pStyle w:val="ListBullet"/>
      </w:pPr>
      <w:r>
        <w:t>continuation evidence</w:t>
      </w:r>
    </w:p>
    <w:p>
      <w:pPr>
        <w:pStyle w:val="ListBullet"/>
      </w:pPr>
      <w:r>
        <w:t>failure / error evidence</w:t>
      </w:r>
    </w:p>
    <w:p>
      <w:pPr>
        <w:pStyle w:val="ListBullet"/>
      </w:pPr>
      <w:r>
        <w:t>pause / skip / cancellation evidence</w:t>
      </w:r>
    </w:p>
    <w:p>
      <w:pPr>
        <w:pStyle w:val="ListBullet"/>
      </w:pPr>
      <w:r>
        <w:t>feedback evidence</w:t>
      </w:r>
    </w:p>
    <w:p>
      <w:pPr>
        <w:pStyle w:val="ListBullet"/>
      </w:pPr>
      <w:r>
        <w:t>citation or source evidence</w:t>
      </w:r>
    </w:p>
    <w:p>
      <w:pPr>
        <w:pStyle w:val="ListBullet"/>
      </w:pPr>
      <w:r>
        <w:t>downstream outcome context</w:t>
      </w:r>
    </w:p>
    <w:p/>
    <w:p>
      <w:r>
        <w:rPr>
          <w:b/>
          <w:color w:val="082252"/>
        </w:rPr>
        <w:t>Why this matters:</w:t>
      </w:r>
    </w:p>
    <w:p/>
    <w:p>
      <w:r>
        <w:t>If source coverage is incomplete, the safest interpretation may be an evidence</w:t>
      </w:r>
    </w:p>
    <w:p>
      <w:r>
        <w:t>gap. Missing evidence must not be upgraded into healthy trust, poor trust,</w:t>
      </w:r>
    </w:p>
    <w:p>
      <w:r>
        <w:t>value, or causality.</w:t>
      </w:r>
    </w:p>
    <w:p/>
    <w:p>
      <w:r>
        <w:rPr>
          <w:b/>
          <w:color w:val="082252"/>
        </w:rPr>
        <w:t>Current pilot example:</w:t>
      </w:r>
    </w:p>
    <w:p/>
    <w:p>
      <w:pPr>
        <w:pStyle w:val="ListBullet"/>
      </w:pPr>
      <w:r>
        <w:t>99.95% of product episodes had high-confidence trace, run, or action coverage.</w:t>
      </w:r>
    </w:p>
    <w:p>
      <w:pPr>
        <w:pStyle w:val="ListBullet"/>
      </w:pPr>
      <w:r>
        <w:t>0.5% of all episodes were folded into evidence-gap language because boundary</w:t>
      </w:r>
    </w:p>
    <w:p>
      <w:r>
        <w:t xml:space="preserve">  ambiguity remained.</w:t>
      </w:r>
    </w:p>
    <w:p/>
    <w:p>
      <w:pPr>
        <w:pStyle w:val="Heading2"/>
      </w:pPr>
      <w:r>
        <w:t>2.6 Outcome Evidence</w:t>
      </w:r>
    </w:p>
    <w:p/>
    <w:p>
      <w:r>
        <w:t>Outcome evidence is customer-owned aggregate KPI context.</w:t>
      </w:r>
    </w:p>
    <w:p/>
    <w:p>
      <w:r>
        <w:rPr>
          <w:b/>
          <w:color w:val="082252"/>
        </w:rPr>
        <w:t>Examples:</w:t>
      </w:r>
    </w:p>
    <w:p/>
    <w:p>
      <w:pPr>
        <w:pStyle w:val="ListBullet"/>
      </w:pPr>
      <w:r>
        <w:t>support ticket response time</w:t>
      </w:r>
    </w:p>
    <w:p>
      <w:pPr>
        <w:pStyle w:val="ListBullet"/>
      </w:pPr>
      <w:r>
        <w:t>support ticket age</w:t>
      </w:r>
    </w:p>
    <w:p>
      <w:pPr>
        <w:pStyle w:val="ListBullet"/>
      </w:pPr>
      <w:r>
        <w:t>onboarding project duration</w:t>
      </w:r>
    </w:p>
    <w:p>
      <w:pPr>
        <w:pStyle w:val="ListBullet"/>
      </w:pPr>
      <w:r>
        <w:t>implementation milestone timing</w:t>
      </w:r>
    </w:p>
    <w:p>
      <w:pPr>
        <w:pStyle w:val="ListBullet"/>
      </w:pPr>
      <w:r>
        <w:t>renewal or expansion context</w:t>
      </w:r>
    </w:p>
    <w:p>
      <w:pPr>
        <w:pStyle w:val="ListBullet"/>
      </w:pPr>
      <w:r>
        <w:t>quality review outcomes</w:t>
      </w:r>
    </w:p>
    <w:p>
      <w:pPr>
        <w:pStyle w:val="ListBullet"/>
      </w:pPr>
      <w:r>
        <w:t>approved operational KPIs</w:t>
      </w:r>
    </w:p>
    <w:p/>
    <w:p>
      <w:r>
        <w:rPr>
          <w:b/>
          <w:color w:val="082252"/>
        </w:rPr>
        <w:t>Governance boundary:</w:t>
      </w:r>
    </w:p>
    <w:p/>
    <w:p>
      <w:r>
        <w:t>Outcome evidence can support value investigation. It does not automatically</w:t>
      </w:r>
    </w:p>
    <w:p>
      <w:r>
        <w:t>prove attribution, causality, or ROI.</w:t>
      </w:r>
    </w:p>
    <w:p/>
    <w:p>
      <w:r>
        <w:t>For Time-Saved range eligibility, an approved aggregate behavior-to-outcome join</w:t>
      </w:r>
    </w:p>
    <w:p>
      <w:r>
        <w:t>key is required. A no-attribution caveat is not enough to emit a range.</w:t>
      </w:r>
    </w:p>
    <w:p/>
    <w:p>
      <w:pPr>
        <w:pStyle w:val="Heading2"/>
      </w:pPr>
      <w:r>
        <w:t>2.7 Interventions</w:t>
      </w:r>
    </w:p>
    <w:p/>
    <w:p>
      <w:r>
        <w:t>Interventions are customer-declared events, not inferred from enablement-system</w:t>
      </w:r>
    </w:p>
    <w:p>
      <w:r>
        <w:t>access.</w:t>
      </w:r>
    </w:p>
    <w:p/>
    <w:p>
      <w:r>
        <w:rPr>
          <w:b/>
          <w:color w:val="082252"/>
        </w:rPr>
        <w:t>Examples:</w:t>
      </w:r>
    </w:p>
    <w:p/>
    <w:p>
      <w:pPr>
        <w:pStyle w:val="ListBullet"/>
      </w:pPr>
      <w:r>
        <w:t>workflow redesign launched</w:t>
      </w:r>
    </w:p>
    <w:p>
      <w:pPr>
        <w:pStyle w:val="ListBullet"/>
      </w:pPr>
      <w:r>
        <w:t>source coverage improved</w:t>
      </w:r>
    </w:p>
    <w:p>
      <w:pPr>
        <w:pStyle w:val="ListBullet"/>
      </w:pPr>
      <w:r>
        <w:t>new agent enabled</w:t>
      </w:r>
    </w:p>
    <w:p>
      <w:pPr>
        <w:pStyle w:val="ListBullet"/>
      </w:pPr>
      <w:r>
        <w:t>verification step added</w:t>
      </w:r>
    </w:p>
    <w:p>
      <w:pPr>
        <w:pStyle w:val="ListBullet"/>
      </w:pPr>
      <w:r>
        <w:t>policy or playbook introduced</w:t>
      </w:r>
    </w:p>
    <w:p>
      <w:pPr>
        <w:pStyle w:val="ListBullet"/>
      </w:pPr>
      <w:r>
        <w:t>training or enablement event declared by the customer</w:t>
      </w:r>
    </w:p>
    <w:p/>
    <w:p>
      <w:r>
        <w:rPr>
          <w:b/>
          <w:color w:val="082252"/>
        </w:rPr>
        <w:t>Safe use:</w:t>
      </w:r>
    </w:p>
    <w:p/>
    <w:p>
      <w:r>
        <w:rPr>
          <w:rFonts w:ascii="Courier New" w:hAnsi="Courier New"/>
          <w:color w:val="1F2937"/>
          <w:sz w:val="17"/>
        </w:rPr>
        <w:t>Interventions can be used as context for later aggregate comparison.</w:t>
      </w:r>
    </w:p>
    <w:p/>
    <w:p>
      <w:r>
        <w:rPr>
          <w:b/>
          <w:color w:val="082252"/>
        </w:rPr>
        <w:t>Unsafe use:</w:t>
      </w:r>
    </w:p>
    <w:p/>
    <w:p>
      <w:r>
        <w:rPr>
          <w:rFonts w:ascii="Courier New" w:hAnsi="Courier New"/>
          <w:color w:val="1F2937"/>
          <w:sz w:val="17"/>
        </w:rPr>
        <w:t>Do not infer training impact from enablement-system access, HR records, or</w:t>
        <w:br/>
      </w:r>
      <w:r>
        <w:rPr>
          <w:rFonts w:ascii="Courier New" w:hAnsi="Courier New"/>
          <w:color w:val="1F2937"/>
          <w:sz w:val="17"/>
        </w:rPr>
        <w:t>person-level participation.</w:t>
      </w:r>
    </w:p>
    <w:p/>
    <w:p>
      <w:pPr>
        <w:pStyle w:val="Heading1"/>
      </w:pPr>
      <w:r>
        <w:t>3. Behavioral Evidence Primitives</w:t>
      </w:r>
    </w:p>
    <w:p/>
    <w:p>
      <w:r>
        <w:t>Behavioral primitives are the smallest aggregate observations FluencyTracr uses</w:t>
      </w:r>
    </w:p>
    <w:p>
      <w:r>
        <w:t>to describe AI-assisted work. They do not prove value by themselves. They become</w:t>
      </w:r>
    </w:p>
    <w:p>
      <w:r>
        <w:t>useful when combined with workflow context, suppression gates, source coverage,</w:t>
      </w:r>
    </w:p>
    <w:p>
      <w:r>
        <w:t>and customer-approved outcome evidence.</w:t>
      </w:r>
    </w:p>
    <w:p/>
    <w:p>
      <w:pPr>
        <w:pStyle w:val="Heading2"/>
      </w:pPr>
      <w:r>
        <w:t>3.1 Disposition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FT_V1_DISPOSITION_OBSERVED</w:t>
      </w:r>
    </w:p>
    <w:p/>
    <w:p>
      <w:r>
        <w:rPr>
          <w:b/>
          <w:color w:val="082252"/>
        </w:rPr>
        <w:t>Definition:</w:t>
      </w:r>
    </w:p>
    <w:p/>
    <w:p>
      <w:r>
        <w:t>Disposition describes what happened to the AI-assisted output or step.</w:t>
      </w:r>
    </w:p>
    <w:p/>
    <w:p>
      <w:r>
        <w:rPr>
          <w:b/>
          <w:color w:val="082252"/>
        </w:rPr>
        <w:t>Allowed states:</w:t>
      </w:r>
    </w:p>
    <w:p/>
    <w:p>
      <w:pPr>
        <w:pStyle w:val="ListBullet"/>
      </w:pPr>
      <w:r>
        <w:t>ACCEPT</w:t>
      </w:r>
    </w:p>
    <w:p>
      <w:pPr>
        <w:pStyle w:val="ListBullet"/>
      </w:pPr>
      <w:r>
        <w:t>EDIT</w:t>
      </w:r>
    </w:p>
    <w:p>
      <w:pPr>
        <w:pStyle w:val="ListBullet"/>
      </w:pPr>
      <w:r>
        <w:t>REJECT</w:t>
      </w:r>
    </w:p>
    <w:p>
      <w:pPr>
        <w:pStyle w:val="ListBullet"/>
      </w:pPr>
      <w:r>
        <w:t>ABANDON</w:t>
      </w:r>
    </w:p>
    <w:p/>
    <w:p>
      <w:r>
        <w:rPr>
          <w:b/>
          <w:color w:val="082252"/>
        </w:rPr>
        <w:t>How it is measured:</w:t>
      </w:r>
    </w:p>
    <w:p/>
    <w:p>
      <w:r>
        <w:t>The detector looks for structural disposition evidence such as an accepted,</w:t>
      </w:r>
    </w:p>
    <w:p>
      <w:r>
        <w:t>edited, rejected, or abandoned AI output. If an output is accepted only after</w:t>
      </w:r>
    </w:p>
    <w:p>
      <w:r>
        <w:t>prior edits or retries, the interpretation is more cautious than a simple</w:t>
      </w:r>
    </w:p>
    <w:p>
      <w:r>
        <w:t>direct accept.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AI drafts a response.</w:t>
        <w:br/>
      </w:r>
      <w:r>
        <w:rPr>
          <w:rFonts w:ascii="Courier New" w:hAnsi="Courier New"/>
          <w:color w:val="1F2937"/>
          <w:sz w:val="17"/>
        </w:rPr>
        <w:t>User edits it before sending.</w:t>
        <w:br/>
      </w:r>
      <w:r>
        <w:rPr>
          <w:rFonts w:ascii="Courier New" w:hAnsi="Courier New"/>
          <w:color w:val="1F2937"/>
          <w:sz w:val="17"/>
        </w:rPr>
        <w:t>Disposition = EDIT.</w:t>
      </w:r>
    </w:p>
    <w:p/>
    <w:p>
      <w:r>
        <w:rPr>
          <w:b/>
          <w:color w:val="082252"/>
        </w:rPr>
        <w:t>Executive meaning:</w:t>
      </w:r>
    </w:p>
    <w:p/>
    <w:p>
      <w:r>
        <w:t>Disposition helps distinguish direct acceptance, productive refinement,</w:t>
      </w:r>
    </w:p>
    <w:p>
      <w:r>
        <w:t>rejection, and abandonment. It is the basic signal for what the workflow did</w:t>
      </w:r>
    </w:p>
    <w:p>
      <w:r>
        <w:t>next.</w:t>
      </w:r>
    </w:p>
    <w:p/>
    <w:p>
      <w:r>
        <w:rPr>
          <w:b/>
          <w:color w:val="082252"/>
        </w:rPr>
        <w:t>What it does not mean:</w:t>
      </w:r>
    </w:p>
    <w:p/>
    <w:p>
      <w:r>
        <w:t>Acceptance does not prove correctness. Rejection does not prove the tool is bad.</w:t>
      </w:r>
    </w:p>
    <w:p>
      <w:r>
        <w:t>Edit does not prove inefficiency. Interpretation depends on workflow risk.</w:t>
      </w:r>
    </w:p>
    <w:p/>
    <w:p>
      <w:pPr>
        <w:pStyle w:val="Heading2"/>
      </w:pPr>
      <w:r>
        <w:t>3.2 Iteration Depth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FT_V1_ITERATION_DEPTH_OBSERVED</w:t>
      </w:r>
    </w:p>
    <w:p/>
    <w:p>
      <w:r>
        <w:rPr>
          <w:b/>
          <w:color w:val="082252"/>
        </w:rPr>
        <w:t>Definition:</w:t>
      </w:r>
    </w:p>
    <w:p/>
    <w:p>
      <w:r>
        <w:t>Iteration Depth describes how much retry, refinement, or friction-loop behavior</w:t>
      </w:r>
    </w:p>
    <w:p>
      <w:r>
        <w:t>appears in the episode.</w:t>
      </w:r>
    </w:p>
    <w:p/>
    <w:p>
      <w:r>
        <w:rPr>
          <w:b/>
          <w:color w:val="082252"/>
        </w:rPr>
        <w:t>Current detector logic:</w:t>
      </w:r>
    </w:p>
    <w:p/>
    <w:p>
      <w:pPr>
        <w:pStyle w:val="ListBullet"/>
      </w:pPr>
      <w:r>
        <w:t>no retry sequence = LOW</w:t>
      </w:r>
    </w:p>
    <w:p>
      <w:pPr>
        <w:pStyle w:val="ListBullet"/>
      </w:pPr>
      <w:r>
        <w:t>one retry sequence = NORMAL</w:t>
      </w:r>
    </w:p>
    <w:p>
      <w:pPr>
        <w:pStyle w:val="ListBullet"/>
      </w:pPr>
      <w:r>
        <w:t>two or more retry sequences = HIGH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User asks AI for an answer.</w:t>
        <w:br/>
      </w:r>
      <w:r>
        <w:rPr>
          <w:rFonts w:ascii="Courier New" w:hAnsi="Courier New"/>
          <w:color w:val="1F2937"/>
          <w:sz w:val="17"/>
        </w:rPr>
        <w:t>Output fails or is rejected.</w:t>
        <w:br/>
      </w:r>
      <w:r>
        <w:rPr>
          <w:rFonts w:ascii="Courier New" w:hAnsi="Courier New"/>
          <w:color w:val="1F2937"/>
          <w:sz w:val="17"/>
        </w:rPr>
        <w:t>User retries twice before work continues.</w:t>
        <w:br/>
      </w:r>
      <w:r>
        <w:rPr>
          <w:rFonts w:ascii="Courier New" w:hAnsi="Courier New"/>
          <w:color w:val="1F2937"/>
          <w:sz w:val="17"/>
        </w:rPr>
        <w:t>Iteration Depth = HIGH.</w:t>
      </w:r>
    </w:p>
    <w:p/>
    <w:p>
      <w:r>
        <w:rPr>
          <w:b/>
          <w:color w:val="082252"/>
        </w:rPr>
        <w:t>Executive meaning:</w:t>
      </w:r>
    </w:p>
    <w:p/>
    <w:p>
      <w:r>
        <w:t>Iteration can be useful refinement or costly rework. High iteration becomes more</w:t>
      </w:r>
    </w:p>
    <w:p>
      <w:r>
        <w:t>concerning when paired with long latency, abandonment, or weak recovery.</w:t>
      </w:r>
    </w:p>
    <w:p/>
    <w:p>
      <w:r>
        <w:rPr>
          <w:b/>
          <w:color w:val="082252"/>
        </w:rPr>
        <w:t>Frameworks using it:</w:t>
      </w:r>
    </w:p>
    <w:p/>
    <w:p>
      <w:pPr>
        <w:pStyle w:val="ListBullet"/>
      </w:pPr>
      <w:r>
        <w:t>Depth</w:t>
      </w:r>
    </w:p>
    <w:p>
      <w:pPr>
        <w:pStyle w:val="ListBullet"/>
      </w:pPr>
      <w:r>
        <w:t>Reliability Factor</w:t>
      </w:r>
    </w:p>
    <w:p>
      <w:pPr>
        <w:pStyle w:val="ListBullet"/>
      </w:pPr>
      <w:r>
        <w:t>Quality Multiplier</w:t>
      </w:r>
    </w:p>
    <w:p>
      <w:pPr>
        <w:pStyle w:val="ListBullet"/>
      </w:pPr>
      <w:r>
        <w:t>Velocity x Depth interpretation</w:t>
      </w:r>
    </w:p>
    <w:p/>
    <w:p>
      <w:pPr>
        <w:pStyle w:val="Heading2"/>
      </w:pPr>
      <w:r>
        <w:t>3.3 Verification Presence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FT_V1_VERIFICATION_PRESENCE_OBSERVED</w:t>
      </w:r>
    </w:p>
    <w:p/>
    <w:p>
      <w:r>
        <w:rPr>
          <w:b/>
          <w:color w:val="082252"/>
        </w:rPr>
        <w:t>Definition:</w:t>
      </w:r>
    </w:p>
    <w:p/>
    <w:p>
      <w:r>
        <w:t>Verification Presence indicates whether the episode contains structural evidence</w:t>
      </w:r>
    </w:p>
    <w:p>
      <w:r>
        <w:t>that the AI-assisted work was checked, validated, reviewed, or corroborated.</w:t>
      </w:r>
    </w:p>
    <w:p/>
    <w:p>
      <w:r>
        <w:rPr>
          <w:b/>
          <w:color w:val="082252"/>
        </w:rPr>
        <w:t>Measured from:</w:t>
      </w:r>
    </w:p>
    <w:p/>
    <w:p>
      <w:pPr>
        <w:pStyle w:val="ListBullet"/>
      </w:pPr>
      <w:r>
        <w:t>explicit verification signal,</w:t>
      </w:r>
    </w:p>
    <w:p>
      <w:pPr>
        <w:pStyle w:val="ListBullet"/>
      </w:pPr>
      <w:r>
        <w:t>validation tool call,</w:t>
      </w:r>
    </w:p>
    <w:p>
      <w:pPr>
        <w:pStyle w:val="ListBullet"/>
      </w:pPr>
      <w:r>
        <w:t>validation check,</w:t>
      </w:r>
    </w:p>
    <w:p>
      <w:pPr>
        <w:pStyle w:val="ListBullet"/>
      </w:pPr>
      <w:r>
        <w:t>structural verification flag,</w:t>
      </w:r>
    </w:p>
    <w:p>
      <w:pPr>
        <w:pStyle w:val="ListBullet"/>
      </w:pPr>
      <w:r>
        <w:t>retrieval/search event only when it carries explicit verification evidence.</w:t>
      </w:r>
    </w:p>
    <w:p/>
    <w:p>
      <w:r>
        <w:rPr>
          <w:b/>
          <w:color w:val="082252"/>
        </w:rPr>
        <w:t>Important boundary:</w:t>
      </w:r>
    </w:p>
    <w:p/>
    <w:p>
      <w:r>
        <w:t>Search or retrieval is not verification by name alone. A citation being</w:t>
      </w:r>
    </w:p>
    <w:p>
      <w:r>
        <w:t>available is not the same as a citation being checked.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AI gives an answer with sources.</w:t>
        <w:br/>
      </w:r>
      <w:r>
        <w:rPr>
          <w:rFonts w:ascii="Courier New" w:hAnsi="Courier New"/>
          <w:color w:val="1F2937"/>
          <w:sz w:val="17"/>
        </w:rPr>
        <w:t>User opens the source or triggers a validation check.</w:t>
        <w:br/>
      </w:r>
      <w:r>
        <w:rPr>
          <w:rFonts w:ascii="Courier New" w:hAnsi="Courier New"/>
          <w:color w:val="1F2937"/>
          <w:sz w:val="17"/>
        </w:rPr>
        <w:t>Verification Presence = true.</w:t>
      </w:r>
    </w:p>
    <w:p/>
    <w:p>
      <w:r>
        <w:rPr>
          <w:b/>
          <w:color w:val="082252"/>
        </w:rPr>
        <w:t>Executive meaning:</w:t>
      </w:r>
    </w:p>
    <w:p/>
    <w:p>
      <w:r>
        <w:t>Verification strengthens trust evidence, especially in higher-risk workflows.</w:t>
      </w:r>
    </w:p>
    <w:p>
      <w:r>
        <w:t>Low verification can mean several different things: low-risk work, earned trust,</w:t>
      </w:r>
    </w:p>
    <w:p>
      <w:r>
        <w:t>alternative review paths, missing instrumentation, or possible overtrust.</w:t>
      </w:r>
    </w:p>
    <w:p/>
    <w:p>
      <w:r>
        <w:t>This is why verification should be interpreted inside Trust Calibration, not as</w:t>
      </w:r>
    </w:p>
    <w:p>
      <w:r>
        <w:t>a standalone score.</w:t>
      </w:r>
    </w:p>
    <w:p/>
    <w:p>
      <w:pPr>
        <w:pStyle w:val="Heading2"/>
      </w:pPr>
      <w:r>
        <w:t>3.4 Recovery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FT_V1_RECOVERY_OBSERVED</w:t>
      </w:r>
    </w:p>
    <w:p/>
    <w:p>
      <w:r>
        <w:rPr>
          <w:b/>
          <w:color w:val="082252"/>
        </w:rPr>
        <w:t>Definition:</w:t>
      </w:r>
    </w:p>
    <w:p/>
    <w:p>
      <w:r>
        <w:t>Recovery means work continued in a usable direction after friction or failure.</w:t>
      </w:r>
    </w:p>
    <w:p/>
    <w:p>
      <w:r>
        <w:rPr>
          <w:b/>
          <w:color w:val="082252"/>
        </w:rPr>
        <w:t>Current detector logic:</w:t>
      </w:r>
    </w:p>
    <w:p/>
    <w:p>
      <w:r>
        <w:rPr>
          <w:b/>
          <w:color w:val="082252"/>
        </w:rPr>
        <w:t>Recovery requires:</w:t>
      </w:r>
    </w:p>
    <w:p/>
    <w:p>
      <w:pPr>
        <w:pStyle w:val="ListNumber"/>
      </w:pPr>
      <w:r>
        <w:t>an explicit error,</w:t>
      </w:r>
    </w:p>
    <w:p>
      <w:pPr>
        <w:pStyle w:val="ListNumber"/>
      </w:pPr>
      <w:r>
        <w:t>a retry sequence anchored to that error,</w:t>
      </w:r>
    </w:p>
    <w:p>
      <w:pPr>
        <w:pStyle w:val="ListNumber"/>
      </w:pPr>
      <w:r>
        <w:t>later continuation or success, such as accepted/edited output or successful</w:t>
      </w:r>
    </w:p>
    <w:p>
      <w:r>
        <w:t xml:space="preserve">   terminal execution.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Agent fails on a task.</w:t>
        <w:br/>
      </w:r>
      <w:r>
        <w:rPr>
          <w:rFonts w:ascii="Courier New" w:hAnsi="Courier New"/>
          <w:color w:val="1F2937"/>
          <w:sz w:val="17"/>
        </w:rPr>
        <w:t>User retries or redirects the workflow.</w:t>
        <w:br/>
      </w:r>
      <w:r>
        <w:rPr>
          <w:rFonts w:ascii="Courier New" w:hAnsi="Courier New"/>
          <w:color w:val="1F2937"/>
          <w:sz w:val="17"/>
        </w:rPr>
        <w:t>The workflow later succeeds or produces edited/accepted output.</w:t>
        <w:br/>
      </w:r>
      <w:r>
        <w:rPr>
          <w:rFonts w:ascii="Courier New" w:hAnsi="Courier New"/>
          <w:color w:val="1F2937"/>
          <w:sz w:val="17"/>
        </w:rPr>
        <w:t>Recovery = true.</w:t>
      </w:r>
    </w:p>
    <w:p/>
    <w:p>
      <w:r>
        <w:rPr>
          <w:b/>
          <w:color w:val="082252"/>
        </w:rPr>
        <w:t>Executive meaning:</w:t>
      </w:r>
    </w:p>
    <w:p/>
    <w:p>
      <w:r>
        <w:t>Recovery is one of the strongest trust-adjacent behavioral signals because it</w:t>
      </w:r>
    </w:p>
    <w:p>
      <w:r>
        <w:t>shows that AI-assisted work can absorb friction instead of collapsing.</w:t>
      </w:r>
    </w:p>
    <w:p/>
    <w:p>
      <w:r>
        <w:rPr>
          <w:b/>
          <w:color w:val="082252"/>
        </w:rPr>
        <w:t>Frameworks using it:</w:t>
      </w:r>
    </w:p>
    <w:p/>
    <w:p>
      <w:pPr>
        <w:pStyle w:val="ListBullet"/>
      </w:pPr>
      <w:r>
        <w:t>Reliability Factor</w:t>
      </w:r>
    </w:p>
    <w:p>
      <w:pPr>
        <w:pStyle w:val="ListBullet"/>
      </w:pPr>
      <w:r>
        <w:t>Quality Multiplier</w:t>
      </w:r>
    </w:p>
    <w:p>
      <w:pPr>
        <w:pStyle w:val="ListBullet"/>
      </w:pPr>
      <w:r>
        <w:t>Depth</w:t>
      </w:r>
    </w:p>
    <w:p>
      <w:pPr>
        <w:pStyle w:val="ListBullet"/>
      </w:pPr>
      <w:r>
        <w:t>Trust Episode Boundary</w:t>
      </w:r>
    </w:p>
    <w:p>
      <w:pPr>
        <w:pStyle w:val="ListBullet"/>
      </w:pPr>
      <w:r>
        <w:t>Trust Calibration</w:t>
      </w:r>
    </w:p>
    <w:p/>
    <w:p>
      <w:pPr>
        <w:pStyle w:val="Heading2"/>
      </w:pPr>
      <w:r>
        <w:t>3.5 Latency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FT_V1_LATENCY_OBSERVED</w:t>
      </w:r>
    </w:p>
    <w:p/>
    <w:p>
      <w:r>
        <w:rPr>
          <w:b/>
          <w:color w:val="082252"/>
        </w:rPr>
        <w:t>Definition:</w:t>
      </w:r>
    </w:p>
    <w:p/>
    <w:p>
      <w:r>
        <w:t>Latency measures elapsed time across the episode when timestamps are valid.</w:t>
      </w:r>
    </w:p>
    <w:p/>
    <w:p>
      <w:r>
        <w:rPr>
          <w:b/>
          <w:color w:val="082252"/>
        </w:rPr>
        <w:t>Current detector logic:</w:t>
      </w:r>
    </w:p>
    <w:p/>
    <w:p>
      <w:r>
        <w:rPr>
          <w:rFonts w:ascii="Courier New" w:hAnsi="Courier New"/>
          <w:color w:val="1F2937"/>
          <w:sz w:val="17"/>
        </w:rPr>
        <w:t>latency_ms = timestamp(last ordered event) - timestamp(first ordered event)</w:t>
      </w:r>
    </w:p>
    <w:p/>
    <w:p>
      <w:r>
        <w:rPr>
          <w:b/>
          <w:color w:val="082252"/>
        </w:rPr>
        <w:t>Governance boundary:</w:t>
      </w:r>
    </w:p>
    <w:p/>
    <w:p>
      <w:r>
        <w:t>Latency is corroborative only. It cannot independently trigger surfacing,</w:t>
      </w:r>
    </w:p>
    <w:p>
      <w:r>
        <w:t>suppression override, reliability disclosure, or value claims.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Short latency + direct accept + no verification</w:t>
        <w:br/>
      </w:r>
      <w:r>
        <w:rPr>
          <w:rFonts w:ascii="Courier New" w:hAnsi="Courier New"/>
          <w:color w:val="1F2937"/>
          <w:sz w:val="17"/>
        </w:rPr>
        <w:t>may suggest fast but shallow use.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Long latency + high iteration + recovery</w:t>
        <w:br/>
      </w:r>
      <w:r>
        <w:rPr>
          <w:rFonts w:ascii="Courier New" w:hAnsi="Courier New"/>
          <w:color w:val="1F2937"/>
          <w:sz w:val="17"/>
        </w:rPr>
        <w:t>may suggest serious work with friction.</w:t>
      </w:r>
    </w:p>
    <w:p/>
    <w:p>
      <w:r>
        <w:rPr>
          <w:b/>
          <w:color w:val="082252"/>
        </w:rPr>
        <w:t>Executive meaning:</w:t>
      </w:r>
    </w:p>
    <w:p/>
    <w:p>
      <w:r>
        <w:t>Latency helps qualify work movement, but it is not value by itself.</w:t>
      </w:r>
    </w:p>
    <w:p/>
    <w:p>
      <w:pPr>
        <w:pStyle w:val="Heading2"/>
      </w:pPr>
      <w:r>
        <w:t>3.6 Abandonment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FT_V1_ABANDONMENT_OBSERVED</w:t>
      </w:r>
    </w:p>
    <w:p/>
    <w:p>
      <w:r>
        <w:rPr>
          <w:b/>
          <w:color w:val="082252"/>
        </w:rPr>
        <w:t>Definition:</w:t>
      </w:r>
    </w:p>
    <w:p/>
    <w:p>
      <w:r>
        <w:t>Abandonment means AI was invoked in a work episode, but the aggregate trace shows</w:t>
      </w:r>
    </w:p>
    <w:p>
      <w:r>
        <w:t>the work stopped, was explicitly abandoned, or reached an abandoned execution</w:t>
      </w:r>
    </w:p>
    <w:p>
      <w:r>
        <w:t>state without observed continuation or usable resolution.</w:t>
      </w:r>
    </w:p>
    <w:p/>
    <w:p>
      <w:r>
        <w:rPr>
          <w:b/>
          <w:color w:val="082252"/>
        </w:rPr>
        <w:t>Current detector logic:</w:t>
      </w:r>
    </w:p>
    <w:p/>
    <w:p>
      <w:r>
        <w:rPr>
          <w:b/>
          <w:color w:val="082252"/>
        </w:rPr>
        <w:t>Abandonment is true when one of these is observed:</w:t>
      </w:r>
    </w:p>
    <w:p/>
    <w:p>
      <w:pPr>
        <w:pStyle w:val="ListBullet"/>
      </w:pPr>
      <w:r>
        <w:t>the source adapter marks inactivity_abandonment = true,</w:t>
      </w:r>
    </w:p>
    <w:p>
      <w:pPr>
        <w:pStyle w:val="ListBullet"/>
      </w:pPr>
      <w:r>
        <w:t>execution state is ABANDONED,</w:t>
      </w:r>
    </w:p>
    <w:p>
      <w:pPr>
        <w:pStyle w:val="ListBullet"/>
      </w:pPr>
      <w:r>
        <w:t>an ai_abandonment event appears,</w:t>
      </w:r>
    </w:p>
    <w:p>
      <w:pPr>
        <w:pStyle w:val="ListBullet"/>
      </w:pPr>
      <w:r>
        <w:t>an AI output disposition is abandoned.</w:t>
      </w:r>
    </w:p>
    <w:p/>
    <w:p>
      <w:r>
        <w:rPr>
          <w:b/>
          <w:color w:val="082252"/>
        </w:rPr>
        <w:t>Important boundary:</w:t>
      </w:r>
    </w:p>
    <w:p/>
    <w:p>
      <w:r>
        <w:t>FluencyTracr does not guess abandonment from missing data alone. If the source</w:t>
      </w:r>
    </w:p>
    <w:p>
      <w:r>
        <w:t>cannot prove abandonment, the safer state is evidence gap.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User invokes an assistant.</w:t>
        <w:br/>
      </w:r>
      <w:r>
        <w:rPr>
          <w:rFonts w:ascii="Courier New" w:hAnsi="Courier New"/>
          <w:color w:val="1F2937"/>
          <w:sz w:val="17"/>
        </w:rPr>
        <w:t>The workflow enters an abandoned execution state.</w:t>
        <w:br/>
      </w:r>
      <w:r>
        <w:rPr>
          <w:rFonts w:ascii="Courier New" w:hAnsi="Courier New"/>
          <w:color w:val="1F2937"/>
          <w:sz w:val="17"/>
        </w:rPr>
        <w:t>No later continuation or terminal success is observed.</w:t>
        <w:br/>
      </w:r>
      <w:r>
        <w:rPr>
          <w:rFonts w:ascii="Courier New" w:hAnsi="Courier New"/>
          <w:color w:val="1F2937"/>
          <w:sz w:val="17"/>
        </w:rPr>
        <w:t>Abandonment = true.</w:t>
      </w:r>
    </w:p>
    <w:p/>
    <w:p>
      <w:r>
        <w:rPr>
          <w:b/>
          <w:color w:val="082252"/>
        </w:rPr>
        <w:t>Executive meaning:</w:t>
      </w:r>
    </w:p>
    <w:p/>
    <w:p>
      <w:r>
        <w:t>Abandonment shows where AI-assisted work may not be carrying work forward. It</w:t>
      </w:r>
    </w:p>
    <w:p>
      <w:r>
        <w:t>lowers Reliability Factor and Quality Multiplier.</w:t>
      </w:r>
    </w:p>
    <w:p/>
    <w:p>
      <w:pPr>
        <w:pStyle w:val="Heading2"/>
      </w:pPr>
      <w:r>
        <w:t>3.7 Frequency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USER_FREQUENCY_OBSERVED</w:t>
      </w:r>
    </w:p>
    <w:p/>
    <w:p>
      <w:r>
        <w:rPr>
          <w:b/>
          <w:color w:val="082252"/>
        </w:rPr>
        <w:t>Definition:</w:t>
      </w:r>
    </w:p>
    <w:p/>
    <w:p>
      <w:r>
        <w:t>Frequency measures runs per active day.</w:t>
      </w:r>
    </w:p>
    <w:p/>
    <w:p>
      <w:r>
        <w:rPr>
          <w:b/>
          <w:color w:val="082252"/>
        </w:rPr>
        <w:t>How it is emitted:</w:t>
      </w:r>
    </w:p>
    <w:p/>
    <w:p>
      <w:r>
        <w:t>Only as cohort percentile distributions, such as p10, p50, p90, and p99.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p50 frequency = 12 runs per active day</w:t>
      </w:r>
    </w:p>
    <w:p/>
    <w:p>
      <w:r>
        <w:rPr>
          <w:b/>
          <w:color w:val="082252"/>
        </w:rPr>
        <w:t>Executive meaning:</w:t>
      </w:r>
    </w:p>
    <w:p/>
    <w:p>
      <w:r>
        <w:t>Frequency shows intensity among active users. High frequency alone does not</w:t>
      </w:r>
    </w:p>
    <w:p>
      <w:r>
        <w:t>prove depth or value.</w:t>
      </w:r>
    </w:p>
    <w:p/>
    <w:p>
      <w:pPr>
        <w:pStyle w:val="Heading2"/>
      </w:pPr>
      <w:r>
        <w:t>3.8 Engagement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USER_ENGAGEMENT_OBSERVED</w:t>
      </w:r>
    </w:p>
    <w:p/>
    <w:p>
      <w:r>
        <w:rPr>
          <w:b/>
          <w:color w:val="082252"/>
        </w:rPr>
        <w:t>Definition:</w:t>
      </w:r>
    </w:p>
    <w:p/>
    <w:p>
      <w:r>
        <w:t>Engagement measures active days per window.</w:t>
      </w:r>
    </w:p>
    <w:p/>
    <w:p>
      <w:r>
        <w:rPr>
          <w:b/>
          <w:color w:val="082252"/>
        </w:rPr>
        <w:t>How it is emitted:</w:t>
      </w:r>
    </w:p>
    <w:p/>
    <w:p>
      <w:r>
        <w:t>Only as cohort percentile distributions.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p50 engagement = 18 active days in a 60-day window</w:t>
      </w:r>
    </w:p>
    <w:p/>
    <w:p>
      <w:r>
        <w:rPr>
          <w:b/>
          <w:color w:val="082252"/>
        </w:rPr>
        <w:t>Executive meaning:</w:t>
      </w:r>
    </w:p>
    <w:p/>
    <w:p>
      <w:r>
        <w:t>Engagement shows persistence. It helps distinguish durable use from one-time or</w:t>
      </w:r>
    </w:p>
    <w:p>
      <w:r>
        <w:t>burst use.</w:t>
      </w:r>
    </w:p>
    <w:p/>
    <w:p>
      <w:pPr>
        <w:pStyle w:val="Heading2"/>
      </w:pPr>
      <w:r>
        <w:t>3.9 Breadth</w:t>
      </w:r>
    </w:p>
    <w:p/>
    <w:p>
      <w:r>
        <w:rPr>
          <w:b/>
          <w:color w:val="082252"/>
        </w:rPr>
        <w:t>Canonical observation:</w:t>
      </w:r>
    </w:p>
    <w:p/>
    <w:p>
      <w:r>
        <w:rPr>
          <w:rFonts w:ascii="Courier New" w:hAnsi="Courier New"/>
          <w:color w:val="1F2937"/>
          <w:sz w:val="17"/>
        </w:rPr>
        <w:t>USER_BREADTH_OBSERVED</w:t>
      </w:r>
    </w:p>
    <w:p/>
    <w:p>
      <w:r>
        <w:rPr>
          <w:b/>
          <w:color w:val="082252"/>
        </w:rPr>
        <w:t>Definition:</w:t>
      </w:r>
    </w:p>
    <w:p/>
    <w:p>
      <w:r>
        <w:t>Breadth measures distinct AI surfaces touched per window.</w:t>
      </w:r>
    </w:p>
    <w:p/>
    <w:p>
      <w:r>
        <w:rPr>
          <w:b/>
          <w:color w:val="082252"/>
        </w:rPr>
        <w:t>How it is emitted:</w:t>
      </w:r>
    </w:p>
    <w:p/>
    <w:p>
      <w:r>
        <w:t>Only as cohort percentile distributions.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p50 breadth = 4 AI surfaces touched in the window</w:t>
      </w:r>
    </w:p>
    <w:p/>
    <w:p>
      <w:r>
        <w:rPr>
          <w:b/>
          <w:color w:val="082252"/>
        </w:rPr>
        <w:t>Executive meaning:</w:t>
      </w:r>
    </w:p>
    <w:p/>
    <w:p>
      <w:r>
        <w:t>Breadth shows whether AI use is narrow or spread across multiple surfaces. It</w:t>
      </w:r>
    </w:p>
    <w:p>
      <w:r>
        <w:t>does not automatically mean better use; the surface mix must be coherent for the</w:t>
      </w:r>
    </w:p>
    <w:p>
      <w:r>
        <w:t>workflow.</w:t>
      </w:r>
    </w:p>
    <w:p/>
    <w:p>
      <w:pPr>
        <w:pStyle w:val="Heading1"/>
      </w:pPr>
      <w:r>
        <w:t>4. Velocity</w:t>
      </w:r>
    </w:p>
    <w:p/>
    <w:p>
      <w:r>
        <w:t>Velocity measures adoption energy.</w:t>
      </w:r>
    </w:p>
    <w:p/>
    <w:p>
      <w:r>
        <w:rPr>
          <w:b/>
          <w:color w:val="082252"/>
        </w:rPr>
        <w:t>It has three independent dimensions:</w:t>
      </w:r>
    </w:p>
    <w:p/>
    <w:p>
      <w:r>
        <w:rPr>
          <w:rFonts w:ascii="Courier New" w:hAnsi="Courier New"/>
          <w:color w:val="1F2937"/>
          <w:sz w:val="17"/>
        </w:rPr>
        <w:t>Frequency = runs per active day</w:t>
        <w:br/>
      </w:r>
      <w:r>
        <w:rPr>
          <w:rFonts w:ascii="Courier New" w:hAnsi="Courier New"/>
          <w:color w:val="1F2937"/>
          <w:sz w:val="17"/>
        </w:rPr>
        <w:t>Engagement = active days per window</w:t>
        <w:br/>
      </w:r>
      <w:r>
        <w:rPr>
          <w:rFonts w:ascii="Courier New" w:hAnsi="Courier New"/>
          <w:color w:val="1F2937"/>
          <w:sz w:val="17"/>
        </w:rPr>
        <w:t>Breadth = distinct AI surfaces touched per window</w:t>
      </w:r>
    </w:p>
    <w:p/>
    <w:p>
      <w:r>
        <w:t>Velocity is computed from aggregate distributions, not person-level output.</w:t>
      </w:r>
    </w:p>
    <w:p/>
    <w:p>
      <w:r>
        <w:t>The current Velocity Index contract computes each sub-index against a governed</w:t>
      </w:r>
    </w:p>
    <w:p>
      <w:r>
        <w:rPr>
          <w:b/>
          <w:color w:val="082252"/>
        </w:rPr>
        <w:t>calibration reference:</w:t>
      </w:r>
    </w:p>
    <w:p/>
    <w:p>
      <w:r>
        <w:rPr>
          <w:rFonts w:ascii="Courier New" w:hAnsi="Courier New"/>
          <w:color w:val="1F2937"/>
          <w:sz w:val="17"/>
        </w:rPr>
        <w:t>frequency_index  = observed_frequency_p50 / calibration_frequency_p50</w:t>
        <w:br/>
      </w:r>
      <w:r>
        <w:rPr>
          <w:rFonts w:ascii="Courier New" w:hAnsi="Courier New"/>
          <w:color w:val="1F2937"/>
          <w:sz w:val="17"/>
        </w:rPr>
        <w:t>engagement_index = observed_engagement_p50 / calibration_engagement_p50</w:t>
        <w:br/>
      </w:r>
      <w:r>
        <w:rPr>
          <w:rFonts w:ascii="Courier New" w:hAnsi="Courier New"/>
          <w:color w:val="1F2937"/>
          <w:sz w:val="17"/>
        </w:rPr>
        <w:t>breadth_index    = observed_breadth_p50 / calibration_breadth_p50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velocity_index = average(frequency_index, engagement_index, breadth_index)</w:t>
      </w:r>
    </w:p>
    <w:p/>
    <w:p>
      <w:r>
        <w:t>Each sub-index is bounded by the governed contract.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frequency_index = 1.08</w:t>
        <w:br/>
      </w:r>
      <w:r>
        <w:rPr>
          <w:rFonts w:ascii="Courier New" w:hAnsi="Courier New"/>
          <w:color w:val="1F2937"/>
          <w:sz w:val="17"/>
        </w:rPr>
        <w:t>engagement_index = 1.00</w:t>
        <w:br/>
      </w:r>
      <w:r>
        <w:rPr>
          <w:rFonts w:ascii="Courier New" w:hAnsi="Courier New"/>
          <w:color w:val="1F2937"/>
          <w:sz w:val="17"/>
        </w:rPr>
        <w:t>breadth_index = 0.93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velocity_index = (1.08 + 1.00 + 0.93) / 3</w:t>
        <w:br/>
      </w:r>
      <w:r>
        <w:rPr>
          <w:rFonts w:ascii="Courier New" w:hAnsi="Courier New"/>
          <w:color w:val="1F2937"/>
          <w:sz w:val="17"/>
        </w:rPr>
        <w:t>velocity_index = 1.003</w:t>
      </w:r>
    </w:p>
    <w:p/>
    <w:p>
      <w:r>
        <w:rPr>
          <w:b/>
          <w:color w:val="082252"/>
        </w:rPr>
        <w:t>Executive interpretation:</w:t>
      </w:r>
    </w:p>
    <w:p/>
    <w:p>
      <w:pPr>
        <w:pStyle w:val="ListBullet"/>
      </w:pPr>
      <w:r>
        <w:t>High Frequency: active users are intense.</w:t>
      </w:r>
    </w:p>
    <w:p>
      <w:pPr>
        <w:pStyle w:val="ListBullet"/>
      </w:pPr>
      <w:r>
        <w:t>High Engagement: use is persistent across the window.</w:t>
      </w:r>
    </w:p>
    <w:p>
      <w:pPr>
        <w:pStyle w:val="ListBullet"/>
      </w:pPr>
      <w:r>
        <w:t>High Breadth: use spans more surfaces.</w:t>
      </w:r>
    </w:p>
    <w:p>
      <w:pPr>
        <w:pStyle w:val="ListBullet"/>
      </w:pPr>
      <w:r>
        <w:t>High Velocity overall: adoption has energy.</w:t>
      </w:r>
    </w:p>
    <w:p/>
    <w:p>
      <w:r>
        <w:rPr>
          <w:b/>
          <w:color w:val="082252"/>
        </w:rPr>
        <w:t>What Velocity does not prove:</w:t>
      </w:r>
    </w:p>
    <w:p/>
    <w:p>
      <w:pPr>
        <w:pStyle w:val="ListBullet"/>
      </w:pPr>
      <w:r>
        <w:t>workflow integration,</w:t>
      </w:r>
    </w:p>
    <w:p>
      <w:pPr>
        <w:pStyle w:val="ListBullet"/>
      </w:pPr>
      <w:r>
        <w:t>output quality,</w:t>
      </w:r>
    </w:p>
    <w:p>
      <w:pPr>
        <w:pStyle w:val="ListBullet"/>
      </w:pPr>
      <w:r>
        <w:t>trust,</w:t>
      </w:r>
    </w:p>
    <w:p>
      <w:pPr>
        <w:pStyle w:val="ListBullet"/>
      </w:pPr>
      <w:r>
        <w:t>ROI,</w:t>
      </w:r>
    </w:p>
    <w:p>
      <w:pPr>
        <w:pStyle w:val="ListBullet"/>
      </w:pPr>
      <w:r>
        <w:t>productivity,</w:t>
      </w:r>
    </w:p>
    <w:p>
      <w:pPr>
        <w:pStyle w:val="ListBullet"/>
      </w:pPr>
      <w:r>
        <w:t>causality.</w:t>
      </w:r>
    </w:p>
    <w:p/>
    <w:p>
      <w:r>
        <w:t>Velocity must be paired with Depth.</w:t>
      </w:r>
    </w:p>
    <w:p/>
    <w:p>
      <w:pPr>
        <w:pStyle w:val="Heading1"/>
      </w:pPr>
      <w:r>
        <w:t>5. Depth</w:t>
      </w:r>
    </w:p>
    <w:p/>
    <w:p>
      <w:r>
        <w:t>Depth measures work integration.</w:t>
      </w:r>
    </w:p>
    <w:p/>
    <w:p>
      <w:r>
        <w:rPr>
          <w:b/>
          <w:color w:val="082252"/>
        </w:rPr>
        <w:t>Repo shorthand:</w:t>
      </w:r>
    </w:p>
    <w:p/>
    <w:p>
      <w:r>
        <w:rPr>
          <w:rFonts w:ascii="Courier New" w:hAnsi="Courier New"/>
          <w:color w:val="1F2937"/>
          <w:sz w:val="17"/>
        </w:rPr>
        <w:t>Depth = Surface Repertoire x Repeat Use / Refinement</w:t>
      </w:r>
    </w:p>
    <w:p/>
    <w:p>
      <w:r>
        <w:rPr>
          <w:b/>
          <w:color w:val="082252"/>
        </w:rPr>
        <w:t>Depth asks:</w:t>
      </w:r>
    </w:p>
    <w:p/>
    <w:p>
      <w:r>
        <w:rPr>
          <w:rFonts w:ascii="Courier New" w:hAnsi="Courier New"/>
          <w:color w:val="1F2937"/>
          <w:sz w:val="17"/>
        </w:rPr>
        <w:t>Is AI being repeatedly integrated into real workflows, across coherent surfaces,</w:t>
        <w:br/>
      </w:r>
      <w:r>
        <w:rPr>
          <w:rFonts w:ascii="Courier New" w:hAnsi="Courier New"/>
          <w:color w:val="1F2937"/>
          <w:sz w:val="17"/>
        </w:rPr>
        <w:t>with enough verification, recovery, reuse, delegation, and judgment behavior to</w:t>
        <w:br/>
      </w:r>
      <w:r>
        <w:rPr>
          <w:rFonts w:ascii="Courier New" w:hAnsi="Courier New"/>
          <w:color w:val="1F2937"/>
          <w:sz w:val="17"/>
        </w:rPr>
        <w:t>support safer value claims?</w:t>
      </w:r>
    </w:p>
    <w:p/>
    <w:p>
      <w:r>
        <w:rPr>
          <w:b/>
          <w:color w:val="082252"/>
        </w:rPr>
        <w:t>Depth dimensions:</w:t>
      </w:r>
    </w:p>
    <w:p/>
    <w:p>
      <w:pPr>
        <w:pStyle w:val="ListBullet"/>
      </w:pPr>
      <w:r>
        <w:t>Surface Repertoire Depth: repeated use across more than one AI surface.</w:t>
      </w:r>
    </w:p>
    <w:p>
      <w:pPr>
        <w:pStyle w:val="ListBullet"/>
      </w:pPr>
      <w:r>
        <w:t>Repeat / Refinement Depth: returning to AI and refining work over time.</w:t>
      </w:r>
    </w:p>
    <w:p>
      <w:pPr>
        <w:pStyle w:val="ListBullet"/>
      </w:pPr>
      <w:r>
        <w:t>Verification Depth: appropriate checking or review behavior.</w:t>
      </w:r>
    </w:p>
    <w:p>
      <w:pPr>
        <w:pStyle w:val="ListBullet"/>
      </w:pPr>
      <w:r>
        <w:t>Workflow Repertoire Depth: use across coherent workflow contexts.</w:t>
      </w:r>
    </w:p>
    <w:p>
      <w:pPr>
        <w:pStyle w:val="ListBullet"/>
      </w:pPr>
      <w:r>
        <w:t>Capability Repertoire Depth: span of retrieval, synthesis, transformation,</w:t>
      </w:r>
    </w:p>
    <w:p>
      <w:r>
        <w:t xml:space="preserve">  delegation, reuse, and verification capabilities.</w:t>
      </w:r>
    </w:p>
    <w:p>
      <w:pPr>
        <w:pStyle w:val="ListBullet"/>
      </w:pPr>
      <w:r>
        <w:t>Delegation Depth: use of agents, tools, MCP, or named workflow execution.</w:t>
      </w:r>
    </w:p>
    <w:p>
      <w:pPr>
        <w:pStyle w:val="ListBullet"/>
      </w:pPr>
      <w:r>
        <w:t>Skill / Reuse Depth: movement from one-off prompting to governed reusable</w:t>
      </w:r>
    </w:p>
    <w:p>
      <w:r>
        <w:t xml:space="preserve">  workflows or Skills.</w:t>
      </w:r>
    </w:p>
    <w:p>
      <w:pPr>
        <w:pStyle w:val="ListBullet"/>
      </w:pPr>
      <w:r>
        <w:t>Recovery Depth: ability to continue after friction or failed attempts.</w:t>
      </w:r>
    </w:p>
    <w:p>
      <w:pPr>
        <w:pStyle w:val="ListBullet"/>
      </w:pPr>
      <w:r>
        <w:t>Judgment / Override Depth: human intervention when automation should not</w:t>
      </w:r>
    </w:p>
    <w:p>
      <w:r>
        <w:t xml:space="preserve">  proceed unchecked.</w:t>
      </w:r>
    </w:p>
    <w:p/>
    <w:p>
      <w:r>
        <w:rPr>
          <w:b/>
          <w:color w:val="082252"/>
        </w:rPr>
        <w:t>Executive interpretation:</w:t>
      </w:r>
    </w:p>
    <w:p/>
    <w:p>
      <w:r>
        <w:t>Depth is the difference between activity and operating leverage.</w:t>
      </w:r>
    </w:p>
    <w:p/>
    <w:p>
      <w:r>
        <w:t>High use in one surface can be useful, but it may still be shallow. Lower use</w:t>
      </w:r>
    </w:p>
    <w:p>
      <w:r>
        <w:t>across a critical, repeatable, well-verified workflow may be more valuable than</w:t>
      </w:r>
    </w:p>
    <w:p>
      <w:r>
        <w:t>high-volume shallow activity.</w:t>
      </w:r>
    </w:p>
    <w:p/>
    <w:p>
      <w:pPr>
        <w:pStyle w:val="Heading1"/>
      </w:pPr>
      <w:r>
        <w:t>6. Velocity x Depth Framework</w:t>
      </w:r>
    </w:p>
    <w:p/>
    <w:p>
      <w:r>
        <w:t>Velocity and Depth should be read together.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Zone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Velocity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Depth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987"/>
          </w:tcPr>
          <w:p>
            <w:r>
              <w:rPr>
                <w:b/>
              </w:rPr>
              <w:t>Watch for</w:t>
            </w:r>
          </w:p>
        </w:tc>
      </w:tr>
      <w:tr>
        <w:tc>
          <w:tcPr>
            <w:tcW w:type="dxa" w:w="1987"/>
          </w:tcPr>
          <w:p>
            <w:r>
              <w:t>Low Integration</w:t>
            </w:r>
          </w:p>
        </w:tc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AI is not yet part of real work patterns.</w:t>
            </w:r>
          </w:p>
        </w:tc>
        <w:tc>
          <w:tcPr>
            <w:tcW w:type="dxa" w:w="1987"/>
          </w:tcPr>
          <w:p>
            <w:r>
              <w:t>abandonment, human-only fallback, low recurrence, poor task fit</w:t>
            </w:r>
          </w:p>
        </w:tc>
      </w:tr>
      <w:tr>
        <w:tc>
          <w:tcPr>
            <w:tcW w:type="dxa" w:w="1987"/>
          </w:tcPr>
          <w:p>
            <w:r>
              <w:t>Fast But Shallow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AI is helping with quick tasks, but may not be embedded.</w:t>
            </w:r>
          </w:p>
        </w:tc>
        <w:tc>
          <w:tcPr>
            <w:tcW w:type="dxa" w:w="1987"/>
          </w:tcPr>
          <w:p>
            <w:r>
              <w:t>immediate accept, low verification, thin workflow presence, possible blind trust</w:t>
            </w:r>
          </w:p>
        </w:tc>
      </w:tr>
      <w:tr>
        <w:tc>
          <w:tcPr>
            <w:tcW w:type="dxa" w:w="1987"/>
          </w:tcPr>
          <w:p>
            <w:r>
              <w:t>Deep But Slow</w:t>
            </w:r>
          </w:p>
        </w:tc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AI is used seriously, but may create drag.</w:t>
            </w:r>
          </w:p>
        </w:tc>
        <w:tc>
          <w:tcPr>
            <w:tcW w:type="dxa" w:w="1987"/>
          </w:tcPr>
          <w:p>
            <w:r>
              <w:t>rework loops, heavy iteration, long latency, workflow mismatch</w:t>
            </w:r>
          </w:p>
        </w:tc>
      </w:tr>
      <w:tr>
        <w:tc>
          <w:tcPr>
            <w:tcW w:type="dxa" w:w="1987"/>
          </w:tcPr>
          <w:p>
            <w:r>
              <w:t>High-Fluency Flow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AI is embedded into work and helps work resolve.</w:t>
            </w:r>
          </w:p>
        </w:tc>
        <w:tc>
          <w:tcPr>
            <w:tcW w:type="dxa" w:w="1987"/>
          </w:tcPr>
          <w:p>
            <w:r>
              <w:t>repeat use, verification, productive refinement, faster resolution</w:t>
            </w:r>
          </w:p>
        </w:tc>
      </w:tr>
    </w:tbl>
    <w:p/>
    <w:p/>
    <w:p>
      <w:r>
        <w:t>The point of the matrix is not to rank teams. It is to help leaders decide what</w:t>
      </w:r>
    </w:p>
    <w:p>
      <w:r>
        <w:t>kind of intervention is needed.</w:t>
      </w:r>
    </w:p>
    <w:p/>
    <w:p>
      <w:r>
        <w:rPr>
          <w:b/>
          <w:color w:val="082252"/>
        </w:rPr>
        <w:t>Examples:</w:t>
      </w:r>
    </w:p>
    <w:p/>
    <w:p>
      <w:pPr>
        <w:pStyle w:val="Heading2"/>
      </w:pPr>
      <w:r>
        <w:t>Low Integration</w:t>
      </w:r>
    </w:p>
    <w:p/>
    <w:p>
      <w:r>
        <w:t>The cohort has low engagement, low breadth, and low repeat behavior. AI may be</w:t>
      </w:r>
    </w:p>
    <w:p>
      <w:r>
        <w:t>available, but it is not yet part of the workflow.</w:t>
      </w:r>
    </w:p>
    <w:p/>
    <w:p>
      <w:r>
        <w:rPr>
          <w:b/>
          <w:color w:val="082252"/>
        </w:rPr>
        <w:t>Likely next action:</w:t>
      </w:r>
    </w:p>
    <w:p/>
    <w:p>
      <w:r>
        <w:rPr>
          <w:rFonts w:ascii="Courier New" w:hAnsi="Courier New"/>
          <w:color w:val="1F2937"/>
          <w:sz w:val="17"/>
        </w:rPr>
        <w:t>Improve workflow fit or source coverage before claiming value.</w:t>
      </w:r>
    </w:p>
    <w:p/>
    <w:p>
      <w:pPr>
        <w:pStyle w:val="Heading2"/>
      </w:pPr>
      <w:r>
        <w:t>Fast But Shallow</w:t>
      </w:r>
    </w:p>
    <w:p/>
    <w:p>
      <w:r>
        <w:t>The cohort uses AI frequently, but mostly in one surface with limited</w:t>
      </w:r>
    </w:p>
    <w:p>
      <w:r>
        <w:t>verification and weak workflow continuation.</w:t>
      </w:r>
    </w:p>
    <w:p/>
    <w:p>
      <w:r>
        <w:rPr>
          <w:b/>
          <w:color w:val="082252"/>
        </w:rPr>
        <w:t>Likely next action:</w:t>
      </w:r>
    </w:p>
    <w:p/>
    <w:p>
      <w:r>
        <w:rPr>
          <w:rFonts w:ascii="Courier New" w:hAnsi="Courier New"/>
          <w:color w:val="1F2937"/>
          <w:sz w:val="17"/>
        </w:rPr>
        <w:t>Add workflow design, verification loops, or better source coverage before scale.</w:t>
      </w:r>
    </w:p>
    <w:p/>
    <w:p>
      <w:pPr>
        <w:pStyle w:val="Heading2"/>
      </w:pPr>
      <w:r>
        <w:t>Deep But Slow</w:t>
      </w:r>
    </w:p>
    <w:p/>
    <w:p>
      <w:r>
        <w:t>The cohort uses multiple surfaces and shows refinement/recovery, but latency and</w:t>
      </w:r>
    </w:p>
    <w:p>
      <w:r>
        <w:t>iteration are heavy.</w:t>
      </w:r>
    </w:p>
    <w:p/>
    <w:p>
      <w:r>
        <w:rPr>
          <w:b/>
          <w:color w:val="082252"/>
        </w:rPr>
        <w:t>Likely next action:</w:t>
      </w:r>
    </w:p>
    <w:p/>
    <w:p>
      <w:r>
        <w:rPr>
          <w:rFonts w:ascii="Courier New" w:hAnsi="Courier New"/>
          <w:color w:val="1F2937"/>
          <w:sz w:val="17"/>
        </w:rPr>
        <w:t>Reduce friction, simplify workflow design, or package repeatable patterns.</w:t>
      </w:r>
    </w:p>
    <w:p/>
    <w:p>
      <w:pPr>
        <w:pStyle w:val="Heading2"/>
      </w:pPr>
      <w:r>
        <w:t>High-Fluency Flow</w:t>
      </w:r>
    </w:p>
    <w:p/>
    <w:p>
      <w:r>
        <w:t>The cohort shows persistent usage, coherent surface repertoire, verification or</w:t>
      </w:r>
    </w:p>
    <w:p>
      <w:r>
        <w:t>trust evidence, recovery after friction, and work resolution.</w:t>
      </w:r>
    </w:p>
    <w:p/>
    <w:p>
      <w:r>
        <w:rPr>
          <w:b/>
          <w:color w:val="082252"/>
        </w:rPr>
        <w:t>Likely next action:</w:t>
      </w:r>
    </w:p>
    <w:p/>
    <w:p>
      <w:r>
        <w:rPr>
          <w:rFonts w:ascii="Courier New" w:hAnsi="Courier New"/>
          <w:color w:val="1F2937"/>
          <w:sz w:val="17"/>
        </w:rPr>
        <w:t>Study and package the repeatable pattern for customer-owned scale review.</w:t>
      </w:r>
    </w:p>
    <w:p/>
    <w:p>
      <w:pPr>
        <w:pStyle w:val="Heading1"/>
      </w:pPr>
      <w:r>
        <w:t>7. Reliability Factor</w:t>
      </w:r>
    </w:p>
    <w:p/>
    <w:p>
      <w:r>
        <w:t>Reliability Factor asks whether surfaced aggregate workflow evidence looks</w:t>
      </w:r>
    </w:p>
    <w:p>
      <w:r>
        <w:t>operationally dependable.</w:t>
      </w:r>
    </w:p>
    <w:p/>
    <w:p>
      <w:r>
        <w:rPr>
          <w:b/>
          <w:color w:val="082252"/>
        </w:rPr>
        <w:t>Formula:</w:t>
      </w:r>
    </w:p>
    <w:p/>
    <w:p>
      <w:r>
        <w:rPr>
          <w:rFonts w:ascii="Courier New" w:hAnsi="Courier New"/>
          <w:color w:val="1F2937"/>
          <w:sz w:val="17"/>
        </w:rPr>
        <w:t>reliability_factor =</w:t>
        <w:br/>
      </w:r>
      <w:r>
        <w:rPr>
          <w:rFonts w:ascii="Courier New" w:hAnsi="Courier New"/>
          <w:color w:val="1F2937"/>
          <w:sz w:val="17"/>
        </w:rPr>
        <w:t xml:space="preserve">  clamp01(</w:t>
        <w:br/>
      </w:r>
      <w:r>
        <w:rPr>
          <w:rFonts w:ascii="Courier New" w:hAnsi="Courier New"/>
          <w:color w:val="1F2937"/>
          <w:sz w:val="17"/>
        </w:rPr>
        <w:t xml:space="preserve">    0.5</w:t>
        <w:br/>
      </w:r>
      <w:r>
        <w:rPr>
          <w:rFonts w:ascii="Courier New" w:hAnsi="Courier New"/>
          <w:color w:val="1F2937"/>
          <w:sz w:val="17"/>
        </w:rPr>
        <w:t xml:space="preserve">    + 0.25 * verification_presence_rate</w:t>
        <w:br/>
      </w:r>
      <w:r>
        <w:rPr>
          <w:rFonts w:ascii="Courier New" w:hAnsi="Courier New"/>
          <w:color w:val="1F2937"/>
          <w:sz w:val="17"/>
        </w:rPr>
        <w:t xml:space="preserve">    + 0.25 * recovery_success_rate</w:t>
        <w:br/>
      </w:r>
      <w:r>
        <w:rPr>
          <w:rFonts w:ascii="Courier New" w:hAnsi="Courier New"/>
          <w:color w:val="1F2937"/>
          <w:sz w:val="17"/>
        </w:rPr>
        <w:t xml:space="preserve">    - 0.25 * abandonment_rate</w:t>
        <w:br/>
      </w:r>
      <w:r>
        <w:rPr>
          <w:rFonts w:ascii="Courier New" w:hAnsi="Courier New"/>
          <w:color w:val="1F2937"/>
          <w:sz w:val="17"/>
        </w:rPr>
        <w:t xml:space="preserve">    - 0.25 * friction_loop_rate</w:t>
        <w:br/>
      </w:r>
      <w:r>
        <w:rPr>
          <w:rFonts w:ascii="Courier New" w:hAnsi="Courier New"/>
          <w:color w:val="1F2937"/>
          <w:sz w:val="17"/>
        </w:rPr>
        <w:t xml:space="preserve">  )</w:t>
      </w:r>
    </w:p>
    <w:p/>
    <w:p>
      <w:r>
        <w:rPr>
          <w:b/>
          <w:color w:val="082252"/>
        </w:rPr>
        <w:t>Component definitions:</w:t>
      </w:r>
    </w:p>
    <w:p/>
    <w:p>
      <w:pPr>
        <w:pStyle w:val="ListBullet"/>
      </w:pPr>
      <w:r>
        <w:t>verification_presence_rate: share of aggregate workflow executions where</w:t>
      </w:r>
    </w:p>
    <w:p>
      <w:r>
        <w:t xml:space="preserve">  verification behavior is observed.</w:t>
      </w:r>
    </w:p>
    <w:p>
      <w:pPr>
        <w:pStyle w:val="ListBullet"/>
      </w:pPr>
      <w:r>
        <w:t>recovery_success_rate: share where recovery behavior resolves into usable</w:t>
      </w:r>
    </w:p>
    <w:p>
      <w:r>
        <w:t xml:space="preserve">  continuation rather than abandonment.</w:t>
      </w:r>
    </w:p>
    <w:p>
      <w:pPr>
        <w:pStyle w:val="ListBullet"/>
      </w:pPr>
      <w:r>
        <w:t>abandonment_rate: share where the observed workflow is abandoned.</w:t>
      </w:r>
    </w:p>
    <w:p>
      <w:pPr>
        <w:pStyle w:val="ListBullet"/>
      </w:pPr>
      <w:r>
        <w:t>friction_loop_rate: share showing repeated retry/friction-loop behavior.</w:t>
      </w:r>
    </w:p>
    <w:p/>
    <w:p>
      <w:r>
        <w:rPr>
          <w:b/>
          <w:color w:val="082252"/>
        </w:rPr>
        <w:t>Example:</w:t>
      </w:r>
    </w:p>
    <w:p/>
    <w:p>
      <w:r>
        <w:rPr>
          <w:rFonts w:ascii="Courier New" w:hAnsi="Courier New"/>
          <w:color w:val="1F2937"/>
          <w:sz w:val="17"/>
        </w:rPr>
        <w:t>verification_presence_rate = 0.70</w:t>
        <w:br/>
      </w:r>
      <w:r>
        <w:rPr>
          <w:rFonts w:ascii="Courier New" w:hAnsi="Courier New"/>
          <w:color w:val="1F2937"/>
          <w:sz w:val="17"/>
        </w:rPr>
        <w:t>recovery_success_rate = 0.60</w:t>
        <w:br/>
      </w:r>
      <w:r>
        <w:rPr>
          <w:rFonts w:ascii="Courier New" w:hAnsi="Courier New"/>
          <w:color w:val="1F2937"/>
          <w:sz w:val="17"/>
        </w:rPr>
        <w:t>abandonment_rate = 0.10</w:t>
        <w:br/>
      </w:r>
      <w:r>
        <w:rPr>
          <w:rFonts w:ascii="Courier New" w:hAnsi="Courier New"/>
          <w:color w:val="1F2937"/>
          <w:sz w:val="17"/>
        </w:rPr>
        <w:t>friction_loop_rate = 0.20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reliability_factor =</w:t>
        <w:br/>
      </w:r>
      <w:r>
        <w:rPr>
          <w:rFonts w:ascii="Courier New" w:hAnsi="Courier New"/>
          <w:color w:val="1F2937"/>
          <w:sz w:val="17"/>
        </w:rPr>
        <w:t xml:space="preserve">  0.5</w:t>
        <w:br/>
      </w:r>
      <w:r>
        <w:rPr>
          <w:rFonts w:ascii="Courier New" w:hAnsi="Courier New"/>
          <w:color w:val="1F2937"/>
          <w:sz w:val="17"/>
        </w:rPr>
        <w:t xml:space="preserve">  + 0.25 * 0.70</w:t>
        <w:br/>
      </w:r>
      <w:r>
        <w:rPr>
          <w:rFonts w:ascii="Courier New" w:hAnsi="Courier New"/>
          <w:color w:val="1F2937"/>
          <w:sz w:val="17"/>
        </w:rPr>
        <w:t xml:space="preserve">  + 0.25 * 0.60</w:t>
        <w:br/>
      </w:r>
      <w:r>
        <w:rPr>
          <w:rFonts w:ascii="Courier New" w:hAnsi="Courier New"/>
          <w:color w:val="1F2937"/>
          <w:sz w:val="17"/>
        </w:rPr>
        <w:t xml:space="preserve">  - 0.25 * 0.10</w:t>
        <w:br/>
      </w:r>
      <w:r>
        <w:rPr>
          <w:rFonts w:ascii="Courier New" w:hAnsi="Courier New"/>
          <w:color w:val="1F2937"/>
          <w:sz w:val="17"/>
        </w:rPr>
        <w:t xml:space="preserve">  - 0.25 * 0.20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reliability_factor =</w:t>
        <w:br/>
      </w:r>
      <w:r>
        <w:rPr>
          <w:rFonts w:ascii="Courier New" w:hAnsi="Courier New"/>
          <w:color w:val="1F2937"/>
          <w:sz w:val="17"/>
        </w:rPr>
        <w:t xml:space="preserve">  0.5 + 0.175 + 0.150 - 0.025 - 0.050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reliability_factor = 0.750</w:t>
      </w:r>
    </w:p>
    <w:p/>
    <w:p>
      <w:r>
        <w:rPr>
          <w:b/>
          <w:color w:val="082252"/>
        </w:rPr>
        <w:t>Executive interpretation:</w:t>
      </w:r>
    </w:p>
    <w:p/>
    <w:p>
      <w:r>
        <w:rPr>
          <w:rFonts w:ascii="Courier New" w:hAnsi="Courier New"/>
          <w:color w:val="1F2937"/>
          <w:sz w:val="17"/>
        </w:rPr>
        <w:t>This workflow has moderate-to-strong operational dependability evidence, but</w:t>
        <w:br/>
      </w:r>
      <w:r>
        <w:rPr>
          <w:rFonts w:ascii="Courier New" w:hAnsi="Courier New"/>
          <w:color w:val="1F2937"/>
          <w:sz w:val="17"/>
        </w:rPr>
        <w:t>the interpretation still depends on source coverage, workflow risk, and</w:t>
        <w:br/>
      </w:r>
      <w:r>
        <w:rPr>
          <w:rFonts w:ascii="Courier New" w:hAnsi="Courier New"/>
          <w:color w:val="1F2937"/>
          <w:sz w:val="17"/>
        </w:rPr>
        <w:t>suppression status.</w:t>
      </w:r>
    </w:p>
    <w:p/>
    <w:p>
      <w:r>
        <w:rPr>
          <w:b/>
          <w:color w:val="082252"/>
        </w:rPr>
        <w:t>Suppression rule:</w:t>
      </w:r>
    </w:p>
    <w:p/>
    <w:p>
      <w:r>
        <w:t>If the verdict is SUPPRESS, Reliability Factor must be null. There is no</w:t>
      </w:r>
    </w:p>
    <w:p>
      <w:r>
        <w:t>fallback value.</w:t>
      </w:r>
    </w:p>
    <w:p/>
    <w:p>
      <w:pPr>
        <w:pStyle w:val="Heading1"/>
      </w:pPr>
      <w:r>
        <w:t>8. Quality Multiplier</w:t>
      </w:r>
    </w:p>
    <w:p/>
    <w:p>
      <w:r>
        <w:t>Quality Multiplier asks whether a raw time-saved assumption should be</w:t>
      </w:r>
    </w:p>
    <w:p>
      <w:r>
        <w:t>discounted, left neutral, or amplified based on behavioral quality evidence.</w:t>
      </w:r>
    </w:p>
    <w:p/>
    <w:p>
      <w:r>
        <w:rPr>
          <w:b/>
          <w:color w:val="082252"/>
        </w:rPr>
        <w:t>Formula:</w:t>
      </w:r>
    </w:p>
    <w:p/>
    <w:p>
      <w:r>
        <w:rPr>
          <w:rFonts w:ascii="Courier New" w:hAnsi="Courier New"/>
          <w:color w:val="1F2937"/>
          <w:sz w:val="17"/>
        </w:rPr>
        <w:t>raw_multiplier =</w:t>
        <w:br/>
      </w:r>
      <w:r>
        <w:rPr>
          <w:rFonts w:ascii="Courier New" w:hAnsi="Courier New"/>
          <w:color w:val="1F2937"/>
          <w:sz w:val="17"/>
        </w:rPr>
        <w:t xml:space="preserve">  1.0</w:t>
        <w:br/>
      </w:r>
      <w:r>
        <w:rPr>
          <w:rFonts w:ascii="Courier New" w:hAnsi="Courier New"/>
          <w:color w:val="1F2937"/>
          <w:sz w:val="17"/>
        </w:rPr>
        <w:t xml:space="preserve">  + 0.30 * verification_presence_rate</w:t>
        <w:br/>
      </w:r>
      <w:r>
        <w:rPr>
          <w:rFonts w:ascii="Courier New" w:hAnsi="Courier New"/>
          <w:color w:val="1F2937"/>
          <w:sz w:val="17"/>
        </w:rPr>
        <w:t xml:space="preserve">  + 0.25 * recovery_success_rate</w:t>
        <w:br/>
      </w:r>
      <w:r>
        <w:rPr>
          <w:rFonts w:ascii="Courier New" w:hAnsi="Courier New"/>
          <w:color w:val="1F2937"/>
          <w:sz w:val="17"/>
        </w:rPr>
        <w:t xml:space="preserve">  - 0.35 * abandonment_rate</w:t>
        <w:br/>
      </w:r>
      <w:r>
        <w:rPr>
          <w:rFonts w:ascii="Courier New" w:hAnsi="Courier New"/>
          <w:color w:val="1F2937"/>
          <w:sz w:val="17"/>
        </w:rPr>
        <w:t xml:space="preserve">  - 0.30 * friction_loop_rate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quality_multiplier = clamp(raw_multiplier, 0.5, 1.5)</w:t>
      </w:r>
    </w:p>
    <w:p/>
    <w:p>
      <w:r>
        <w:rPr>
          <w:b/>
          <w:color w:val="082252"/>
        </w:rPr>
        <w:t>Using the same example:</w:t>
      </w:r>
    </w:p>
    <w:p/>
    <w:p>
      <w:r>
        <w:rPr>
          <w:rFonts w:ascii="Courier New" w:hAnsi="Courier New"/>
          <w:color w:val="1F2937"/>
          <w:sz w:val="17"/>
        </w:rPr>
        <w:t>verification_presence_rate = 0.70</w:t>
        <w:br/>
      </w:r>
      <w:r>
        <w:rPr>
          <w:rFonts w:ascii="Courier New" w:hAnsi="Courier New"/>
          <w:color w:val="1F2937"/>
          <w:sz w:val="17"/>
        </w:rPr>
        <w:t>recovery_success_rate = 0.60</w:t>
        <w:br/>
      </w:r>
      <w:r>
        <w:rPr>
          <w:rFonts w:ascii="Courier New" w:hAnsi="Courier New"/>
          <w:color w:val="1F2937"/>
          <w:sz w:val="17"/>
        </w:rPr>
        <w:t>abandonment_rate = 0.10</w:t>
        <w:br/>
      </w:r>
      <w:r>
        <w:rPr>
          <w:rFonts w:ascii="Courier New" w:hAnsi="Courier New"/>
          <w:color w:val="1F2937"/>
          <w:sz w:val="17"/>
        </w:rPr>
        <w:t>friction_loop_rate = 0.20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raw_multiplier =</w:t>
        <w:br/>
      </w:r>
      <w:r>
        <w:rPr>
          <w:rFonts w:ascii="Courier New" w:hAnsi="Courier New"/>
          <w:color w:val="1F2937"/>
          <w:sz w:val="17"/>
        </w:rPr>
        <w:t xml:space="preserve">  1.0</w:t>
        <w:br/>
      </w:r>
      <w:r>
        <w:rPr>
          <w:rFonts w:ascii="Courier New" w:hAnsi="Courier New"/>
          <w:color w:val="1F2937"/>
          <w:sz w:val="17"/>
        </w:rPr>
        <w:t xml:space="preserve">  + 0.30 * 0.70</w:t>
        <w:br/>
      </w:r>
      <w:r>
        <w:rPr>
          <w:rFonts w:ascii="Courier New" w:hAnsi="Courier New"/>
          <w:color w:val="1F2937"/>
          <w:sz w:val="17"/>
        </w:rPr>
        <w:t xml:space="preserve">  + 0.25 * 0.60</w:t>
        <w:br/>
      </w:r>
      <w:r>
        <w:rPr>
          <w:rFonts w:ascii="Courier New" w:hAnsi="Courier New"/>
          <w:color w:val="1F2937"/>
          <w:sz w:val="17"/>
        </w:rPr>
        <w:t xml:space="preserve">  - 0.35 * 0.10</w:t>
        <w:br/>
      </w:r>
      <w:r>
        <w:rPr>
          <w:rFonts w:ascii="Courier New" w:hAnsi="Courier New"/>
          <w:color w:val="1F2937"/>
          <w:sz w:val="17"/>
        </w:rPr>
        <w:t xml:space="preserve">  - 0.30 * 0.20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raw_multiplier =</w:t>
        <w:br/>
      </w:r>
      <w:r>
        <w:rPr>
          <w:rFonts w:ascii="Courier New" w:hAnsi="Courier New"/>
          <w:color w:val="1F2937"/>
          <w:sz w:val="17"/>
        </w:rPr>
        <w:t xml:space="preserve">  1.0 + 0.210 + 0.150 - 0.035 - 0.060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quality_multiplier = 1.265</w:t>
      </w:r>
    </w:p>
    <w:p/>
    <w:p>
      <w:r>
        <w:t>If a source time-saved estimate were 300 hours, a purely illustrative</w:t>
      </w:r>
    </w:p>
    <w:p>
      <w:r>
        <w:rPr>
          <w:b/>
          <w:color w:val="082252"/>
        </w:rPr>
        <w:t>quality-adjusted estimate would be:</w:t>
      </w:r>
    </w:p>
    <w:p/>
    <w:p>
      <w:r>
        <w:rPr>
          <w:rFonts w:ascii="Courier New" w:hAnsi="Courier New"/>
          <w:color w:val="1F2937"/>
          <w:sz w:val="17"/>
        </w:rPr>
        <w:t>300 * 1.265 = 379.5 hours</w:t>
      </w:r>
    </w:p>
    <w:p/>
    <w:p>
      <w:r>
        <w:rPr>
          <w:b/>
          <w:color w:val="082252"/>
        </w:rPr>
        <w:t>Important boundary:</w:t>
      </w:r>
    </w:p>
    <w:p/>
    <w:p>
      <w:r>
        <w:t>This is not ROI. It is not realized savings. It should not be emitted unless</w:t>
      </w:r>
    </w:p>
    <w:p>
      <w:r>
        <w:t>the underlying evidence clears suppression gates and the time-saved claim is</w:t>
      </w:r>
    </w:p>
    <w:p>
      <w:r>
        <w:t>customer-owned or otherwise approved for the use case.</w:t>
      </w:r>
    </w:p>
    <w:p/>
    <w:p>
      <w:pPr>
        <w:pStyle w:val="Heading1"/>
      </w:pPr>
      <w:r>
        <w:t>9. Time-Saved Defensibility Range</w:t>
      </w:r>
    </w:p>
    <w:p/>
    <w:p>
      <w:r>
        <w:t>Time-Saved Defensibility Range qualifies a claimed time-saved estimate.</w:t>
      </w:r>
    </w:p>
    <w:p/>
    <w:p>
      <w:r>
        <w:t>It does not prove financial ROI. It does not prove causality. It should be used</w:t>
      </w:r>
    </w:p>
    <w:p>
      <w:r>
        <w:t>as a bounded defensibility range, not a single value claim.</w:t>
      </w:r>
    </w:p>
    <w:p/>
    <w:p>
      <w:r>
        <w:rPr>
          <w:b/>
          <w:color w:val="082252"/>
        </w:rPr>
        <w:t>Required inputs:</w:t>
      </w:r>
    </w:p>
    <w:p/>
    <w:p>
      <w:pPr>
        <w:pStyle w:val="ListBullet"/>
      </w:pPr>
      <w:r>
        <w:t>raw time-saved claim,</w:t>
      </w:r>
    </w:p>
    <w:p>
      <w:pPr>
        <w:pStyle w:val="ListBullet"/>
      </w:pPr>
      <w:r>
        <w:t>customer-owned workflow volume assumption,</w:t>
      </w:r>
    </w:p>
    <w:p>
      <w:pPr>
        <w:pStyle w:val="ListBullet"/>
      </w:pPr>
      <w:r>
        <w:t>customer-owned baseline time assumption,</w:t>
      </w:r>
    </w:p>
    <w:p>
      <w:pPr>
        <w:pStyle w:val="ListBullet"/>
      </w:pPr>
      <w:r>
        <w:t>customer-owned recapture or scenario assumption,</w:t>
      </w:r>
    </w:p>
    <w:p>
      <w:pPr>
        <w:pStyle w:val="ListBullet"/>
      </w:pPr>
      <w:r>
        <w:t>surfaced aggregate behavior evidence,</w:t>
      </w:r>
    </w:p>
    <w:p>
      <w:pPr>
        <w:pStyle w:val="ListBullet"/>
      </w:pPr>
      <w:r>
        <w:t>support or other outcome context where available,</w:t>
      </w:r>
    </w:p>
    <w:p>
      <w:pPr>
        <w:pStyle w:val="ListBullet"/>
      </w:pPr>
      <w:r>
        <w:t>approved aggregate behavior-to-outcome join key,</w:t>
      </w:r>
    </w:p>
    <w:p>
      <w:pPr>
        <w:pStyle w:val="ListBullet"/>
      </w:pPr>
      <w:r>
        <w:t>NOT_CAUSAL status unless a separately governed causal design exists.</w:t>
      </w:r>
    </w:p>
    <w:p/>
    <w:p>
      <w:r>
        <w:t>If any required input is missing, the range must be null or absent.</w:t>
      </w:r>
    </w:p>
    <w:p/>
    <w:p>
      <w:r>
        <w:rPr>
          <w:b/>
          <w:color w:val="082252"/>
        </w:rPr>
        <w:t>Example from the documentation-stage contract:</w:t>
      </w:r>
    </w:p>
    <w:p/>
    <w:p>
      <w:r>
        <w:rPr>
          <w:rFonts w:ascii="Courier New" w:hAnsi="Courier New"/>
          <w:color w:val="1F2937"/>
          <w:sz w:val="17"/>
        </w:rPr>
        <w:t>{</w:t>
        <w:br/>
      </w:r>
      <w:r>
        <w:rPr>
          <w:rFonts w:ascii="Courier New" w:hAnsi="Courier New"/>
          <w:color w:val="1F2937"/>
          <w:sz w:val="17"/>
        </w:rPr>
        <w:t xml:space="preserve">  "raw_time_saved_claim_hours": 300,</w:t>
        <w:br/>
      </w:r>
      <w:r>
        <w:rPr>
          <w:rFonts w:ascii="Courier New" w:hAnsi="Courier New"/>
          <w:color w:val="1F2937"/>
          <w:sz w:val="17"/>
        </w:rPr>
        <w:t xml:space="preserve">  "defensibility_range_hours": {</w:t>
        <w:br/>
      </w:r>
      <w:r>
        <w:rPr>
          <w:rFonts w:ascii="Courier New" w:hAnsi="Courier New"/>
          <w:color w:val="1F2937"/>
          <w:sz w:val="17"/>
        </w:rPr>
        <w:t xml:space="preserve">    "conservative": 120,</w:t>
        <w:br/>
      </w:r>
      <w:r>
        <w:rPr>
          <w:rFonts w:ascii="Courier New" w:hAnsi="Courier New"/>
          <w:color w:val="1F2937"/>
          <w:sz w:val="17"/>
        </w:rPr>
        <w:t xml:space="preserve">    "expected": 180,</w:t>
        <w:br/>
      </w:r>
      <w:r>
        <w:rPr>
          <w:rFonts w:ascii="Courier New" w:hAnsi="Courier New"/>
          <w:color w:val="1F2937"/>
          <w:sz w:val="17"/>
        </w:rPr>
        <w:t xml:space="preserve">    "upside": 240</w:t>
        <w:br/>
      </w:r>
      <w:r>
        <w:rPr>
          <w:rFonts w:ascii="Courier New" w:hAnsi="Courier New"/>
          <w:color w:val="1F2937"/>
          <w:sz w:val="17"/>
        </w:rPr>
        <w:t xml:space="preserve">  },</w:t>
        <w:br/>
      </w:r>
      <w:r>
        <w:rPr>
          <w:rFonts w:ascii="Courier New" w:hAnsi="Courier New"/>
          <w:color w:val="1F2937"/>
          <w:sz w:val="17"/>
        </w:rPr>
        <w:t xml:space="preserve">  "causality_status": "NOT_CAUSAL",</w:t>
        <w:br/>
      </w:r>
      <w:r>
        <w:rPr>
          <w:rFonts w:ascii="Courier New" w:hAnsi="Courier New"/>
          <w:color w:val="1F2937"/>
          <w:sz w:val="17"/>
        </w:rPr>
        <w:t xml:space="preserve">  "confidence_band": "MEDIUM"</w:t>
        <w:br/>
      </w:r>
      <w:r>
        <w:rPr>
          <w:rFonts w:ascii="Courier New" w:hAnsi="Courier New"/>
          <w:color w:val="1F2937"/>
          <w:sz w:val="17"/>
        </w:rPr>
        <w:t>}</w:t>
      </w:r>
    </w:p>
    <w:p/>
    <w:p>
      <w:r>
        <w:rPr>
          <w:b/>
          <w:color w:val="082252"/>
        </w:rPr>
        <w:t>Executive interpretation:</w:t>
      </w:r>
    </w:p>
    <w:p/>
    <w:p>
      <w:r>
        <w:rPr>
          <w:rFonts w:ascii="Courier New" w:hAnsi="Courier New"/>
          <w:color w:val="1F2937"/>
          <w:sz w:val="17"/>
        </w:rPr>
        <w:t>The range qualifies how much of a claimed estimate is defensible under current</w:t>
        <w:br/>
      </w:r>
      <w:r>
        <w:rPr>
          <w:rFonts w:ascii="Courier New" w:hAnsi="Courier New"/>
          <w:color w:val="1F2937"/>
          <w:sz w:val="17"/>
        </w:rPr>
        <w:t>aggregate evidence. It does not prove realized ROI or productivity lift.</w:t>
      </w:r>
    </w:p>
    <w:p/>
    <w:p>
      <w:r>
        <w:rPr>
          <w:b/>
          <w:color w:val="082252"/>
        </w:rPr>
        <w:t>Current gating principle:</w:t>
      </w:r>
    </w:p>
    <w:p/>
    <w:p>
      <w:r>
        <w:t>An explicit no-attribution caveat is not an alternate path to range output. It</w:t>
      </w:r>
    </w:p>
    <w:p>
      <w:r>
        <w:t>can allow outcome context to travel as investigation context, but the range</w:t>
      </w:r>
    </w:p>
    <w:p>
      <w:r>
        <w:t>remains held until an approved aggregate behavior-to-outcome join exists.</w:t>
      </w:r>
    </w:p>
    <w:p/>
    <w:p>
      <w:pPr>
        <w:pStyle w:val="Heading1"/>
      </w:pPr>
      <w:r>
        <w:t>10. Trust Calibration And Trust Episode Boundary</w:t>
      </w:r>
    </w:p>
    <w:p/>
    <w:p>
      <w:r>
        <w:t>Trust Calibration asks whether aggregate AI-assisted work shows enough evidence</w:t>
      </w:r>
    </w:p>
    <w:p>
      <w:r>
        <w:t>to interpret trust behavior safely.</w:t>
      </w:r>
    </w:p>
    <w:p/>
    <w:p>
      <w:r>
        <w:rPr>
          <w:b/>
          <w:color w:val="082252"/>
        </w:rPr>
        <w:t>Trust Episode Boundary looks at aggregate work episodes and asks whether work:</w:t>
      </w:r>
    </w:p>
    <w:p/>
    <w:p>
      <w:pPr>
        <w:pStyle w:val="ListBullet"/>
      </w:pPr>
      <w:r>
        <w:t>resolved with corroboration,</w:t>
      </w:r>
    </w:p>
    <w:p>
      <w:pPr>
        <w:pStyle w:val="ListBullet"/>
      </w:pPr>
      <w:r>
        <w:t>resolved without explicit verification,</w:t>
      </w:r>
    </w:p>
    <w:p>
      <w:pPr>
        <w:pStyle w:val="ListBullet"/>
      </w:pPr>
      <w:r>
        <w:t>recovered after friction,</w:t>
      </w:r>
    </w:p>
    <w:p>
      <w:pPr>
        <w:pStyle w:val="ListBullet"/>
      </w:pPr>
      <w:r>
        <w:t>stalled after AI assistance,</w:t>
      </w:r>
    </w:p>
    <w:p>
      <w:pPr>
        <w:pStyle w:val="ListBullet"/>
      </w:pPr>
      <w:r>
        <w:t>showed explicit negative feedback,</w:t>
      </w:r>
    </w:p>
    <w:p>
      <w:pPr>
        <w:pStyle w:val="ListBullet"/>
      </w:pPr>
      <w:r>
        <w:t>remained an evidence gap.</w:t>
      </w:r>
    </w:p>
    <w:p/>
    <w:p>
      <w:r>
        <w:rPr>
          <w:b/>
          <w:color w:val="082252"/>
        </w:rPr>
        <w:t>Current pilot numbers:</w:t>
      </w:r>
    </w:p>
    <w:p/>
    <w:p>
      <w:r>
        <w:rPr>
          <w:rFonts w:ascii="Courier New" w:hAnsi="Courier New"/>
          <w:color w:val="1F2937"/>
          <w:sz w:val="17"/>
        </w:rPr>
        <w:t>Total aggregate AI work episodes: 88,028,657</w:t>
      </w:r>
    </w:p>
    <w:p/>
    <w:p>
      <w:r>
        <w:rPr>
          <w:b/>
          <w:color w:val="082252"/>
        </w:rPr>
        <w:t>Pattern summary: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Episodes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3312"/>
          </w:tcPr>
          <w:p>
            <w:r>
              <w:t>Work resolved with corroboration</w:t>
            </w:r>
          </w:p>
        </w:tc>
        <w:tc>
          <w:tcPr>
            <w:tcW w:type="dxa" w:w="3312"/>
          </w:tcPr>
          <w:p>
            <w:r>
              <w:t>3,567,326</w:t>
            </w:r>
          </w:p>
        </w:tc>
        <w:tc>
          <w:tcPr>
            <w:tcW w:type="dxa" w:w="3312"/>
          </w:tcPr>
          <w:p>
            <w:r>
              <w:t>4.1%</w:t>
            </w:r>
          </w:p>
        </w:tc>
      </w:tr>
      <w:tr>
        <w:tc>
          <w:tcPr>
            <w:tcW w:type="dxa" w:w="3312"/>
          </w:tcPr>
          <w:p>
            <w:r>
              <w:t>Work resolved without explicit verification</w:t>
            </w:r>
          </w:p>
        </w:tc>
        <w:tc>
          <w:tcPr>
            <w:tcW w:type="dxa" w:w="3312"/>
          </w:tcPr>
          <w:p>
            <w:r>
              <w:t>30,676,071</w:t>
            </w:r>
          </w:p>
        </w:tc>
        <w:tc>
          <w:tcPr>
            <w:tcW w:type="dxa" w:w="3312"/>
          </w:tcPr>
          <w:p>
            <w:r>
              <w:t>34.8%</w:t>
            </w:r>
          </w:p>
        </w:tc>
      </w:tr>
      <w:tr>
        <w:tc>
          <w:tcPr>
            <w:tcW w:type="dxa" w:w="3312"/>
          </w:tcPr>
          <w:p>
            <w:r>
              <w:t>Work recovered after friction</w:t>
            </w:r>
          </w:p>
        </w:tc>
        <w:tc>
          <w:tcPr>
            <w:tcW w:type="dxa" w:w="3312"/>
          </w:tcPr>
          <w:p>
            <w:r>
              <w:t>15,826,000</w:t>
            </w:r>
          </w:p>
        </w:tc>
        <w:tc>
          <w:tcPr>
            <w:tcW w:type="dxa" w:w="3312"/>
          </w:tcPr>
          <w:p>
            <w:r>
              <w:t>18.0%</w:t>
            </w:r>
          </w:p>
        </w:tc>
      </w:tr>
      <w:tr>
        <w:tc>
          <w:tcPr>
            <w:tcW w:type="dxa" w:w="3312"/>
          </w:tcPr>
          <w:p>
            <w:r>
              <w:t>Evidence gap remains</w:t>
            </w:r>
          </w:p>
        </w:tc>
        <w:tc>
          <w:tcPr>
            <w:tcW w:type="dxa" w:w="3312"/>
          </w:tcPr>
          <w:p>
            <w:r>
              <w:t>37,959,260</w:t>
            </w:r>
          </w:p>
        </w:tc>
        <w:tc>
          <w:tcPr>
            <w:tcW w:type="dxa" w:w="3312"/>
          </w:tcPr>
          <w:p>
            <w:r>
              <w:t>43.1%</w:t>
            </w:r>
          </w:p>
        </w:tc>
      </w:tr>
    </w:tbl>
    <w:p/>
    <w:p/>
    <w:p>
      <w:r>
        <w:rPr>
          <w:b/>
          <w:color w:val="082252"/>
        </w:rPr>
        <w:t>Evidence gap composition: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Gap component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Episodes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312"/>
          </w:tcPr>
          <w:p>
            <w:r>
              <w:t>True downstream-evidence gap</w:t>
            </w:r>
          </w:p>
        </w:tc>
        <w:tc>
          <w:tcPr>
            <w:tcW w:type="dxa" w:w="3312"/>
          </w:tcPr>
          <w:p>
            <w:r>
              <w:t>37,484,844</w:t>
            </w:r>
          </w:p>
        </w:tc>
        <w:tc>
          <w:tcPr>
            <w:tcW w:type="dxa" w:w="3312"/>
          </w:tcPr>
          <w:p>
            <w:r>
              <w:t>Episode exists, but downstream behavior is not enough to classify resolution, recovery, stall, or verification.</w:t>
            </w:r>
          </w:p>
        </w:tc>
      </w:tr>
      <w:tr>
        <w:tc>
          <w:tcPr>
            <w:tcW w:type="dxa" w:w="3312"/>
          </w:tcPr>
          <w:p>
            <w:r>
              <w:t>Ambiguous boundary fold-in</w:t>
            </w:r>
          </w:p>
        </w:tc>
        <w:tc>
          <w:tcPr>
            <w:tcW w:type="dxa" w:w="3312"/>
          </w:tcPr>
          <w:p>
            <w:r>
              <w:t>474,414</w:t>
            </w:r>
          </w:p>
        </w:tc>
        <w:tc>
          <w:tcPr>
            <w:tcW w:type="dxa" w:w="3312"/>
          </w:tcPr>
          <w:p>
            <w:r>
              <w:t>Trace, run, session, or action keys may overlap, so rows stay inside evidence-gap language.</w:t>
            </w:r>
          </w:p>
        </w:tc>
      </w:tr>
      <w:tr>
        <w:tc>
          <w:tcPr>
            <w:tcW w:type="dxa" w:w="3312"/>
          </w:tcPr>
          <w:p>
            <w:r>
              <w:t>Small-cell safety fold-in</w:t>
            </w:r>
          </w:p>
        </w:tc>
        <w:tc>
          <w:tcPr>
            <w:tcW w:type="dxa" w:w="3312"/>
          </w:tcPr>
          <w:p>
            <w:r>
              <w:t>withheld</w:t>
            </w:r>
          </w:p>
        </w:tc>
        <w:tc>
          <w:tcPr>
            <w:tcW w:type="dxa" w:w="3312"/>
          </w:tcPr>
          <w:p>
            <w:r>
              <w:t>Rare cells are acknowledged without publishing exact values.</w:t>
            </w:r>
          </w:p>
        </w:tc>
      </w:tr>
    </w:tbl>
    <w:p/>
    <w:p/>
    <w:p>
      <w:r>
        <w:rPr>
          <w:b/>
          <w:color w:val="082252"/>
        </w:rPr>
        <w:t>Evidence quality and reliability context: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t>Raw candidate keys</w:t>
            </w:r>
          </w:p>
        </w:tc>
        <w:tc>
          <w:tcPr>
            <w:tcW w:type="dxa" w:w="3312"/>
          </w:tcPr>
          <w:p>
            <w:r>
              <w:t>246,962,102</w:t>
            </w:r>
          </w:p>
        </w:tc>
        <w:tc>
          <w:tcPr>
            <w:tcW w:type="dxa" w:w="3312"/>
          </w:tcPr>
          <w:p>
            <w:r>
              <w:t>Pre-dedup candidate episode keys.</w:t>
            </w:r>
          </w:p>
        </w:tc>
      </w:tr>
      <w:tr>
        <w:tc>
          <w:tcPr>
            <w:tcW w:type="dxa" w:w="3312"/>
          </w:tcPr>
          <w:p>
            <w:r>
              <w:t>Aggregate AI work episodes</w:t>
            </w:r>
          </w:p>
        </w:tc>
        <w:tc>
          <w:tcPr>
            <w:tcW w:type="dxa" w:w="3312"/>
          </w:tcPr>
          <w:p>
            <w:r>
              <w:t>88,028,657</w:t>
            </w:r>
          </w:p>
        </w:tc>
        <w:tc>
          <w:tcPr>
            <w:tcW w:type="dxa" w:w="3312"/>
          </w:tcPr>
          <w:p>
            <w:r>
              <w:t>Product-episode normalized count.</w:t>
            </w:r>
          </w:p>
        </w:tc>
      </w:tr>
      <w:tr>
        <w:tc>
          <w:tcPr>
            <w:tcW w:type="dxa" w:w="3312"/>
          </w:tcPr>
          <w:p>
            <w:r>
              <w:t>Dedup ratio</w:t>
            </w:r>
          </w:p>
        </w:tc>
        <w:tc>
          <w:tcPr>
            <w:tcW w:type="dxa" w:w="3312"/>
          </w:tcPr>
          <w:p>
            <w:r>
              <w:t>2.8x</w:t>
            </w:r>
          </w:p>
        </w:tc>
        <w:tc>
          <w:tcPr>
            <w:tcW w:type="dxa" w:w="3312"/>
          </w:tcPr>
          <w:p>
            <w:r>
              <w:t>Prevents raw candidate-key overcount from entering the executive readout.</w:t>
            </w:r>
          </w:p>
        </w:tc>
      </w:tr>
      <w:tr>
        <w:tc>
          <w:tcPr>
            <w:tcW w:type="dxa" w:w="3312"/>
          </w:tcPr>
          <w:p>
            <w:r>
              <w:t>High-confidence coverage</w:t>
            </w:r>
          </w:p>
        </w:tc>
        <w:tc>
          <w:tcPr>
            <w:tcW w:type="dxa" w:w="3312"/>
          </w:tcPr>
          <w:p>
            <w:r>
              <w:t>99.95%</w:t>
            </w:r>
          </w:p>
        </w:tc>
        <w:tc>
          <w:tcPr>
            <w:tcW w:type="dxa" w:w="3312"/>
          </w:tcPr>
          <w:p>
            <w:r>
              <w:t>Episodes with trace, run, or action coverage.</w:t>
            </w:r>
          </w:p>
        </w:tc>
      </w:tr>
      <w:tr>
        <w:tc>
          <w:tcPr>
            <w:tcW w:type="dxa" w:w="3312"/>
          </w:tcPr>
          <w:p>
            <w:r>
              <w:t>Interpretation completeness</w:t>
            </w:r>
          </w:p>
        </w:tc>
        <w:tc>
          <w:tcPr>
            <w:tcW w:type="dxa" w:w="3312"/>
          </w:tcPr>
          <w:p>
            <w:r>
              <w:t>56.9%</w:t>
            </w:r>
          </w:p>
        </w:tc>
        <w:tc>
          <w:tcPr>
            <w:tcW w:type="dxa" w:w="3312"/>
          </w:tcPr>
          <w:p>
            <w:r>
              <w:t>Episodes with enough aggregate evidence to classify as resolved, resolved without explicit verification, or recovered after friction.</w:t>
            </w:r>
          </w:p>
        </w:tc>
      </w:tr>
      <w:tr>
        <w:tc>
          <w:tcPr>
            <w:tcW w:type="dxa" w:w="3312"/>
          </w:tcPr>
          <w:p>
            <w:r>
              <w:t>Boundary ambiguity</w:t>
            </w:r>
          </w:p>
        </w:tc>
        <w:tc>
          <w:tcPr>
            <w:tcW w:type="dxa" w:w="3312"/>
          </w:tcPr>
          <w:p>
            <w:r>
              <w:t>0.5%</w:t>
            </w:r>
          </w:p>
        </w:tc>
        <w:tc>
          <w:tcPr>
            <w:tcW w:type="dxa" w:w="3312"/>
          </w:tcPr>
          <w:p>
            <w:r>
              <w:t>Episodes folded into evidence-gap language instead of precise stalled values.</w:t>
            </w:r>
          </w:p>
        </w:tc>
      </w:tr>
    </w:tbl>
    <w:p/>
    <w:p/>
    <w:p>
      <w:r>
        <w:rPr>
          <w:b/>
          <w:color w:val="082252"/>
        </w:rPr>
        <w:t>Executive interpretation:</w:t>
      </w:r>
    </w:p>
    <w:p/>
    <w:p>
      <w:r>
        <w:t>The pilot shows that citation clicks alone would be a weak trust anchor.</w:t>
      </w:r>
    </w:p>
    <w:p>
      <w:r>
        <w:t>FluencyTracr gets closer to trust evidence by looking at continuation, recovery,</w:t>
      </w:r>
    </w:p>
    <w:p>
      <w:r>
        <w:t>resolution, feedback, boundary confidence, and evidence gaps.</w:t>
      </w:r>
    </w:p>
    <w:p/>
    <w:p>
      <w:r>
        <w:rPr>
          <w:b/>
          <w:color w:val="082252"/>
        </w:rPr>
        <w:t>What this does not prove:</w:t>
      </w:r>
    </w:p>
    <w:p/>
    <w:p>
      <w:pPr>
        <w:pStyle w:val="ListBullet"/>
      </w:pPr>
      <w:r>
        <w:t>output correctness,</w:t>
      </w:r>
    </w:p>
    <w:p>
      <w:pPr>
        <w:pStyle w:val="ListBullet"/>
      </w:pPr>
      <w:r>
        <w:t>healthy or unhealthy trust by itself,</w:t>
      </w:r>
    </w:p>
    <w:p>
      <w:pPr>
        <w:pStyle w:val="ListBullet"/>
      </w:pPr>
      <w:r>
        <w:t>ROI,</w:t>
      </w:r>
    </w:p>
    <w:p>
      <w:pPr>
        <w:pStyle w:val="ListBullet"/>
      </w:pPr>
      <w:r>
        <w:t>causality,</w:t>
      </w:r>
    </w:p>
    <w:p>
      <w:pPr>
        <w:pStyle w:val="ListBullet"/>
      </w:pPr>
      <w:r>
        <w:t>individual behavior,</w:t>
      </w:r>
    </w:p>
    <w:p>
      <w:pPr>
        <w:pStyle w:val="ListBullet"/>
      </w:pPr>
      <w:r>
        <w:t>team performance.</w:t>
      </w:r>
    </w:p>
    <w:p/>
    <w:p>
      <w:pPr>
        <w:pStyle w:val="Heading1"/>
      </w:pPr>
      <w:r>
        <w:t>11. Source Coverage Layer</w:t>
      </w:r>
    </w:p>
    <w:p/>
    <w:p>
      <w:r>
        <w:t>Source Coverage tells leaders whether the data is interpretable enough to trust</w:t>
      </w:r>
    </w:p>
    <w:p>
      <w:r>
        <w:t>the readout.</w:t>
      </w:r>
    </w:p>
    <w:p/>
    <w:p>
      <w:r>
        <w:rPr>
          <w:b/>
          <w:color w:val="082252"/>
        </w:rPr>
        <w:t>Important source coverage questions:</w:t>
      </w:r>
    </w:p>
    <w:p/>
    <w:p>
      <w:pPr>
        <w:pStyle w:val="ListBullet"/>
      </w:pPr>
      <w:r>
        <w:t>Do we have stable trace/run/action keys?</w:t>
      </w:r>
    </w:p>
    <w:p>
      <w:pPr>
        <w:pStyle w:val="ListBullet"/>
      </w:pPr>
      <w:r>
        <w:t>Can we distinguish candidate keys from product episodes?</w:t>
      </w:r>
    </w:p>
    <w:p>
      <w:pPr>
        <w:pStyle w:val="ListBullet"/>
      </w:pPr>
      <w:r>
        <w:t>Do session or trace boundaries overlap?</w:t>
      </w:r>
    </w:p>
    <w:p>
      <w:pPr>
        <w:pStyle w:val="ListBullet"/>
      </w:pPr>
      <w:r>
        <w:t>Can we observe continuation after AI use?</w:t>
      </w:r>
    </w:p>
    <w:p>
      <w:pPr>
        <w:pStyle w:val="ListBullet"/>
      </w:pPr>
      <w:r>
        <w:t>Can we observe completion or terminal state?</w:t>
      </w:r>
    </w:p>
    <w:p>
      <w:pPr>
        <w:pStyle w:val="ListBullet"/>
      </w:pPr>
      <w:r>
        <w:t>Can we observe failures, pauses, skips, and cancellations?</w:t>
      </w:r>
    </w:p>
    <w:p>
      <w:pPr>
        <w:pStyle w:val="ListBullet"/>
      </w:pPr>
      <w:r>
        <w:t>Can we observe feedback or verification behavior?</w:t>
      </w:r>
    </w:p>
    <w:p>
      <w:pPr>
        <w:pStyle w:val="ListBullet"/>
      </w:pPr>
      <w:r>
        <w:t>Can we tell when source/citation behavior was available versus used?</w:t>
      </w:r>
    </w:p>
    <w:p>
      <w:pPr>
        <w:pStyle w:val="ListBullet"/>
      </w:pPr>
      <w:r>
        <w:t>Can we join to customer-owned aggregate outcomes?</w:t>
      </w:r>
    </w:p>
    <w:p/>
    <w:p>
      <w:r>
        <w:rPr>
          <w:b/>
          <w:color w:val="082252"/>
        </w:rPr>
        <w:t>Coverage outputs should include:</w:t>
      </w:r>
    </w:p>
    <w:p/>
    <w:p>
      <w:pPr>
        <w:pStyle w:val="ListBullet"/>
      </w:pPr>
      <w:r>
        <w:t>high-confidence coverage share,</w:t>
      </w:r>
    </w:p>
    <w:p>
      <w:pPr>
        <w:pStyle w:val="ListBullet"/>
      </w:pPr>
      <w:r>
        <w:t>ambiguous-boundary share,</w:t>
      </w:r>
    </w:p>
    <w:p>
      <w:pPr>
        <w:pStyle w:val="ListBullet"/>
      </w:pPr>
      <w:r>
        <w:t>evidence-gap share,</w:t>
      </w:r>
    </w:p>
    <w:p>
      <w:pPr>
        <w:pStyle w:val="ListBullet"/>
      </w:pPr>
      <w:r>
        <w:t>source-family coverage,</w:t>
      </w:r>
    </w:p>
    <w:p>
      <w:pPr>
        <w:pStyle w:val="ListBullet"/>
      </w:pPr>
      <w:r>
        <w:t>known caveats,</w:t>
      </w:r>
    </w:p>
    <w:p>
      <w:pPr>
        <w:pStyle w:val="ListBullet"/>
      </w:pPr>
      <w:r>
        <w:t>withheld small-cell notes.</w:t>
      </w:r>
    </w:p>
    <w:p/>
    <w:p>
      <w:r>
        <w:rPr>
          <w:b/>
          <w:color w:val="082252"/>
        </w:rPr>
        <w:t>Safe interpretation:</w:t>
      </w:r>
    </w:p>
    <w:p/>
    <w:p>
      <w:r>
        <w:rPr>
          <w:rFonts w:ascii="Courier New" w:hAnsi="Courier New"/>
          <w:color w:val="1F2937"/>
          <w:sz w:val="17"/>
        </w:rPr>
        <w:t>Source coverage is measurement readiness. It is not value.</w:t>
      </w:r>
    </w:p>
    <w:p/>
    <w:p>
      <w:pPr>
        <w:pStyle w:val="Heading1"/>
      </w:pPr>
      <w:r>
        <w:t>12. Outcome Readiness Layer</w:t>
      </w:r>
    </w:p>
    <w:p/>
    <w:p>
      <w:r>
        <w:t>Outcome Readiness tells leaders whether aggregate behavioral evidence can be</w:t>
      </w:r>
    </w:p>
    <w:p>
      <w:r>
        <w:t>connected to business-owned outcome context.</w:t>
      </w:r>
    </w:p>
    <w:p/>
    <w:p>
      <w:r>
        <w:rPr>
          <w:b/>
          <w:color w:val="082252"/>
        </w:rPr>
        <w:t>Examples:</w:t>
      </w:r>
    </w:p>
    <w:p/>
    <w:p>
      <w:pPr>
        <w:pStyle w:val="ListBullet"/>
      </w:pPr>
      <w:r>
        <w:t>support ticket response metrics,</w:t>
      </w:r>
    </w:p>
    <w:p>
      <w:pPr>
        <w:pStyle w:val="ListBullet"/>
      </w:pPr>
      <w:r>
        <w:t>support ticket age,</w:t>
      </w:r>
    </w:p>
    <w:p>
      <w:pPr>
        <w:pStyle w:val="ListBullet"/>
      </w:pPr>
      <w:r>
        <w:t>onboarding project dates,</w:t>
      </w:r>
    </w:p>
    <w:p>
      <w:pPr>
        <w:pStyle w:val="ListBullet"/>
      </w:pPr>
      <w:r>
        <w:t>implementation milestone duration,</w:t>
      </w:r>
    </w:p>
    <w:p>
      <w:pPr>
        <w:pStyle w:val="ListBullet"/>
      </w:pPr>
      <w:r>
        <w:t>quality review outcomes,</w:t>
      </w:r>
    </w:p>
    <w:p>
      <w:pPr>
        <w:pStyle w:val="ListBullet"/>
      </w:pPr>
      <w:r>
        <w:t>approved customer/account metrics.</w:t>
      </w:r>
    </w:p>
    <w:p/>
    <w:p>
      <w:r>
        <w:rPr>
          <w:b/>
          <w:color w:val="082252"/>
        </w:rPr>
        <w:t>Current support outcome context example: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Support tickets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p50 days elapsed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p90 days elapsed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p50 business minutes to first response</w:t>
            </w:r>
          </w:p>
        </w:tc>
      </w:tr>
      <w:tr>
        <w:tc>
          <w:tcPr>
            <w:tcW w:type="dxa" w:w="1987"/>
          </w:tcPr>
          <w:p>
            <w:r>
              <w:t>window_1</w:t>
            </w:r>
          </w:p>
        </w:tc>
        <w:tc>
          <w:tcPr>
            <w:tcW w:type="dxa" w:w="1987"/>
          </w:tcPr>
          <w:p>
            <w:r>
              <w:t>4,469</w:t>
            </w:r>
          </w:p>
        </w:tc>
        <w:tc>
          <w:tcPr>
            <w:tcW w:type="dxa" w:w="1987"/>
          </w:tcPr>
          <w:p>
            <w:r>
              <w:t>13</w:t>
            </w:r>
          </w:p>
        </w:tc>
        <w:tc>
          <w:tcPr>
            <w:tcW w:type="dxa" w:w="1987"/>
          </w:tcPr>
          <w:p>
            <w:r>
              <w:t>26</w:t>
            </w:r>
          </w:p>
        </w:tc>
        <w:tc>
          <w:tcPr>
            <w:tcW w:type="dxa" w:w="1987"/>
          </w:tcPr>
          <w:p>
            <w:r>
              <w:t>183</w:t>
            </w:r>
          </w:p>
        </w:tc>
      </w:tr>
      <w:tr>
        <w:tc>
          <w:tcPr>
            <w:tcW w:type="dxa" w:w="1987"/>
          </w:tcPr>
          <w:p>
            <w:r>
              <w:t>window_2</w:t>
            </w:r>
          </w:p>
        </w:tc>
        <w:tc>
          <w:tcPr>
            <w:tcW w:type="dxa" w:w="1987"/>
          </w:tcPr>
          <w:p>
            <w:r>
              <w:t>4,549</w:t>
            </w:r>
          </w:p>
        </w:tc>
        <w:tc>
          <w:tcPr>
            <w:tcW w:type="dxa" w:w="1987"/>
          </w:tcPr>
          <w:p>
            <w:r>
              <w:t>15</w:t>
            </w:r>
          </w:p>
        </w:tc>
        <w:tc>
          <w:tcPr>
            <w:tcW w:type="dxa" w:w="1987"/>
          </w:tcPr>
          <w:p>
            <w:r>
              <w:t>35</w:t>
            </w:r>
          </w:p>
        </w:tc>
        <w:tc>
          <w:tcPr>
            <w:tcW w:type="dxa" w:w="1987"/>
          </w:tcPr>
          <w:p>
            <w:r>
              <w:t>212</w:t>
            </w:r>
          </w:p>
        </w:tc>
      </w:tr>
      <w:tr>
        <w:tc>
          <w:tcPr>
            <w:tcW w:type="dxa" w:w="1987"/>
          </w:tcPr>
          <w:p>
            <w:r>
              <w:t>window_3</w:t>
            </w:r>
          </w:p>
        </w:tc>
        <w:tc>
          <w:tcPr>
            <w:tcW w:type="dxa" w:w="1987"/>
          </w:tcPr>
          <w:p>
            <w:r>
              <w:t>4,163</w:t>
            </w:r>
          </w:p>
        </w:tc>
        <w:tc>
          <w:tcPr>
            <w:tcW w:type="dxa" w:w="1987"/>
          </w:tcPr>
          <w:p>
            <w:r>
              <w:t>15</w:t>
            </w:r>
          </w:p>
        </w:tc>
        <w:tc>
          <w:tcPr>
            <w:tcW w:type="dxa" w:w="1987"/>
          </w:tcPr>
          <w:p>
            <w:r>
              <w:t>43</w:t>
            </w:r>
          </w:p>
        </w:tc>
        <w:tc>
          <w:tcPr>
            <w:tcW w:type="dxa" w:w="1987"/>
          </w:tcPr>
          <w:p>
            <w:r>
              <w:t>218</w:t>
            </w:r>
          </w:p>
        </w:tc>
      </w:tr>
    </w:tbl>
    <w:p/>
    <w:p/>
    <w:p>
      <w:r>
        <w:rPr>
          <w:b/>
          <w:color w:val="082252"/>
        </w:rPr>
        <w:t>Safe interpretation:</w:t>
      </w:r>
    </w:p>
    <w:p/>
    <w:p>
      <w:r>
        <w:rPr>
          <w:rFonts w:ascii="Courier New" w:hAnsi="Courier New"/>
          <w:color w:val="1F2937"/>
          <w:sz w:val="17"/>
        </w:rPr>
        <w:t>Outcome context can support value investigation, but stronger interpretation is</w:t>
        <w:br/>
      </w:r>
      <w:r>
        <w:rPr>
          <w:rFonts w:ascii="Courier New" w:hAnsi="Courier New"/>
          <w:color w:val="1F2937"/>
          <w:sz w:val="17"/>
        </w:rPr>
        <w:t>held until an approved aggregate behavior-to-outcome join key exists.</w:t>
      </w:r>
    </w:p>
    <w:p/>
    <w:p>
      <w:pPr>
        <w:pStyle w:val="Heading1"/>
      </w:pPr>
      <w:r>
        <w:t>13. Value Hypotheses</w:t>
      </w:r>
    </w:p>
    <w:p/>
    <w:p>
      <w:r>
        <w:t>Value hypotheses route evidence into a safe business question.</w:t>
      </w:r>
    </w:p>
    <w:p/>
    <w:p>
      <w:r>
        <w:rPr>
          <w:b/>
          <w:color w:val="082252"/>
        </w:rPr>
        <w:t>Current AIVM value types:</w:t>
      </w:r>
    </w:p>
    <w:p/>
    <w:p>
      <w:pPr>
        <w:pStyle w:val="ListBullet"/>
      </w:pPr>
      <w:r>
        <w:t>ACCELERATION</w:t>
      </w:r>
    </w:p>
    <w:p>
      <w:pPr>
        <w:pStyle w:val="ListBullet"/>
      </w:pPr>
      <w:r>
        <w:t>QUALITY_PREMIUM</w:t>
      </w:r>
    </w:p>
    <w:p>
      <w:pPr>
        <w:pStyle w:val="ListBullet"/>
      </w:pPr>
      <w:r>
        <w:t>NET_NEW</w:t>
      </w:r>
    </w:p>
    <w:p>
      <w:pPr>
        <w:pStyle w:val="ListBullet"/>
      </w:pPr>
      <w:r>
        <w:t>UNCLASSIFIED</w:t>
      </w:r>
    </w:p>
    <w:p/>
    <w:p>
      <w:pPr>
        <w:pStyle w:val="Heading2"/>
      </w:pPr>
      <w:r>
        <w:t>Acceleration</w:t>
      </w:r>
    </w:p>
    <w:p/>
    <w:p>
      <w:r>
        <w:rPr>
          <w:b/>
          <w:color w:val="082252"/>
        </w:rPr>
        <w:t>Question:</w:t>
      </w:r>
    </w:p>
    <w:p/>
    <w:p>
      <w:r>
        <w:rPr>
          <w:rFonts w:ascii="Courier New" w:hAnsi="Courier New"/>
          <w:color w:val="1F2937"/>
          <w:sz w:val="17"/>
        </w:rPr>
        <w:t>Is AI helping work move faster?</w:t>
      </w:r>
    </w:p>
    <w:p/>
    <w:p>
      <w:r>
        <w:rPr>
          <w:b/>
          <w:color w:val="082252"/>
        </w:rPr>
        <w:t>Evidence that can support investigation:</w:t>
      </w:r>
    </w:p>
    <w:p/>
    <w:p>
      <w:pPr>
        <w:pStyle w:val="ListBullet"/>
      </w:pPr>
      <w:r>
        <w:t>lower latency where corroborated,</w:t>
      </w:r>
    </w:p>
    <w:p>
      <w:pPr>
        <w:pStyle w:val="ListBullet"/>
      </w:pPr>
      <w:r>
        <w:t>low abandonment,</w:t>
      </w:r>
    </w:p>
    <w:p>
      <w:pPr>
        <w:pStyle w:val="ListBullet"/>
      </w:pPr>
      <w:r>
        <w:t>recovery after friction,</w:t>
      </w:r>
    </w:p>
    <w:p>
      <w:pPr>
        <w:pStyle w:val="ListBullet"/>
      </w:pPr>
      <w:r>
        <w:t>repeated usage in a workflow,</w:t>
      </w:r>
    </w:p>
    <w:p>
      <w:pPr>
        <w:pStyle w:val="ListBullet"/>
      </w:pPr>
      <w:r>
        <w:t>customer-owned outcome context.</w:t>
      </w:r>
    </w:p>
    <w:p/>
    <w:p>
      <w:r>
        <w:rPr>
          <w:b/>
          <w:color w:val="082252"/>
        </w:rPr>
        <w:t>Blocked claim:</w:t>
      </w:r>
    </w:p>
    <w:p/>
    <w:p>
      <w:r>
        <w:rPr>
          <w:rFonts w:ascii="Courier New" w:hAnsi="Courier New"/>
          <w:color w:val="1F2937"/>
          <w:sz w:val="17"/>
        </w:rPr>
        <w:t>AI saved X dollars.</w:t>
      </w:r>
    </w:p>
    <w:p/>
    <w:p>
      <w:pPr>
        <w:pStyle w:val="Heading2"/>
      </w:pPr>
      <w:r>
        <w:t>Quality Premium</w:t>
      </w:r>
    </w:p>
    <w:p/>
    <w:p>
      <w:r>
        <w:rPr>
          <w:b/>
          <w:color w:val="082252"/>
        </w:rPr>
        <w:t>Question:</w:t>
      </w:r>
    </w:p>
    <w:p/>
    <w:p>
      <w:r>
        <w:rPr>
          <w:rFonts w:ascii="Courier New" w:hAnsi="Courier New"/>
          <w:color w:val="1F2937"/>
          <w:sz w:val="17"/>
        </w:rPr>
        <w:t>Is AI improving work quality, reviewability, or decision support?</w:t>
      </w:r>
    </w:p>
    <w:p/>
    <w:p>
      <w:r>
        <w:rPr>
          <w:b/>
          <w:color w:val="082252"/>
        </w:rPr>
        <w:t>Evidence that can support investigation:</w:t>
      </w:r>
    </w:p>
    <w:p/>
    <w:p>
      <w:pPr>
        <w:pStyle w:val="ListBullet"/>
      </w:pPr>
      <w:r>
        <w:t>verification presence,</w:t>
      </w:r>
    </w:p>
    <w:p>
      <w:pPr>
        <w:pStyle w:val="ListBullet"/>
      </w:pPr>
      <w:r>
        <w:t>edited rather than blindly accepted output,</w:t>
      </w:r>
    </w:p>
    <w:p>
      <w:pPr>
        <w:pStyle w:val="ListBullet"/>
      </w:pPr>
      <w:r>
        <w:t>recovery after failed attempts,</w:t>
      </w:r>
    </w:p>
    <w:p>
      <w:pPr>
        <w:pStyle w:val="ListBullet"/>
      </w:pPr>
      <w:r>
        <w:t>lower rework loops,</w:t>
      </w:r>
    </w:p>
    <w:p>
      <w:pPr>
        <w:pStyle w:val="ListBullet"/>
      </w:pPr>
      <w:r>
        <w:t>customer-owned quality outcomes.</w:t>
      </w:r>
    </w:p>
    <w:p/>
    <w:p>
      <w:r>
        <w:rPr>
          <w:b/>
          <w:color w:val="082252"/>
        </w:rPr>
        <w:t>Blocked claim:</w:t>
      </w:r>
    </w:p>
    <w:p/>
    <w:p>
      <w:r>
        <w:rPr>
          <w:rFonts w:ascii="Courier New" w:hAnsi="Courier New"/>
          <w:color w:val="1F2937"/>
          <w:sz w:val="17"/>
        </w:rPr>
        <w:t>AI improved quality by X%.</w:t>
      </w:r>
    </w:p>
    <w:p/>
    <w:p>
      <w:pPr>
        <w:pStyle w:val="Heading2"/>
      </w:pPr>
      <w:r>
        <w:t>Net New</w:t>
      </w:r>
    </w:p>
    <w:p/>
    <w:p>
      <w:r>
        <w:rPr>
          <w:b/>
          <w:color w:val="082252"/>
        </w:rPr>
        <w:t>Question:</w:t>
      </w:r>
    </w:p>
    <w:p/>
    <w:p>
      <w:r>
        <w:rPr>
          <w:rFonts w:ascii="Courier New" w:hAnsi="Courier New"/>
          <w:color w:val="1F2937"/>
          <w:sz w:val="17"/>
        </w:rPr>
        <w:t>Is AI enabling work that was not previously feasible or routinely performed?</w:t>
      </w:r>
    </w:p>
    <w:p/>
    <w:p>
      <w:r>
        <w:rPr>
          <w:b/>
          <w:color w:val="082252"/>
        </w:rPr>
        <w:t>Evidence that can support investigation:</w:t>
      </w:r>
    </w:p>
    <w:p/>
    <w:p>
      <w:pPr>
        <w:pStyle w:val="ListBullet"/>
      </w:pPr>
      <w:r>
        <w:t>new workflow surface adoption,</w:t>
      </w:r>
    </w:p>
    <w:p>
      <w:pPr>
        <w:pStyle w:val="ListBullet"/>
      </w:pPr>
      <w:r>
        <w:t>delegation depth,</w:t>
      </w:r>
    </w:p>
    <w:p>
      <w:pPr>
        <w:pStyle w:val="ListBullet"/>
      </w:pPr>
      <w:r>
        <w:t>reusable workflow patterns,</w:t>
      </w:r>
    </w:p>
    <w:p>
      <w:pPr>
        <w:pStyle w:val="ListBullet"/>
      </w:pPr>
      <w:r>
        <w:t>customer-declared intervention,</w:t>
      </w:r>
    </w:p>
    <w:p>
      <w:pPr>
        <w:pStyle w:val="ListBullet"/>
      </w:pPr>
      <w:r>
        <w:t>customer-owned outcome context.</w:t>
      </w:r>
    </w:p>
    <w:p/>
    <w:p>
      <w:r>
        <w:rPr>
          <w:b/>
          <w:color w:val="082252"/>
        </w:rPr>
        <w:t>Blocked claim:</w:t>
      </w:r>
    </w:p>
    <w:p/>
    <w:p>
      <w:r>
        <w:rPr>
          <w:rFonts w:ascii="Courier New" w:hAnsi="Courier New"/>
          <w:color w:val="1F2937"/>
          <w:sz w:val="17"/>
        </w:rPr>
        <w:t>AI created net-new business value without customer-owned evidence.</w:t>
      </w:r>
    </w:p>
    <w:p/>
    <w:p>
      <w:pPr>
        <w:pStyle w:val="Heading2"/>
      </w:pPr>
      <w:r>
        <w:t>Unclassified</w:t>
      </w:r>
    </w:p>
    <w:p/>
    <w:p>
      <w:r>
        <w:rPr>
          <w:b/>
          <w:color w:val="082252"/>
        </w:rPr>
        <w:t>Question:</w:t>
      </w:r>
    </w:p>
    <w:p/>
    <w:p>
      <w:r>
        <w:rPr>
          <w:rFonts w:ascii="Courier New" w:hAnsi="Courier New"/>
          <w:color w:val="1F2937"/>
          <w:sz w:val="17"/>
        </w:rPr>
        <w:t>Do we have enough evidence to classify the value path?</w:t>
      </w:r>
    </w:p>
    <w:p/>
    <w:p>
      <w:r>
        <w:t>If not, evidence should stay unclassified or held.</w:t>
      </w:r>
    </w:p>
    <w:p/>
    <w:p>
      <w:pPr>
        <w:pStyle w:val="Heading1"/>
      </w:pPr>
      <w:r>
        <w:t>14. Executive Outputs</w:t>
      </w:r>
    </w:p>
    <w:p/>
    <w:p>
      <w:r>
        <w:t>The visual's bottom band shows what FluencyTracr can safely produce for leaders.</w:t>
      </w:r>
    </w:p>
    <w:p/>
    <w:p>
      <w:pPr>
        <w:pStyle w:val="Heading2"/>
      </w:pPr>
      <w:r>
        <w:t>Scale Readiness</w:t>
      </w:r>
    </w:p>
    <w:p/>
    <w:p>
      <w:r>
        <w:rPr>
          <w:b/>
          <w:color w:val="082252"/>
        </w:rPr>
        <w:t>Meaning:</w:t>
      </w:r>
    </w:p>
    <w:p/>
    <w:p>
      <w:r>
        <w:rPr>
          <w:rFonts w:ascii="Courier New" w:hAnsi="Courier New"/>
          <w:color w:val="1F2937"/>
          <w:sz w:val="17"/>
        </w:rPr>
        <w:t>Aggregate evidence suggests a workflow or segment may be ready for customer-</w:t>
        <w:br/>
      </w:r>
      <w:r>
        <w:rPr>
          <w:rFonts w:ascii="Courier New" w:hAnsi="Courier New"/>
          <w:color w:val="1F2937"/>
          <w:sz w:val="17"/>
        </w:rPr>
        <w:t>owned scale-and-measure review.</w:t>
      </w:r>
    </w:p>
    <w:p/>
    <w:p>
      <w:r>
        <w:rPr>
          <w:b/>
          <w:color w:val="082252"/>
        </w:rPr>
        <w:t>Required evidence:</w:t>
      </w:r>
    </w:p>
    <w:p/>
    <w:p>
      <w:pPr>
        <w:pStyle w:val="ListBullet"/>
      </w:pPr>
      <w:r>
        <w:t>surfaced aggregate evidence,</w:t>
      </w:r>
    </w:p>
    <w:p>
      <w:pPr>
        <w:pStyle w:val="ListBullet"/>
      </w:pPr>
      <w:r>
        <w:t>adequate suppression bucket proof,</w:t>
      </w:r>
    </w:p>
    <w:p>
      <w:pPr>
        <w:pStyle w:val="ListBullet"/>
      </w:pPr>
      <w:r>
        <w:t>Velocity and Depth context,</w:t>
      </w:r>
    </w:p>
    <w:p>
      <w:pPr>
        <w:pStyle w:val="ListBullet"/>
      </w:pPr>
      <w:r>
        <w:t>Reliability/Quality context where aligned,</w:t>
      </w:r>
    </w:p>
    <w:p>
      <w:pPr>
        <w:pStyle w:val="ListBullet"/>
      </w:pPr>
      <w:r>
        <w:t>source coverage caveats,</w:t>
      </w:r>
    </w:p>
    <w:p>
      <w:pPr>
        <w:pStyle w:val="ListBullet"/>
      </w:pPr>
      <w:r>
        <w:t>no blocked claims violated.</w:t>
      </w:r>
    </w:p>
    <w:p/>
    <w:p>
      <w:pPr>
        <w:pStyle w:val="Heading2"/>
      </w:pPr>
      <w:r>
        <w:t>Trust Evidence Gaps</w:t>
      </w:r>
    </w:p>
    <w:p/>
    <w:p>
      <w:r>
        <w:rPr>
          <w:b/>
          <w:color w:val="082252"/>
        </w:rPr>
        <w:t>Meaning:</w:t>
      </w:r>
    </w:p>
    <w:p/>
    <w:p>
      <w:r>
        <w:rPr>
          <w:rFonts w:ascii="Courier New" w:hAnsi="Courier New"/>
          <w:color w:val="1F2937"/>
          <w:sz w:val="17"/>
        </w:rPr>
        <w:t>The workflow has AI activity, but trust interpretation is held because source</w:t>
        <w:br/>
      </w:r>
      <w:r>
        <w:rPr>
          <w:rFonts w:ascii="Courier New" w:hAnsi="Courier New"/>
          <w:color w:val="1F2937"/>
          <w:sz w:val="17"/>
        </w:rPr>
        <w:t>coverage, verification, continuation, or boundary evidence is incomplete.</w:t>
      </w:r>
    </w:p>
    <w:p/>
    <w:p>
      <w:r>
        <w:rPr>
          <w:b/>
          <w:color w:val="082252"/>
        </w:rPr>
        <w:t>Safe next action:</w:t>
      </w:r>
    </w:p>
    <w:p/>
    <w:p>
      <w:r>
        <w:rPr>
          <w:rFonts w:ascii="Courier New" w:hAnsi="Courier New"/>
          <w:color w:val="1F2937"/>
          <w:sz w:val="17"/>
        </w:rPr>
        <w:t>Repair verification and feedback loops or improve source coverage.</w:t>
      </w:r>
    </w:p>
    <w:p/>
    <w:p>
      <w:pPr>
        <w:pStyle w:val="Heading2"/>
      </w:pPr>
      <w:r>
        <w:t>Workflow Redesign Needs</w:t>
      </w:r>
    </w:p>
    <w:p/>
    <w:p>
      <w:r>
        <w:rPr>
          <w:b/>
          <w:color w:val="082252"/>
        </w:rPr>
        <w:t>Meaning:</w:t>
      </w:r>
    </w:p>
    <w:p/>
    <w:p>
      <w:r>
        <w:rPr>
          <w:rFonts w:ascii="Courier New" w:hAnsi="Courier New"/>
          <w:color w:val="1F2937"/>
          <w:sz w:val="17"/>
        </w:rPr>
        <w:t>Behavior suggests friction, heavy iteration, abandonment, shallow adoption, or</w:t>
        <w:br/>
      </w:r>
      <w:r>
        <w:rPr>
          <w:rFonts w:ascii="Courier New" w:hAnsi="Courier New"/>
          <w:color w:val="1F2937"/>
          <w:sz w:val="17"/>
        </w:rPr>
        <w:t>misfit between AI surface and workflow.</w:t>
      </w:r>
    </w:p>
    <w:p/>
    <w:p>
      <w:r>
        <w:rPr>
          <w:b/>
          <w:color w:val="082252"/>
        </w:rPr>
        <w:t>Safe next action:</w:t>
      </w:r>
    </w:p>
    <w:p/>
    <w:p>
      <w:r>
        <w:rPr>
          <w:rFonts w:ascii="Courier New" w:hAnsi="Courier New"/>
          <w:color w:val="1F2937"/>
          <w:sz w:val="17"/>
        </w:rPr>
        <w:t>Redesign the workflow before scaling.</w:t>
      </w:r>
    </w:p>
    <w:p/>
    <w:p>
      <w:pPr>
        <w:pStyle w:val="Heading2"/>
      </w:pPr>
      <w:r>
        <w:t>Source Coverage Gaps</w:t>
      </w:r>
    </w:p>
    <w:p/>
    <w:p>
      <w:r>
        <w:rPr>
          <w:b/>
          <w:color w:val="082252"/>
        </w:rPr>
        <w:t>Meaning:</w:t>
      </w:r>
    </w:p>
    <w:p/>
    <w:p>
      <w:r>
        <w:rPr>
          <w:rFonts w:ascii="Courier New" w:hAnsi="Courier New"/>
          <w:color w:val="1F2937"/>
          <w:sz w:val="17"/>
        </w:rPr>
        <w:t>The data cannot yet support interpretation.</w:t>
      </w:r>
    </w:p>
    <w:p/>
    <w:p>
      <w:r>
        <w:rPr>
          <w:b/>
          <w:color w:val="082252"/>
        </w:rPr>
        <w:t>Safe next action:</w:t>
      </w:r>
    </w:p>
    <w:p/>
    <w:p>
      <w:r>
        <w:rPr>
          <w:rFonts w:ascii="Courier New" w:hAnsi="Courier New"/>
          <w:color w:val="1F2937"/>
          <w:sz w:val="17"/>
        </w:rPr>
        <w:t>Fix trace/run/action/continuation/outcome coverage before making claims.</w:t>
      </w:r>
    </w:p>
    <w:p/>
    <w:p>
      <w:pPr>
        <w:pStyle w:val="Heading2"/>
      </w:pPr>
      <w:r>
        <w:t>Value Investigation Path</w:t>
      </w:r>
    </w:p>
    <w:p/>
    <w:p>
      <w:r>
        <w:rPr>
          <w:b/>
          <w:color w:val="082252"/>
        </w:rPr>
        <w:t>Meaning:</w:t>
      </w:r>
    </w:p>
    <w:p/>
    <w:p>
      <w:r>
        <w:rPr>
          <w:rFonts w:ascii="Courier New" w:hAnsi="Courier New"/>
          <w:color w:val="1F2937"/>
          <w:sz w:val="17"/>
        </w:rPr>
        <w:t>Evidence is strong enough to ask a business value question, but not to claim ROI</w:t>
        <w:br/>
      </w:r>
      <w:r>
        <w:rPr>
          <w:rFonts w:ascii="Courier New" w:hAnsi="Courier New"/>
          <w:color w:val="1F2937"/>
          <w:sz w:val="17"/>
        </w:rPr>
        <w:t>or causality.</w:t>
      </w:r>
    </w:p>
    <w:p/>
    <w:p>
      <w:r>
        <w:rPr>
          <w:b/>
          <w:color w:val="082252"/>
        </w:rPr>
        <w:t>Safe next action:</w:t>
      </w:r>
    </w:p>
    <w:p/>
    <w:p>
      <w:r>
        <w:rPr>
          <w:rFonts w:ascii="Courier New" w:hAnsi="Courier New"/>
          <w:color w:val="1F2937"/>
          <w:sz w:val="17"/>
        </w:rPr>
        <w:t>Attach customer-owned assumptions and approved aggregate outcome evidence.</w:t>
      </w:r>
    </w:p>
    <w:p/>
    <w:p>
      <w:pPr>
        <w:pStyle w:val="Heading1"/>
      </w:pPr>
      <w:r>
        <w:t>15. Worked Example</w:t>
      </w:r>
    </w:p>
    <w:p/>
    <w:p>
      <w:r>
        <w:rPr>
          <w:b/>
          <w:color w:val="082252"/>
        </w:rPr>
        <w:t>Assume a customer-approved support workflow has:</w:t>
      </w:r>
    </w:p>
    <w:p/>
    <w:p>
      <w:r>
        <w:rPr>
          <w:rFonts w:ascii="Courier New" w:hAnsi="Courier New"/>
          <w:color w:val="1F2937"/>
          <w:sz w:val="17"/>
        </w:rPr>
        <w:t>cohort_size = 120</w:t>
        <w:br/>
      </w:r>
      <w:r>
        <w:rPr>
          <w:rFonts w:ascii="Courier New" w:hAnsi="Courier New"/>
          <w:color w:val="1F2937"/>
          <w:sz w:val="17"/>
        </w:rPr>
        <w:t>window_days = 90</w:t>
        <w:br/>
      </w:r>
      <w:r>
        <w:rPr>
          <w:rFonts w:ascii="Courier New" w:hAnsi="Courier New"/>
          <w:color w:val="1F2937"/>
          <w:sz w:val="17"/>
        </w:rPr>
        <w:t>verification_presence_rate = 0.70</w:t>
        <w:br/>
      </w:r>
      <w:r>
        <w:rPr>
          <w:rFonts w:ascii="Courier New" w:hAnsi="Courier New"/>
          <w:color w:val="1F2937"/>
          <w:sz w:val="17"/>
        </w:rPr>
        <w:t>recovery_success_rate = 0.60</w:t>
        <w:br/>
      </w:r>
      <w:r>
        <w:rPr>
          <w:rFonts w:ascii="Courier New" w:hAnsi="Courier New"/>
          <w:color w:val="1F2937"/>
          <w:sz w:val="17"/>
        </w:rPr>
        <w:t>abandonment_rate = 0.10</w:t>
        <w:br/>
      </w:r>
      <w:r>
        <w:rPr>
          <w:rFonts w:ascii="Courier New" w:hAnsi="Courier New"/>
          <w:color w:val="1F2937"/>
          <w:sz w:val="17"/>
        </w:rPr>
        <w:t>friction_loop_rate = 0.20</w:t>
        <w:br/>
      </w:r>
      <w:r>
        <w:rPr>
          <w:rFonts w:ascii="Courier New" w:hAnsi="Courier New"/>
          <w:color w:val="1F2937"/>
          <w:sz w:val="17"/>
        </w:rPr>
        <w:t>frequency_index = 1.08</w:t>
        <w:br/>
      </w:r>
      <w:r>
        <w:rPr>
          <w:rFonts w:ascii="Courier New" w:hAnsi="Courier New"/>
          <w:color w:val="1F2937"/>
          <w:sz w:val="17"/>
        </w:rPr>
        <w:t>engagement_index = 1.00</w:t>
        <w:br/>
      </w:r>
      <w:r>
        <w:rPr>
          <w:rFonts w:ascii="Courier New" w:hAnsi="Courier New"/>
          <w:color w:val="1F2937"/>
          <w:sz w:val="17"/>
        </w:rPr>
        <w:t>breadth_index = 0.93</w:t>
        <w:br/>
      </w:r>
      <w:r>
        <w:rPr>
          <w:rFonts w:ascii="Courier New" w:hAnsi="Courier New"/>
          <w:color w:val="1F2937"/>
          <w:sz w:val="17"/>
        </w:rPr>
        <w:t>raw_time_saved_claim_hours = 300</w:t>
      </w:r>
    </w:p>
    <w:p/>
    <w:p>
      <w:pPr>
        <w:pStyle w:val="Heading2"/>
      </w:pPr>
      <w:r>
        <w:t>Velocity</w:t>
      </w:r>
    </w:p>
    <w:p/>
    <w:p>
      <w:r>
        <w:rPr>
          <w:rFonts w:ascii="Courier New" w:hAnsi="Courier New"/>
          <w:color w:val="1F2937"/>
          <w:sz w:val="17"/>
        </w:rPr>
        <w:t>velocity_index = (1.08 + 1.00 + 0.93) / 3</w:t>
        <w:br/>
      </w:r>
      <w:r>
        <w:rPr>
          <w:rFonts w:ascii="Courier New" w:hAnsi="Courier New"/>
          <w:color w:val="1F2937"/>
          <w:sz w:val="17"/>
        </w:rPr>
        <w:t>velocity_index = 1.003</w:t>
      </w:r>
    </w:p>
    <w:p/>
    <w:p>
      <w:r>
        <w:rPr>
          <w:b/>
          <w:color w:val="082252"/>
        </w:rPr>
        <w:t>Interpretation:</w:t>
      </w:r>
    </w:p>
    <w:p/>
    <w:p>
      <w:r>
        <w:rPr>
          <w:rFonts w:ascii="Courier New" w:hAnsi="Courier New"/>
          <w:color w:val="1F2937"/>
          <w:sz w:val="17"/>
        </w:rPr>
        <w:t>Adoption energy is near calibration reference, but subdimensions should remain</w:t>
        <w:br/>
      </w:r>
      <w:r>
        <w:rPr>
          <w:rFonts w:ascii="Courier New" w:hAnsi="Courier New"/>
          <w:color w:val="1F2937"/>
          <w:sz w:val="17"/>
        </w:rPr>
        <w:t>visible because frequency, engagement, and breadth mean different things.</w:t>
      </w:r>
    </w:p>
    <w:p/>
    <w:p>
      <w:pPr>
        <w:pStyle w:val="Heading2"/>
      </w:pPr>
      <w:r>
        <w:t>Reliability</w:t>
      </w:r>
    </w:p>
    <w:p/>
    <w:p>
      <w:r>
        <w:rPr>
          <w:rFonts w:ascii="Courier New" w:hAnsi="Courier New"/>
          <w:color w:val="1F2937"/>
          <w:sz w:val="17"/>
        </w:rPr>
        <w:t>reliability_factor =</w:t>
        <w:br/>
      </w:r>
      <w:r>
        <w:rPr>
          <w:rFonts w:ascii="Courier New" w:hAnsi="Courier New"/>
          <w:color w:val="1F2937"/>
          <w:sz w:val="17"/>
        </w:rPr>
        <w:t xml:space="preserve">  0.5 + 0.175 + 0.150 - 0.025 - 0.050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reliability_factor = 0.750</w:t>
      </w:r>
    </w:p>
    <w:p/>
    <w:p>
      <w:r>
        <w:rPr>
          <w:b/>
          <w:color w:val="082252"/>
        </w:rPr>
        <w:t>Interpretation:</w:t>
      </w:r>
    </w:p>
    <w:p/>
    <w:p>
      <w:r>
        <w:rPr>
          <w:rFonts w:ascii="Courier New" w:hAnsi="Courier New"/>
          <w:color w:val="1F2937"/>
          <w:sz w:val="17"/>
        </w:rPr>
        <w:t>Operational dependability evidence is moderately strong, assuming the workflow</w:t>
        <w:br/>
      </w:r>
      <w:r>
        <w:rPr>
          <w:rFonts w:ascii="Courier New" w:hAnsi="Courier New"/>
          <w:color w:val="1F2937"/>
          <w:sz w:val="17"/>
        </w:rPr>
        <w:t>clears suppression gates.</w:t>
      </w:r>
    </w:p>
    <w:p/>
    <w:p>
      <w:pPr>
        <w:pStyle w:val="Heading2"/>
      </w:pPr>
      <w:r>
        <w:t>Quality Multiplier</w:t>
      </w:r>
    </w:p>
    <w:p/>
    <w:p>
      <w:r>
        <w:rPr>
          <w:rFonts w:ascii="Courier New" w:hAnsi="Courier New"/>
          <w:color w:val="1F2937"/>
          <w:sz w:val="17"/>
        </w:rPr>
        <w:t>quality_multiplier =</w:t>
        <w:br/>
      </w:r>
      <w:r>
        <w:rPr>
          <w:rFonts w:ascii="Courier New" w:hAnsi="Courier New"/>
          <w:color w:val="1F2937"/>
          <w:sz w:val="17"/>
        </w:rPr>
        <w:t xml:space="preserve">  1.0 + 0.210 + 0.150 - 0.035 - 0.060</w:t>
        <w:br/>
      </w:r>
      <w:r>
        <w:rPr>
          <w:rFonts w:ascii="Courier New" w:hAnsi="Courier New"/>
          <w:color w:val="1F2937"/>
          <w:sz w:val="17"/>
        </w:rPr>
        <w:br/>
      </w:r>
      <w:r>
        <w:rPr>
          <w:rFonts w:ascii="Courier New" w:hAnsi="Courier New"/>
          <w:color w:val="1F2937"/>
          <w:sz w:val="17"/>
        </w:rPr>
        <w:t>quality_multiplier = 1.265</w:t>
      </w:r>
    </w:p>
    <w:p/>
    <w:p>
      <w:r>
        <w:rPr>
          <w:b/>
          <w:color w:val="082252"/>
        </w:rPr>
        <w:t>Illustrative adjusted assumption:</w:t>
      </w:r>
    </w:p>
    <w:p/>
    <w:p>
      <w:r>
        <w:rPr>
          <w:rFonts w:ascii="Courier New" w:hAnsi="Courier New"/>
          <w:color w:val="1F2937"/>
          <w:sz w:val="17"/>
        </w:rPr>
        <w:t>300 claimed hours * 1.265 = 379.5 hours</w:t>
      </w:r>
    </w:p>
    <w:p/>
    <w:p>
      <w:r>
        <w:rPr>
          <w:b/>
          <w:color w:val="082252"/>
        </w:rPr>
        <w:t>Boundary:</w:t>
      </w:r>
    </w:p>
    <w:p/>
    <w:p>
      <w:r>
        <w:t>This is not a realized savings claim. It is only an illustration of how the</w:t>
      </w:r>
    </w:p>
    <w:p>
      <w:r>
        <w:t>multiplier works after gates clear and assumptions are approved.</w:t>
      </w:r>
    </w:p>
    <w:p/>
    <w:p>
      <w:pPr>
        <w:pStyle w:val="Heading2"/>
      </w:pPr>
      <w:r>
        <w:t>Time-Saved Range</w:t>
      </w:r>
    </w:p>
    <w:p/>
    <w:p>
      <w:r>
        <w:t>If the customer has not provided an approved aggregate behavior-to-outcome join</w:t>
      </w:r>
    </w:p>
    <w:p>
      <w:r>
        <w:rPr>
          <w:b/>
          <w:color w:val="082252"/>
        </w:rPr>
        <w:t>key, the Time-Saved Defensibility Range remains held:</w:t>
      </w:r>
    </w:p>
    <w:p/>
    <w:p>
      <w:r>
        <w:rPr>
          <w:rFonts w:ascii="Courier New" w:hAnsi="Courier New"/>
          <w:color w:val="1F2937"/>
          <w:sz w:val="17"/>
        </w:rPr>
        <w:t>{</w:t>
        <w:br/>
      </w:r>
      <w:r>
        <w:rPr>
          <w:rFonts w:ascii="Courier New" w:hAnsi="Courier New"/>
          <w:color w:val="1F2937"/>
          <w:sz w:val="17"/>
        </w:rPr>
        <w:t xml:space="preserve">  "raw_time_saved_claim_hours": 300,</w:t>
        <w:br/>
      </w:r>
      <w:r>
        <w:rPr>
          <w:rFonts w:ascii="Courier New" w:hAnsi="Courier New"/>
          <w:color w:val="1F2937"/>
          <w:sz w:val="17"/>
        </w:rPr>
        <w:t xml:space="preserve">  "defensibility_range_hours": null,</w:t>
        <w:br/>
      </w:r>
      <w:r>
        <w:rPr>
          <w:rFonts w:ascii="Courier New" w:hAnsi="Courier New"/>
          <w:color w:val="1F2937"/>
          <w:sz w:val="17"/>
        </w:rPr>
        <w:t xml:space="preserve">  "time_saved_gate_state": "HELD_FOR_APPROVED_AGGREGATE_JOIN",</w:t>
        <w:br/>
      </w:r>
      <w:r>
        <w:rPr>
          <w:rFonts w:ascii="Courier New" w:hAnsi="Courier New"/>
          <w:color w:val="1F2937"/>
          <w:sz w:val="17"/>
        </w:rPr>
        <w:t xml:space="preserve">  "causality_status": "NOT_CAUSAL"</w:t>
        <w:br/>
      </w:r>
      <w:r>
        <w:rPr>
          <w:rFonts w:ascii="Courier New" w:hAnsi="Courier New"/>
          <w:color w:val="1F2937"/>
          <w:sz w:val="17"/>
        </w:rPr>
        <w:t>}</w:t>
      </w:r>
    </w:p>
    <w:p/>
    <w:p>
      <w:r>
        <w:rPr>
          <w:b/>
          <w:color w:val="082252"/>
        </w:rPr>
        <w:t>Interpretation:</w:t>
      </w:r>
    </w:p>
    <w:p/>
    <w:p>
      <w:r>
        <w:rPr>
          <w:rFonts w:ascii="Courier New" w:hAnsi="Courier New"/>
          <w:color w:val="1F2937"/>
          <w:sz w:val="17"/>
        </w:rPr>
        <w:t>The evidence supports value investigation, not a range output.</w:t>
      </w:r>
    </w:p>
    <w:p/>
    <w:p>
      <w:pPr>
        <w:pStyle w:val="Heading1"/>
      </w:pPr>
      <w:r>
        <w:t>16. What Makes FluencyTracr Different</w:t>
      </w:r>
    </w:p>
    <w:p/>
    <w:p>
      <w:r>
        <w:t>FluencyTracr is not unique because it counts usage. Usage counts are easy to</w:t>
      </w:r>
    </w:p>
    <w:p>
      <w:r>
        <w:t>replicate.</w:t>
      </w:r>
    </w:p>
    <w:p/>
    <w:p>
      <w:r>
        <w:rPr>
          <w:b/>
          <w:color w:val="082252"/>
        </w:rPr>
        <w:t>The defensible uniqueness is the evidence model:</w:t>
      </w:r>
    </w:p>
    <w:p/>
    <w:p>
      <w:pPr>
        <w:pStyle w:val="ListNumber"/>
      </w:pPr>
      <w:r>
        <w:t>It separates activity from work movement.</w:t>
      </w:r>
    </w:p>
    <w:p>
      <w:pPr>
        <w:pStyle w:val="ListNumber"/>
      </w:pPr>
      <w:r>
        <w:t>It separates Velocity from Depth.</w:t>
      </w:r>
    </w:p>
    <w:p>
      <w:pPr>
        <w:pStyle w:val="ListNumber"/>
      </w:pPr>
      <w:r>
        <w:t>It treats verification and recovery as trust context, not simplistic thumbs</w:t>
      </w:r>
    </w:p>
    <w:p>
      <w:r>
        <w:t xml:space="preserve">   or citation-click metrics.</w:t>
      </w:r>
    </w:p>
    <w:p>
      <w:pPr>
        <w:pStyle w:val="ListNumber"/>
      </w:pPr>
      <w:r>
        <w:t>It preserves evidence gaps instead of hiding them.</w:t>
      </w:r>
    </w:p>
    <w:p>
      <w:pPr>
        <w:pStyle w:val="ListNumber"/>
      </w:pPr>
      <w:r>
        <w:t>It requires source coverage before interpretation.</w:t>
      </w:r>
    </w:p>
    <w:p>
      <w:pPr>
        <w:pStyle w:val="ListNumber"/>
      </w:pPr>
      <w:r>
        <w:t>It keeps suppressed evidence null rather than filling in fallback values.</w:t>
      </w:r>
    </w:p>
    <w:p>
      <w:pPr>
        <w:pStyle w:val="ListNumber"/>
      </w:pPr>
      <w:r>
        <w:t>It blocks ROI, causality, and productivity claims until customer-owned</w:t>
      </w:r>
    </w:p>
    <w:p>
      <w:r>
        <w:t xml:space="preserve">   outcome evidence and approved assumptions exist.</w:t>
      </w:r>
    </w:p>
    <w:p>
      <w:pPr>
        <w:pStyle w:val="ListNumber"/>
      </w:pPr>
      <w:r>
        <w:t>It stays organizational and aggregate, not individual or surveillance-based.</w:t>
      </w:r>
    </w:p>
    <w:p/>
    <w:p>
      <w:r>
        <w:rPr>
          <w:b/>
          <w:color w:val="082252"/>
        </w:rPr>
        <w:t>The commercial message should be:</w:t>
      </w:r>
    </w:p>
    <w:p/>
    <w:p>
      <w:r>
        <w:rPr>
          <w:rFonts w:ascii="Courier New" w:hAnsi="Courier New"/>
          <w:color w:val="1F2937"/>
          <w:sz w:val="17"/>
        </w:rPr>
        <w:t>FluencyTracr turns aggregate AI telemetry into governed evidence about whether</w:t>
        <w:br/>
      </w:r>
      <w:r>
        <w:rPr>
          <w:rFonts w:ascii="Courier New" w:hAnsi="Courier New"/>
          <w:color w:val="1F2937"/>
          <w:sz w:val="17"/>
        </w:rPr>
        <w:t>AI-assisted work is moving, recovering, being verified, and becoming embedded</w:t>
        <w:br/>
      </w:r>
      <w:r>
        <w:rPr>
          <w:rFonts w:ascii="Courier New" w:hAnsi="Courier New"/>
          <w:color w:val="1F2937"/>
          <w:sz w:val="17"/>
        </w:rPr>
        <w:t>enough to support safer value-realization decisions.</w:t>
      </w:r>
    </w:p>
    <w:p/>
    <w:p>
      <w:pPr>
        <w:pStyle w:val="Heading1"/>
      </w:pPr>
      <w:r>
        <w:t>17. Non-Goals</w:t>
      </w:r>
    </w:p>
    <w:p/>
    <w:p>
      <w:r>
        <w:rPr>
          <w:b/>
          <w:color w:val="082252"/>
        </w:rPr>
        <w:t>FluencyTracr does not:</w:t>
      </w:r>
    </w:p>
    <w:p/>
    <w:p>
      <w:pPr>
        <w:pStyle w:val="ListBullet"/>
      </w:pPr>
      <w:r>
        <w:t>calculate ROI,</w:t>
      </w:r>
    </w:p>
    <w:p>
      <w:pPr>
        <w:pStyle w:val="ListBullet"/>
      </w:pPr>
      <w:r>
        <w:t>prove causality,</w:t>
      </w:r>
    </w:p>
    <w:p>
      <w:pPr>
        <w:pStyle w:val="ListBullet"/>
      </w:pPr>
      <w:r>
        <w:t>prove output correctness,</w:t>
      </w:r>
    </w:p>
    <w:p>
      <w:pPr>
        <w:pStyle w:val="ListBullet"/>
      </w:pPr>
      <w:r>
        <w:t>measure individual productivity,</w:t>
      </w:r>
    </w:p>
    <w:p>
      <w:pPr>
        <w:pStyle w:val="ListBullet"/>
      </w:pPr>
      <w:r>
        <w:t>score employees,</w:t>
      </w:r>
    </w:p>
    <w:p>
      <w:pPr>
        <w:pStyle w:val="ListBullet"/>
      </w:pPr>
      <w:r>
        <w:t>rank teams,</w:t>
      </w:r>
    </w:p>
    <w:p>
      <w:pPr>
        <w:pStyle w:val="ListBullet"/>
      </w:pPr>
      <w:r>
        <w:t>rank managers,</w:t>
      </w:r>
    </w:p>
    <w:p>
      <w:pPr>
        <w:pStyle w:val="ListBullet"/>
      </w:pPr>
      <w:r>
        <w:t>create maturity scores,</w:t>
      </w:r>
    </w:p>
    <w:p>
      <w:pPr>
        <w:pStyle w:val="ListBullet"/>
      </w:pPr>
      <w:r>
        <w:t>inspect raw prompts,</w:t>
      </w:r>
    </w:p>
    <w:p>
      <w:pPr>
        <w:pStyle w:val="ListBullet"/>
      </w:pPr>
      <w:r>
        <w:t>inspect raw outputs,</w:t>
      </w:r>
    </w:p>
    <w:p>
      <w:pPr>
        <w:pStyle w:val="ListBullet"/>
      </w:pPr>
      <w:r>
        <w:t>require HR data,</w:t>
      </w:r>
    </w:p>
    <w:p>
      <w:pPr>
        <w:pStyle w:val="ListBullet"/>
      </w:pPr>
      <w:r>
        <w:t>require survey joins,</w:t>
      </w:r>
    </w:p>
    <w:p>
      <w:pPr>
        <w:pStyle w:val="ListBullet"/>
      </w:pPr>
      <w:r>
        <w:t>require enablement-system access,</w:t>
      </w:r>
    </w:p>
    <w:p>
      <w:pPr>
        <w:pStyle w:val="ListBullet"/>
      </w:pPr>
      <w:r>
        <w:t>convert missing evidence into positive or negative claims.</w:t>
      </w:r>
    </w:p>
    <w:p/>
    <w:p>
      <w:pPr>
        <w:pStyle w:val="Heading1"/>
      </w:pPr>
      <w:r>
        <w:t>18. Source Files Behind This Report</w:t>
      </w:r>
    </w:p>
    <w:p/>
    <w:p>
      <w:r>
        <w:rPr>
          <w:b/>
          <w:color w:val="082252"/>
        </w:rPr>
        <w:t>Primary repo-grounded references:</w:t>
      </w:r>
    </w:p>
    <w:p/>
    <w:p>
      <w:pPr>
        <w:pStyle w:val="ListBullet"/>
      </w:pPr>
      <w:r>
        <w:t>AGENTS.md</w:t>
      </w:r>
    </w:p>
    <w:p>
      <w:pPr>
        <w:pStyle w:val="ListBullet"/>
      </w:pPr>
      <w:r>
        <w:t>docs/concepts/VELOCITY.md</w:t>
      </w:r>
    </w:p>
    <w:p>
      <w:pPr>
        <w:pStyle w:val="ListBullet"/>
      </w:pPr>
      <w:r>
        <w:t>docs/concepts/DEPTH.md</w:t>
      </w:r>
    </w:p>
    <w:p>
      <w:pPr>
        <w:pStyle w:val="ListBullet"/>
      </w:pPr>
      <w:r>
        <w:t>docs/contracts/velocity-index.md</w:t>
      </w:r>
    </w:p>
    <w:p>
      <w:pPr>
        <w:pStyle w:val="ListBullet"/>
      </w:pPr>
      <w:r>
        <w:t>docs/contracts/reliability-factor.md</w:t>
      </w:r>
    </w:p>
    <w:p>
      <w:pPr>
        <w:pStyle w:val="ListBullet"/>
      </w:pPr>
      <w:r>
        <w:t>docs/contracts/quality-multiplier.md</w:t>
      </w:r>
    </w:p>
    <w:p>
      <w:pPr>
        <w:pStyle w:val="ListBullet"/>
      </w:pPr>
      <w:r>
        <w:t>docs/contracts/value-confidence/time-saved-defensibility-range.md</w:t>
      </w:r>
    </w:p>
    <w:p>
      <w:pPr>
        <w:pStyle w:val="ListBullet"/>
      </w:pPr>
      <w:r>
        <w:t>docs/contracts/value-confidence/trust-episode-boundary-input.md</w:t>
      </w:r>
    </w:p>
    <w:p>
      <w:pPr>
        <w:pStyle w:val="ListBullet"/>
      </w:pPr>
      <w:r>
        <w:t>docs/contracts/value-confidence/internal-scale-readiness-readout.md</w:t>
      </w:r>
    </w:p>
    <w:p>
      <w:pPr>
        <w:pStyle w:val="ListBullet"/>
      </w:pPr>
      <w:r>
        <w:t>backend/src/services/signal-detectors.ts</w:t>
      </w:r>
    </w:p>
    <w:p>
      <w:pPr>
        <w:pStyle w:val="ListBullet"/>
      </w:pPr>
      <w:r>
        <w:t>shared/src/fluencyTracrV1Signal.ts</w:t>
      </w:r>
    </w:p>
    <w:p>
      <w:pPr>
        <w:pStyle w:val="ListBullet"/>
      </w:pPr>
      <w:r>
        <w:t>dogfood-output/trust-episode-boundary-pilot/TRUST_EPISODE_PILOT_EXECUTIVE_READOUT.md</w:t>
      </w:r>
    </w:p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22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E5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40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22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