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/>
          <w:color w:val="061A44"/>
          <w:sz w:val="48"/>
        </w:rPr>
        <w:t>FluencyTracr Internal Pilot Report</w:t>
      </w:r>
    </w:p>
    <w:p>
      <w:r>
        <w:t>Internal pilot rehearsal. Aggregate evidence only.</w:t>
      </w:r>
    </w:p>
    <w:p>
      <w:pPr>
        <w:spacing w:after="120"/>
      </w:pPr>
      <w:r>
        <w:rPr>
          <w:rFonts w:ascii="Arial" w:hAnsi="Arial"/>
          <w:sz w:val="21"/>
        </w:rPr>
        <w:t>Run date: 2026-05-28</w:t>
      </w:r>
    </w:p>
    <w:p>
      <w:pPr>
        <w:spacing w:after="120"/>
      </w:pPr>
      <w:r>
        <w:rPr>
          <w:rFonts w:ascii="Arial" w:hAnsi="Arial"/>
          <w:sz w:val="21"/>
        </w:rPr>
        <w:t>Status: `INTERNAL_PILOT_REHEARSAL`</w:t>
      </w:r>
    </w:p>
    <w:p>
      <w:pPr>
        <w:spacing w:after="120"/>
      </w:pPr>
      <w:r>
        <w:rPr>
          <w:rFonts w:ascii="Arial" w:hAnsi="Arial"/>
          <w:sz w:val="21"/>
        </w:rPr>
        <w:t>This packet uses company-owned aggregate dogfood exports and a fresh BigQuery run. It is designed to show what FluencyTracr can deliver without asking a client for additional inputs at the start of a pilot.</w:t>
      </w:r>
    </w:p>
    <w:p>
      <w:pPr>
        <w:pStyle w:val="Heading1"/>
      </w:pPr>
      <w:r>
        <w:rPr>
          <w:rFonts w:ascii="Arial" w:hAnsi="Arial"/>
          <w:color w:val="061A44"/>
        </w:rPr>
        <w:t>Executive Readout</w:t>
      </w:r>
    </w:p>
    <w:p>
      <w:pPr>
        <w:spacing w:after="120"/>
      </w:pPr>
      <w:r>
        <w:rPr>
          <w:rFonts w:ascii="Arial" w:hAnsi="Arial"/>
          <w:sz w:val="21"/>
        </w:rPr>
        <w:t>FluencyTracr can already produce a meaningful aggregate AI work evidence package from observed telemetry. The strongest current value is not ROI calculation; it is separating activity volume from workflow evidence, trust evidence, source coverage, and value-investigation readiness.</w:t>
      </w:r>
    </w:p>
    <w:p>
      <w:pPr>
        <w:spacing w:after="120"/>
      </w:pPr>
      <w:r>
        <w:rPr>
          <w:rFonts w:ascii="Arial" w:hAnsi="Arial"/>
          <w:sz w:val="21"/>
        </w:rPr>
        <w:t>The internal data shows three distinct realities:</w:t>
      </w:r>
    </w:p>
    <w:p>
      <w:pPr>
        <w:ind w:left="259"/>
      </w:pPr>
      <w:r>
        <w:rPr>
          <w:rFonts w:ascii="Arial" w:hAnsi="Arial"/>
          <w:sz w:val="20"/>
        </w:rPr>
        <w:t>• AI is broadly present through high-volume assistive surfaces.</w:t>
      </w:r>
    </w:p>
    <w:p>
      <w:pPr>
        <w:ind w:left="259"/>
      </w:pPr>
      <w:r>
        <w:rPr>
          <w:rFonts w:ascii="Arial" w:hAnsi="Arial"/>
          <w:sz w:val="20"/>
        </w:rPr>
        <w:t>• A smaller but more valuable lane shows AI attached to workflow execution, post-friction continuation, and verification evidence.</w:t>
      </w:r>
    </w:p>
    <w:p>
      <w:pPr>
        <w:ind w:left="259"/>
      </w:pPr>
      <w:r>
        <w:rPr>
          <w:rFonts w:ascii="Arial" w:hAnsi="Arial"/>
          <w:sz w:val="20"/>
        </w:rPr>
        <w:t>• The largest commercialization blocker is not lack of activity; it is missing or weak downstream evidence that would connect behavior to business outcomes.</w:t>
      </w:r>
    </w:p>
    <w:p>
      <w:pPr>
        <w:pStyle w:val="Heading1"/>
      </w:pPr>
      <w:r>
        <w:rPr>
          <w:rFonts w:ascii="Arial" w:hAnsi="Arial"/>
          <w:color w:val="061A44"/>
        </w:rPr>
        <w:t>Fresh Data Run</w:t>
      </w:r>
    </w:p>
    <w:p>
      <w:pPr>
        <w:ind w:left="259"/>
      </w:pPr>
      <w:r>
        <w:rPr>
          <w:rFonts w:ascii="Arial" w:hAnsi="Arial"/>
          <w:sz w:val="20"/>
        </w:rPr>
        <w:t>• BigQuery job: `scio-apps:bqjob_r68a7577f065e48e5_0000019e6ee2c806_1`</w:t>
      </w:r>
    </w:p>
    <w:p>
      <w:pPr>
        <w:ind w:left="259"/>
      </w:pPr>
      <w:r>
        <w:rPr>
          <w:rFonts w:ascii="Arial" w:hAnsi="Arial"/>
          <w:sz w:val="20"/>
        </w:rPr>
        <w:t>• Duration: `0:06:00.970000`</w:t>
      </w:r>
    </w:p>
    <w:p>
      <w:pPr>
        <w:ind w:left="259"/>
      </w:pPr>
      <w:r>
        <w:rPr>
          <w:rFonts w:ascii="Arial" w:hAnsi="Arial"/>
          <w:sz w:val="20"/>
        </w:rPr>
        <w:t>• Bytes processed: `4,926,181,266,149`</w:t>
      </w:r>
    </w:p>
    <w:p>
      <w:pPr>
        <w:ind w:left="259"/>
      </w:pPr>
      <w:r>
        <w:rPr>
          <w:rFonts w:ascii="Arial" w:hAnsi="Arial"/>
          <w:sz w:val="20"/>
        </w:rPr>
        <w:t>• Source: scrubbed GCE customer events + scrubbed agent spans</w:t>
      </w:r>
    </w:p>
    <w:p>
      <w:pPr>
        <w:pStyle w:val="Heading2"/>
      </w:pPr>
      <w:r>
        <w:rPr>
          <w:rFonts w:ascii="Arial" w:hAnsi="Arial"/>
          <w:color w:val="061A44"/>
        </w:rPr>
        <w:t>Microcosm Framework Results</w:t>
      </w:r>
    </w:p>
    <w:p>
      <w:r>
        <w:rPr>
          <w:rFonts w:ascii="Courier New" w:hAnsi="Courier New"/>
          <w:sz w:val="15"/>
        </w:rPr>
        <w:t>| Window | Sampled aggregate windows | Frequency | Engagement | Breadth | Reliability | Quality multiplier |</w:t>
      </w:r>
    </w:p>
    <w:p>
      <w:r>
        <w:rPr>
          <w:rFonts w:ascii="Courier New" w:hAnsi="Courier New"/>
          <w:sz w:val="15"/>
        </w:rPr>
        <w:t>| --- | ---: | ---: | ---: | ---: | ---: | ---: |</w:t>
      </w:r>
    </w:p>
    <w:p>
      <w:r>
        <w:rPr>
          <w:rFonts w:ascii="Courier New" w:hAnsi="Courier New"/>
          <w:sz w:val="15"/>
        </w:rPr>
        <w:t>| Window 1 | 13 | 70.2 | 17.3 | 5.7 | 0.71 | 1.22 |</w:t>
      </w:r>
    </w:p>
    <w:p>
      <w:r>
        <w:rPr>
          <w:rFonts w:ascii="Courier New" w:hAnsi="Courier New"/>
          <w:sz w:val="15"/>
        </w:rPr>
        <w:t>| Window 2 | 15 | 62.3 | 15.7 | 5.1 | 0.64 | 1.12 |</w:t>
      </w:r>
    </w:p>
    <w:p>
      <w:r>
        <w:rPr>
          <w:rFonts w:ascii="Courier New" w:hAnsi="Courier New"/>
          <w:sz w:val="15"/>
        </w:rPr>
        <w:t>| Window 3 | 13 | 80.6 | 20.6 | 6.5 | 0.69 | 1.18 |</w:t>
      </w:r>
    </w:p>
    <w:p>
      <w:pPr>
        <w:pStyle w:val="Heading2"/>
      </w:pPr>
      <w:r>
        <w:rPr>
          <w:rFonts w:ascii="Arial" w:hAnsi="Arial"/>
          <w:color w:val="061A44"/>
        </w:rPr>
        <w:t>Motif Tier Distribution</w:t>
      </w:r>
    </w:p>
    <w:p>
      <w:r>
        <w:rPr>
          <w:rFonts w:ascii="Courier New" w:hAnsi="Courier New"/>
          <w:sz w:val="15"/>
        </w:rPr>
        <w:t>| Tier | Aggregate motifs | Share | Interpretation |</w:t>
      </w:r>
    </w:p>
    <w:p>
      <w:r>
        <w:rPr>
          <w:rFonts w:ascii="Courier New" w:hAnsi="Courier New"/>
          <w:sz w:val="15"/>
        </w:rPr>
        <w:t>| --- | ---: | ---: | --- |</w:t>
      </w:r>
    </w:p>
    <w:p>
      <w:r>
        <w:rPr>
          <w:rFonts w:ascii="Courier New" w:hAnsi="Courier New"/>
          <w:sz w:val="15"/>
        </w:rPr>
        <w:t>| High Volume Assistive Surface | 25,081 | 90.9% | Reach and surface coverage; weak workflow evidence by itself. |</w:t>
      </w:r>
    </w:p>
    <w:p>
      <w:r>
        <w:rPr>
          <w:rFonts w:ascii="Courier New" w:hAnsi="Courier New"/>
          <w:sz w:val="15"/>
        </w:rPr>
        <w:t>| Post Friction Continuation | 891 | 3.2% | Recovery-like evidence: work continues after friction without claiming intent. |</w:t>
      </w:r>
    </w:p>
    <w:p>
      <w:r>
        <w:rPr>
          <w:rFonts w:ascii="Courier New" w:hAnsi="Courier New"/>
          <w:sz w:val="15"/>
        </w:rPr>
        <w:t>| Execution Linked Workflow | 478 | 1.7% | AI is attached to actual workflow execution. |</w:t>
      </w:r>
    </w:p>
    <w:p>
      <w:r>
        <w:rPr>
          <w:rFonts w:ascii="Courier New" w:hAnsi="Courier New"/>
          <w:sz w:val="15"/>
        </w:rPr>
        <w:t>| Search To Agent Escalation | 442 | 1.6% | Navigation from search into agent context; not outcome evidence yet. |</w:t>
      </w:r>
    </w:p>
    <w:p>
      <w:r>
        <w:rPr>
          <w:rFonts w:ascii="Courier New" w:hAnsi="Courier New"/>
          <w:sz w:val="15"/>
        </w:rPr>
        <w:t>| Weak Linkage Context | 388 | 1.4% | Source-coverage caveat lane. |</w:t>
      </w:r>
    </w:p>
    <w:p>
      <w:r>
        <w:rPr>
          <w:rFonts w:ascii="Courier New" w:hAnsi="Courier New"/>
          <w:sz w:val="15"/>
        </w:rPr>
        <w:t>| Verification Attached Workflow | 214 | 0.8% | Strongest trust-adjacent workflow lane. |</w:t>
      </w:r>
    </w:p>
    <w:p>
      <w:r>
        <w:rPr>
          <w:rFonts w:ascii="Courier New" w:hAnsi="Courier New"/>
          <w:sz w:val="15"/>
        </w:rPr>
        <w:t>| Other Linked Context | 96 | 0.3% | Residual linked context. |</w:t>
      </w:r>
    </w:p>
    <w:p>
      <w:pPr>
        <w:pStyle w:val="Heading1"/>
      </w:pPr>
      <w:r>
        <w:rPr>
          <w:rFonts w:ascii="Arial" w:hAnsi="Arial"/>
          <w:color w:val="061A44"/>
        </w:rPr>
        <w:t>Value Realization Readiness</w:t>
      </w:r>
    </w:p>
    <w:p>
      <w:r>
        <w:rPr>
          <w:rFonts w:ascii="Courier New" w:hAnsi="Courier New"/>
          <w:sz w:val="15"/>
        </w:rPr>
        <w:t>| Readout zone | Aggregate cohort rows | Signal rows | Attributed signal rows | Executive action |</w:t>
      </w:r>
    </w:p>
    <w:p>
      <w:r>
        <w:rPr>
          <w:rFonts w:ascii="Courier New" w:hAnsi="Courier New"/>
          <w:sz w:val="15"/>
        </w:rPr>
        <w:t>| --- | ---: | ---: | ---: | --- |</w:t>
      </w:r>
    </w:p>
    <w:p>
      <w:r>
        <w:rPr>
          <w:rFonts w:ascii="Courier New" w:hAnsi="Courier New"/>
          <w:sz w:val="15"/>
        </w:rPr>
        <w:t>| Trust Evidence Gap | 6,537,249 | 2,754,490 | 0 | Repair proof loops before value interpretation. |</w:t>
      </w:r>
    </w:p>
    <w:p>
      <w:r>
        <w:rPr>
          <w:rFonts w:ascii="Courier New" w:hAnsi="Courier New"/>
          <w:sz w:val="15"/>
        </w:rPr>
        <w:t>| Scale Candidate | 125,100 | 683,340 | 337,775 | Scale-and-measure review; attach outcome evidence. |</w:t>
      </w:r>
    </w:p>
    <w:p>
      <w:r>
        <w:rPr>
          <w:rFonts w:ascii="Courier New" w:hAnsi="Courier New"/>
          <w:sz w:val="15"/>
        </w:rPr>
        <w:t>| Shallow Adoption | 17,241 | 54,116 | 41,060 | Workflow redesign before scale. |</w:t>
      </w:r>
    </w:p>
    <w:p>
      <w:r>
        <w:rPr>
          <w:rFonts w:ascii="Courier New" w:hAnsi="Courier New"/>
          <w:sz w:val="15"/>
        </w:rPr>
        <w:t>| Focused Expert Use | 1,250 | 2,004 | 1,782 | Package the expert pattern if the business confirms value. |</w:t>
      </w:r>
    </w:p>
    <w:p>
      <w:r>
        <w:rPr>
          <w:rFonts w:ascii="Courier New" w:hAnsi="Courier New"/>
          <w:sz w:val="15"/>
        </w:rPr>
        <w:t>| Suppressed | 0 | 0 | 0 | Do not interpret. |</w:t>
      </w:r>
    </w:p>
    <w:p>
      <w:pPr>
        <w:pStyle w:val="Heading1"/>
      </w:pPr>
      <w:r>
        <w:rPr>
          <w:rFonts w:ascii="Arial" w:hAnsi="Arial"/>
          <w:color w:val="061A44"/>
        </w:rPr>
        <w:t>Trust And Source Coverage</w:t>
      </w:r>
    </w:p>
    <w:p>
      <w:pPr>
        <w:ind w:left="259"/>
      </w:pPr>
      <w:r>
        <w:rPr>
          <w:rFonts w:ascii="Arial" w:hAnsi="Arial"/>
          <w:sz w:val="20"/>
        </w:rPr>
        <w:t>• Seven-business-day trust pilot: 87,985,613 high-confidence aggregate product episodes.</w:t>
      </w:r>
    </w:p>
    <w:p>
      <w:pPr>
        <w:ind w:left="259"/>
      </w:pPr>
      <w:r>
        <w:rPr>
          <w:rFonts w:ascii="Arial" w:hAnsi="Arial"/>
          <w:sz w:val="20"/>
        </w:rPr>
        <w:t>• High-confidence coverage: 100.0%.</w:t>
      </w:r>
    </w:p>
    <w:p>
      <w:pPr>
        <w:ind w:left="259"/>
      </w:pPr>
      <w:r>
        <w:rPr>
          <w:rFonts w:ascii="Arial" w:hAnsi="Arial"/>
          <w:sz w:val="20"/>
        </w:rPr>
        <w:t>• Recovered-after-failure pattern inside high-confidence coverage: 18.0%.</w:t>
      </w:r>
    </w:p>
    <w:p>
      <w:pPr>
        <w:ind w:left="259"/>
      </w:pPr>
      <w:r>
        <w:rPr>
          <w:rFonts w:ascii="Arial" w:hAnsi="Arial"/>
          <w:sz w:val="20"/>
        </w:rPr>
        <w:t>• Public evidence gap: 37,959,260 aggregate episodes (43.1%).</w:t>
      </w:r>
    </w:p>
    <w:p>
      <w:pPr>
        <w:ind w:left="259"/>
      </w:pPr>
      <w:r>
        <w:rPr>
          <w:rFonts w:ascii="Arial" w:hAnsi="Arial"/>
          <w:sz w:val="20"/>
        </w:rPr>
        <w:t>• True downstream-evidence gap: 37,484,844 aggregate episodes.</w:t>
      </w:r>
    </w:p>
    <w:p>
      <w:pPr>
        <w:ind w:left="259"/>
      </w:pPr>
      <w:r>
        <w:rPr>
          <w:rFonts w:ascii="Arial" w:hAnsi="Arial"/>
          <w:sz w:val="20"/>
        </w:rPr>
        <w:t>• Ambiguous-boundary fold-in: 474,414 aggregate episodes.</w:t>
      </w:r>
    </w:p>
    <w:p>
      <w:pPr>
        <w:spacing w:after="120"/>
      </w:pPr>
      <w:r>
        <w:rPr>
          <w:rFonts w:ascii="Arial" w:hAnsi="Arial"/>
          <w:sz w:val="21"/>
        </w:rPr>
        <w:t>Trust evidence is strongest when verification or continuation attaches to workflow-linked paths. Citation clicks and explicit feedback are useful corroboration, but they are too sparse or too attribution-sensitive to carry the trust story alone.</w:t>
      </w:r>
    </w:p>
    <w:p>
      <w:pPr>
        <w:pStyle w:val="Heading1"/>
      </w:pPr>
      <w:r>
        <w:rPr>
          <w:rFonts w:ascii="Arial" w:hAnsi="Arial"/>
          <w:color w:val="061A44"/>
        </w:rPr>
        <w:t>Outcome And ROI Boundary</w:t>
      </w:r>
    </w:p>
    <w:p>
      <w:pPr>
        <w:spacing w:after="120"/>
      </w:pPr>
      <w:r>
        <w:rPr>
          <w:rFonts w:ascii="Arial" w:hAnsi="Arial"/>
          <w:sz w:val="21"/>
        </w:rPr>
        <w:t>The current company-owned telemetry is strong enough for value-investigation routing, but not for ROI calculation.</w:t>
      </w:r>
    </w:p>
    <w:p>
      <w:pPr>
        <w:ind w:left="259"/>
      </w:pPr>
      <w:r>
        <w:rPr>
          <w:rFonts w:ascii="Arial" w:hAnsi="Arial"/>
          <w:sz w:val="20"/>
        </w:rPr>
        <w:t>• Outcome metric identity: missing in saved V4 exports.</w:t>
      </w:r>
    </w:p>
    <w:p>
      <w:pPr>
        <w:ind w:left="259"/>
      </w:pPr>
      <w:r>
        <w:rPr>
          <w:rFonts w:ascii="Arial" w:hAnsi="Arial"/>
          <w:sz w:val="20"/>
        </w:rPr>
        <w:t>• Window-aligned outcome export: held.</w:t>
      </w:r>
    </w:p>
    <w:p>
      <w:pPr>
        <w:ind w:left="259"/>
      </w:pPr>
      <w:r>
        <w:rPr>
          <w:rFonts w:ascii="Arial" w:hAnsi="Arial"/>
          <w:sz w:val="20"/>
        </w:rPr>
        <w:t>• Customer-owned assumptions: missing.</w:t>
      </w:r>
    </w:p>
    <w:p>
      <w:pPr>
        <w:ind w:left="259"/>
      </w:pPr>
      <w:r>
        <w:rPr>
          <w:rFonts w:ascii="Arial" w:hAnsi="Arial"/>
          <w:sz w:val="20"/>
        </w:rPr>
        <w:t>• Behavior-to-outcome attribution: held.</w:t>
      </w:r>
    </w:p>
    <w:p>
      <w:pPr>
        <w:ind w:left="259"/>
      </w:pPr>
      <w:r>
        <w:rPr>
          <w:rFonts w:ascii="Arial" w:hAnsi="Arial"/>
          <w:sz w:val="20"/>
        </w:rPr>
        <w:t>• Time-saved range values: suppressed.</w:t>
      </w:r>
    </w:p>
    <w:p>
      <w:pPr>
        <w:spacing w:after="120"/>
      </w:pPr>
      <w:r>
        <w:rPr>
          <w:rFonts w:ascii="Arial" w:hAnsi="Arial"/>
          <w:sz w:val="21"/>
        </w:rPr>
        <w:t>This should be presented as an evidence-readiness product, not a dollarized ROI product.</w:t>
      </w:r>
    </w:p>
    <w:p>
      <w:pPr>
        <w:pStyle w:val="Heading1"/>
      </w:pPr>
      <w:r>
        <w:rPr>
          <w:rFonts w:ascii="Arial" w:hAnsi="Arial"/>
          <w:color w:val="061A44"/>
        </w:rPr>
        <w:t>Pilot Decision Memo</w:t>
      </w:r>
    </w:p>
    <w:p>
      <w:pPr>
        <w:spacing w:after="120"/>
      </w:pPr>
      <w:r>
        <w:rPr>
          <w:rFonts w:ascii="Arial" w:hAnsi="Arial"/>
          <w:sz w:val="21"/>
        </w:rPr>
        <w:t>Decision: continue to a customer-facing rehearsal packet, but keep the claim narrow.</w:t>
      </w:r>
    </w:p>
    <w:p>
      <w:pPr>
        <w:spacing w:after="120"/>
      </w:pPr>
      <w:r>
        <w:rPr>
          <w:rFonts w:ascii="Arial" w:hAnsi="Arial"/>
          <w:sz w:val="21"/>
        </w:rPr>
        <w:t>Recommended posture:</w:t>
      </w:r>
    </w:p>
    <w:p>
      <w:pPr>
        <w:spacing w:after="120"/>
      </w:pPr>
      <w:r>
        <w:rPr>
          <w:rFonts w:ascii="Arial" w:hAnsi="Arial"/>
          <w:sz w:val="21"/>
        </w:rPr>
        <w:t>1. Lead with aggregate AI work evidence, not adoption dashboards.</w:t>
      </w:r>
    </w:p>
    <w:p>
      <w:pPr>
        <w:spacing w:after="120"/>
      </w:pPr>
      <w:r>
        <w:rPr>
          <w:rFonts w:ascii="Arial" w:hAnsi="Arial"/>
          <w:sz w:val="21"/>
        </w:rPr>
        <w:t>2. Show motif tiers so executives can distinguish reach, workflow execution, recovery-like continuation, verification, and weak-linkage gaps.</w:t>
      </w:r>
    </w:p>
    <w:p>
      <w:pPr>
        <w:spacing w:after="120"/>
      </w:pPr>
      <w:r>
        <w:rPr>
          <w:rFonts w:ascii="Arial" w:hAnsi="Arial"/>
          <w:sz w:val="21"/>
        </w:rPr>
        <w:t>3. Use Velocity x Depth as the operating map.</w:t>
      </w:r>
    </w:p>
    <w:p>
      <w:pPr>
        <w:spacing w:after="120"/>
      </w:pPr>
      <w:r>
        <w:rPr>
          <w:rFonts w:ascii="Arial" w:hAnsi="Arial"/>
          <w:sz w:val="21"/>
        </w:rPr>
        <w:t>4. Use Trust Evidence Gap as the proof-loop repair agenda.</w:t>
      </w:r>
    </w:p>
    <w:p>
      <w:pPr>
        <w:spacing w:after="120"/>
      </w:pPr>
      <w:r>
        <w:rPr>
          <w:rFonts w:ascii="Arial" w:hAnsi="Arial"/>
          <w:sz w:val="21"/>
        </w:rPr>
        <w:t>5. Treat ROI as blocked until outcome metrics and assumptions are available inside the governed evidence layer.</w:t>
      </w:r>
    </w:p>
    <w:p>
      <w:pPr>
        <w:spacing w:after="120"/>
      </w:pPr>
      <w:r>
        <w:rPr>
          <w:rFonts w:ascii="Arial" w:hAnsi="Arial"/>
          <w:sz w:val="21"/>
        </w:rPr>
        <w:t>Non-goals: no individual scoring, no team ranking, no manager ranking, no productivity claim, no causality claim, no ROI calculation, no raw prompt or output inspection.</w:t>
      </w:r>
    </w:p>
    <w:p>
      <w:pPr>
        <w:pStyle w:val="Heading1"/>
      </w:pPr>
      <w:r>
        <w:rPr>
          <w:rFonts w:ascii="Arial" w:hAnsi="Arial"/>
          <w:color w:val="061A44"/>
        </w:rPr>
        <w:t>Glossary</w:t>
      </w:r>
    </w:p>
    <w:p>
      <w:pPr>
        <w:ind w:left="259"/>
      </w:pPr>
      <w:r>
        <w:rPr>
          <w:rFonts w:ascii="Arial" w:hAnsi="Arial"/>
          <w:sz w:val="20"/>
        </w:rPr>
        <w:t>• **AI Work Evidence:** Aggregate telemetry that shows where AI is present in real work, how it is connected to workflows, and where evidence is strong or weak.</w:t>
      </w:r>
    </w:p>
    <w:p>
      <w:pPr>
        <w:ind w:left="259"/>
      </w:pPr>
      <w:r>
        <w:rPr>
          <w:rFonts w:ascii="Arial" w:hAnsi="Arial"/>
          <w:sz w:val="20"/>
        </w:rPr>
        <w:t>• **AI surface:** A place where AI can be used, such as search, chat, autocomplete, a workflow run, an agent span, or an embedded assistant.</w:t>
      </w:r>
    </w:p>
    <w:p>
      <w:pPr>
        <w:ind w:left="259"/>
      </w:pPr>
      <w:r>
        <w:rPr>
          <w:rFonts w:ascii="Arial" w:hAnsi="Arial"/>
          <w:sz w:val="20"/>
        </w:rPr>
        <w:t>• **Workflow evidence:** Aggregate signs that AI is attached to a real work path instead of a standalone interaction.</w:t>
      </w:r>
    </w:p>
    <w:p>
      <w:pPr>
        <w:ind w:left="259"/>
      </w:pPr>
      <w:r>
        <w:rPr>
          <w:rFonts w:ascii="Arial" w:hAnsi="Arial"/>
          <w:sz w:val="20"/>
        </w:rPr>
        <w:t>• **Velocity:** How quickly AI-assisted work appears to move, using aggregate frequency, engagement, and repeat-use patterns.</w:t>
      </w:r>
    </w:p>
    <w:p>
      <w:pPr>
        <w:ind w:left="259"/>
      </w:pPr>
      <w:r>
        <w:rPr>
          <w:rFonts w:ascii="Arial" w:hAnsi="Arial"/>
          <w:sz w:val="20"/>
        </w:rPr>
        <w:t>• **Depth:** How embedded AI appears to be across surfaces and workflows, not how skilled any individual person is.</w:t>
      </w:r>
    </w:p>
    <w:p>
      <w:pPr>
        <w:ind w:left="259"/>
      </w:pPr>
      <w:r>
        <w:rPr>
          <w:rFonts w:ascii="Arial" w:hAnsi="Arial"/>
          <w:sz w:val="20"/>
        </w:rPr>
        <w:t>• **Frequency:** How often AI activity appears in the aggregate window.</w:t>
      </w:r>
    </w:p>
    <w:p>
      <w:pPr>
        <w:ind w:left="259"/>
      </w:pPr>
      <w:r>
        <w:rPr>
          <w:rFonts w:ascii="Arial" w:hAnsi="Arial"/>
          <w:sz w:val="20"/>
        </w:rPr>
        <w:t>• **Engagement:** How much aggregate interaction occurs around AI-assisted work, such as repeated use or continued activity.</w:t>
      </w:r>
    </w:p>
    <w:p>
      <w:pPr>
        <w:ind w:left="259"/>
      </w:pPr>
      <w:r>
        <w:rPr>
          <w:rFonts w:ascii="Arial" w:hAnsi="Arial"/>
          <w:sz w:val="20"/>
        </w:rPr>
        <w:t>• **Breadth:** How many distinct AI surfaces or work contexts appear in the aggregate evidence.</w:t>
      </w:r>
    </w:p>
    <w:p>
      <w:pPr>
        <w:ind w:left="259"/>
      </w:pPr>
      <w:r>
        <w:rPr>
          <w:rFonts w:ascii="Arial" w:hAnsi="Arial"/>
          <w:sz w:val="20"/>
        </w:rPr>
        <w:t>• **Reliability Factor:** A confidence lens that looks for abandonment, friction loops, recovery, and verification signals before interpreting behavior.</w:t>
      </w:r>
    </w:p>
    <w:p>
      <w:pPr>
        <w:ind w:left="259"/>
      </w:pPr>
      <w:r>
        <w:rPr>
          <w:rFonts w:ascii="Arial" w:hAnsi="Arial"/>
          <w:sz w:val="20"/>
        </w:rPr>
        <w:t>• **Quality Multiplier:** A caveat lens that can discount or amplify time-saved assumptions later; this packet does not use it to calculate ROI.</w:t>
      </w:r>
    </w:p>
    <w:p>
      <w:pPr>
        <w:ind w:left="259"/>
      </w:pPr>
      <w:r>
        <w:rPr>
          <w:rFonts w:ascii="Arial" w:hAnsi="Arial"/>
          <w:sz w:val="20"/>
        </w:rPr>
        <w:t>• **Trust evidence:** Aggregate signs that people verified, continued, corrected, recovered, or gave feedback after AI assistance.</w:t>
      </w:r>
    </w:p>
    <w:p>
      <w:pPr>
        <w:ind w:left="259"/>
      </w:pPr>
      <w:r>
        <w:rPr>
          <w:rFonts w:ascii="Arial" w:hAnsi="Arial"/>
          <w:sz w:val="20"/>
        </w:rPr>
        <w:t>• **Trust attribution:** Whether a trust signal can be attached to a workflow path with enough confidence to interpret it.</w:t>
      </w:r>
    </w:p>
    <w:p>
      <w:pPr>
        <w:ind w:left="259"/>
      </w:pPr>
      <w:r>
        <w:rPr>
          <w:rFonts w:ascii="Arial" w:hAnsi="Arial"/>
          <w:sz w:val="20"/>
        </w:rPr>
        <w:t>• **Evidence gap:** A place where activity exists but the supporting source coverage, attribution, or downstream context is not strong enough to interpret.</w:t>
      </w:r>
    </w:p>
    <w:p>
      <w:pPr>
        <w:ind w:left="259"/>
      </w:pPr>
      <w:r>
        <w:rPr>
          <w:rFonts w:ascii="Arial" w:hAnsi="Arial"/>
          <w:sz w:val="20"/>
        </w:rPr>
        <w:t>• **Motif tier:** A plain-language bucket that separates raw activity from stronger workflow, verification, or source-coverage evidence.</w:t>
      </w:r>
    </w:p>
    <w:p>
      <w:pPr>
        <w:ind w:left="259"/>
      </w:pPr>
      <w:r>
        <w:rPr>
          <w:rFonts w:ascii="Arial" w:hAnsi="Arial"/>
          <w:sz w:val="20"/>
        </w:rPr>
        <w:t>• **Value-readiness zone:** An executive action lane that says what to do next, such as scale, redesign, repair trust loops, or hold interpretation.</w:t>
      </w:r>
    </w:p>
    <w:p>
      <w:pPr>
        <w:ind w:left="259"/>
      </w:pPr>
      <w:r>
        <w:rPr>
          <w:rFonts w:ascii="Arial" w:hAnsi="Arial"/>
          <w:sz w:val="20"/>
        </w:rPr>
        <w:t>• **Outcome evidence:** Customer-owned aggregate business context, such as a KPI window, that can be attached later without claiming causality by default.</w:t>
      </w:r>
    </w:p>
    <w:p>
      <w:pPr>
        <w:ind w:left="259"/>
      </w:pPr>
      <w:r>
        <w:rPr>
          <w:rFonts w:ascii="Arial" w:hAnsi="Arial"/>
          <w:sz w:val="20"/>
        </w:rPr>
        <w:t>• **Value hypothesis:** A testable idea about where AI may create value, such as acceleration, quality premium, or net-new work. It is not ROI proof.</w:t>
      </w:r>
    </w:p>
    <w:p>
      <w:pPr>
        <w:ind w:left="259"/>
      </w:pPr>
      <w:r>
        <w:rPr>
          <w:rFonts w:ascii="Arial" w:hAnsi="Arial"/>
          <w:sz w:val="20"/>
        </w:rPr>
        <w:t>• **Source coverage:** How complete and unambiguous the available telemetry is for a given aggregate interpretation.</w:t>
      </w:r>
    </w:p>
    <w:p>
      <w:pPr>
        <w:ind w:left="259"/>
      </w:pPr>
      <w:r>
        <w:rPr>
          <w:rFonts w:ascii="Arial" w:hAnsi="Arial"/>
          <w:sz w:val="20"/>
        </w:rPr>
        <w:t>• **Suppressed:** A fail-closed result where FluencyTracr withholds interpretation because the governed evidence bar is not met.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