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行业现状与开源项目调研</w:t>
      </w:r>
    </w:p>
    <w:p>
      <w:pPr>
        <w:pStyle w:val="Title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展会排期与需求变更</w:t>
        <w:br/>
        <w:t>项目研究报告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截至 2026年10月23日  |  立项与四周试点参考  |  V1.1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核心结论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建议先建设单批次、只读的排期核对与变更追踪工作台：统一申请编号和版本，依据确定性规则识别场地及共享资源的时间冲突，生成可定位来源的缺项与交接清单，正式结论保留人工确认。现有公开证据支持这些能力的技术可行性，但尚不足以证明该企业的实际收益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次筛选了5个值得参考的GitHub项目。LibreBooking最接近资源预约与冲突识别；pretalx最适合研究排期版本与发布；OpenProject适合借鉴变更任务与责任追踪；Eventyay覆盖活动运营；FullCalendar提供日历展示。没有核实到一个可直接替代本项目全部流程的现成方案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证据边界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本地输入 discovery-report.md 明确声明：人物、指标和业务问题来自合成场景。文中“每月45单、每单35分钟”、36/36调查覆盖、四周试点和30样本均应按原文性质解读；前两项不能当作真实经营基线，覆盖率不能当作验收结果。[L1]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行业部分采用中国贸促会、上海官方公开资料和厂商一手文档；项目部分核对仓库元数据、README、许可证及两个核心源码文件。属于桌面研究，未部署软件、未执行端到端测试、未访谈真实客户，也未取得产品报价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阅读指引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937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章节</w:t>
            </w:r>
          </w:p>
        </w:tc>
        <w:tc>
          <w:tcPr>
            <w:tcW w:type="dxa" w:w="7937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一至二</w:t>
            </w:r>
          </w:p>
        </w:tc>
        <w:tc>
          <w:tcPr>
            <w:tcW w:type="dxa" w:w="7937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行业规模、区域动态、商业产品能力与项目机会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三至五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GitHub对比、源码证据、选型与复用建议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六至八</w:t>
            </w:r>
          </w:p>
        </w:tc>
        <w:tc>
          <w:tcPr>
            <w:tcW w:type="dxa" w:w="7937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需求映射、数据架构、冲突和变更规则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九至十</w:t>
            </w:r>
          </w:p>
        </w:tc>
        <w:tc>
          <w:tcPr>
            <w:tcW w:type="dxa" w:w="793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四周试点、验收指标、待确认事项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参考资料</w:t>
            </w:r>
          </w:p>
        </w:tc>
        <w:tc>
          <w:tcPr>
            <w:tcW w:type="dxa" w:w="7937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可点击的原始来源与核验说明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一 行业现状与项目背景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可核实的全国完整年度数据以2025年为主，2026年补充已发布的地方政策和展会案例。本报告不将2026年局部活动外推为全年规模，也不把展览面积换算为软件市场收入。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082"/>
        <w:gridCol w:w="4139"/>
      </w:tblGrid>
      <w:tr>
        <w:trPr>
          <w:cantSplit/>
          <w:tblHeader/>
        </w:trPr>
        <w:tc>
          <w:tcPr>
            <w:tcW w:type="dxa" w:w="1417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观察项</w:t>
            </w:r>
          </w:p>
        </w:tc>
        <w:tc>
          <w:tcPr>
            <w:tcW w:type="dxa" w:w="4082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公开证据</w:t>
            </w:r>
          </w:p>
        </w:tc>
        <w:tc>
          <w:tcPr>
            <w:tcW w:type="dxa" w:w="4139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对项目的启示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国内展览规模</w:t>
            </w:r>
          </w:p>
        </w:tc>
        <w:tc>
          <w:tcPr>
            <w:tcW w:type="dxa" w:w="408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2025年经贸类展会4095项，展览总面积1.59亿平方米，分别同比增长6.53%和2.5%。[S1]</w:t>
            </w:r>
          </w:p>
        </w:tc>
        <w:tc>
          <w:tcPr>
            <w:tcW w:type="dxa" w:w="413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排期协作具有明确业务场景；不能据此推算本企业单量。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区域集聚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京津冀、长三角、珠三角合计贡献全国53.85%的展会数量和62.48%的展出面积。[S1]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上海项目适合优先观察多场地及跨团队交接。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上海产业方向</w:t>
            </w:r>
          </w:p>
        </w:tc>
        <w:tc>
          <w:tcPr>
            <w:tcW w:type="dxa" w:w="408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2026至2028年行动方案提出建立MICE活动日历与信息共享机制，提前发布重点活动年度安排。[S2]</w:t>
            </w:r>
          </w:p>
        </w:tc>
        <w:tc>
          <w:tcPr>
            <w:tcW w:type="dxa" w:w="413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应区分对外活动日历与内部资源占用及审批台账。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2026年活动样本</w:t>
            </w:r>
          </w:p>
        </w:tc>
        <w:tc>
          <w:tcPr>
            <w:tcW w:type="dxa" w:w="408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上海官方披露第十二届上交会于6月11至13日举办，面积3.8万平方米、参展企业1006家。[S3]</w:t>
            </w:r>
          </w:p>
        </w:tc>
        <w:tc>
          <w:tcPr>
            <w:tcW w:type="dxa" w:w="41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大型展会同时涉及展区及配套活动；此案例不证明本企业发生过冲突。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从行业趋势到本项目机会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中国贸促会将数字化与绿色化列为行业发展特征。[S1] 对本项目而言，最直接的数字化切入点是把时间窗、区域、共享资源、版本和确认状态形成一致记录。是否需要数字孪生、智能推荐或跨场馆优化，应由实际复杂度和数据完整性决定。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上海行动方案的活动日历有利于公共信息协同，但城市级日历无法替代内部装卸口、搭建、撤场、恢复检查的分钟级资源核对。这是基于公开政策与本地场景的分析推断，不是政策对软件功能的强制要求。[S2][L1]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研究限制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本轮未取得可直接核验的UFI最新报告全文，因此不引用其2026年预测比例。也未找到能支持“中国会展企业普遍依赖群消息和Excel”这一普及率判断的一手样本；相关问题仅保留为本地报告中的待验证假设。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二 商业产品能力与竞争位置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商业产品已覆盖排期、预约审批和运营协作。项目价值应落在本地交接规则、来源追溯和变更影响解释，而非仅增加一个日历页面。以下是厂商公开能力描述，不代表独立实施效果评测。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产品或路径</w:t>
            </w:r>
          </w:p>
        </w:tc>
        <w:tc>
          <w:tcPr>
            <w:tcW w:type="dxa" w:w="3969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已核实的公开能力</w:t>
            </w:r>
          </w:p>
        </w:tc>
        <w:tc>
          <w:tcPr>
            <w:tcW w:type="dxa" w:w="3969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与本项目的关系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Momentus Enterprise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支持多日多空间活动、占档与释放、变更追踪及审批、跨部门角色权限。[S4]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业务覆盖最接近完整场馆运营平台；需核查具体版本、导出接口与配置成本。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Skedda或AllBooked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按空间、用户标签或日期设置审批；请求可并存且不占用空间，审批后形成预约。[S5]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可借鉴“请求不等于确认”；不能直接替代本项目占档状态口径。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开源资源预约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LibreBooking支持多资源预约、候补、角色权限、使用报告。[G1]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可用于验证资源建模和时间冲突；变更确认链仍需适配。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定制只读工作台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按现有台账字段做版本比对、来源定位和提示。属于本报告建议。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最贴合当前只读边界，需单独承担规则、审计与维护。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商业方案应如何核验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Momentus把合同状态、空间状态、服务订单等纳入业务平台；从产品方向看可覆盖更长链条。[S4] 但本轮无权访问实际租户，无法判断接口可用性、国产化适配、部署地域、迁移工时和报价。采购前应使用本项目30样本做现场演示，要求逐条展示来源、版本、冲突原因及人工确认记录。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Skedda的待审批请求不进入已确认排期，多个冲突请求可以同时存在；审批功能也受套餐限制。[S5] 本项目应在内部工作台同时看见“意向、待确认、已确认”，并明确冲突等级，避免把看不见请求误解成没有冲突。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建议的差异化定位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把已有服务台、业务台账与文件库的只读导出连接起来，为同一申请建立一条可查证的变更链。优先解决“拿到哪个版本、哪些字段没确认、影响哪些资源、下一位谁接收”，再评估是否替换现有运营平台。[L1]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三 GitHub候选项目总览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检索覆盖 venue booking、exhibition management、pretalx，并按资源排期、版本发布、变更追踪和展示组件补充候选。通用运动场预约、纯界面示例、景区展示系统等搜索结果未进入主推荐。筛选是目的性抽样，不是GitHub全部项目排名。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984"/>
        <w:gridCol w:w="3118"/>
        <w:gridCol w:w="1814"/>
      </w:tblGrid>
      <w:tr>
        <w:trPr>
          <w:cantSplit/>
          <w:tblHeader/>
        </w:trPr>
        <w:tc>
          <w:tcPr>
            <w:tcW w:type="dxa" w:w="272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项目</w:t>
            </w:r>
          </w:p>
        </w:tc>
        <w:tc>
          <w:tcPr>
            <w:tcW w:type="dxa" w:w="1984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用途与主语言</w:t>
            </w:r>
          </w:p>
        </w:tc>
        <w:tc>
          <w:tcPr>
            <w:tcW w:type="dxa" w:w="3118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许可证核查</w:t>
            </w:r>
          </w:p>
        </w:tc>
        <w:tc>
          <w:tcPr>
            <w:tcW w:type="dxa" w:w="1814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最近推送日期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LibreBooking/librebooking</w:t>
            </w:r>
          </w:p>
        </w:tc>
        <w:tc>
          <w:tcPr>
            <w:tcW w:type="dxa" w:w="1984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资源预约</w:t>
              <w:br/>
              <w:t>PHP</w:t>
            </w:r>
          </w:p>
        </w:tc>
        <w:tc>
          <w:tcPr>
            <w:tcW w:type="dxa" w:w="311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GPL-3.0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2026-10-22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pretalx/pretalx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会议议程与发布</w:t>
              <w:br/>
              <w:t>Python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当前LICENSE为AGPLv3并附加条款；README仍写Apache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2026-10-23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opf/openproject</w:t>
            </w:r>
          </w:p>
        </w:tc>
        <w:tc>
          <w:tcPr>
            <w:tcW w:type="dxa" w:w="1984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项目及工作项管理</w:t>
              <w:br/>
              <w:t>Ruby</w:t>
            </w:r>
          </w:p>
        </w:tc>
        <w:tc>
          <w:tcPr>
            <w:tcW w:type="dxa" w:w="311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GPL-3.0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2026-10-22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fossasia/eventyay</w:t>
            </w:r>
          </w:p>
        </w:tc>
        <w:tc>
          <w:tcPr>
            <w:tcW w:type="dxa" w:w="19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活动运营平台</w:t>
              <w:br/>
              <w:t>Python</w:t>
            </w:r>
          </w:p>
        </w:tc>
        <w:tc>
          <w:tcPr>
            <w:tcW w:type="dxa" w:w="311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仓库元数据标识Apache-2.0；依赖另核</w:t>
            </w:r>
          </w:p>
        </w:tc>
        <w:tc>
          <w:tcPr>
            <w:tcW w:type="dxa" w:w="181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2026-10-22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fullcalendar/fullcalendar</w:t>
            </w:r>
          </w:p>
        </w:tc>
        <w:tc>
          <w:tcPr>
            <w:tcW w:type="dxa" w:w="1984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日历组件</w:t>
              <w:br/>
              <w:t>TypeScript</w:t>
            </w:r>
          </w:p>
        </w:tc>
        <w:tc>
          <w:tcPr>
            <w:tcW w:type="dxa" w:w="311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Standard为MIT；Premium另行授权</w:t>
            </w:r>
          </w:p>
        </w:tc>
        <w:tc>
          <w:tcPr>
            <w:tcW w:type="dxa" w:w="1814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2026-10-16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元数据为2026年10月23日查询快照，日期按GitHub返回的UTC日期记录。五个仓库查询时均未归档。“最近推送”可能包含自动更新或开发分支改动，不等于稳定版发布时间，也不证明生产可用性。[G1至G5]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功能适配判断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4422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项目</w:t>
            </w:r>
          </w:p>
        </w:tc>
        <w:tc>
          <w:tcPr>
            <w:tcW w:type="dxa" w:w="3515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最值得借鉴</w:t>
            </w:r>
          </w:p>
        </w:tc>
        <w:tc>
          <w:tcPr>
            <w:tcW w:type="dxa" w:w="4422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本项目需验证或适配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LibreBooking</w:t>
            </w:r>
          </w:p>
        </w:tc>
        <w:tc>
          <w:tcPr>
            <w:tcW w:type="dxa" w:w="351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资源占用、缓冲、预约冲突</w:t>
            </w:r>
          </w:p>
        </w:tc>
        <w:tc>
          <w:tcPr>
            <w:tcW w:type="dxa" w:w="442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有效版本、来源行、跨团队变更链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pretalx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草稿、版本发布、历史差异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场馆分区及装卸口资源规则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OpenProject</w:t>
            </w:r>
          </w:p>
        </w:tc>
        <w:tc>
          <w:tcPr>
            <w:tcW w:type="dxa" w:w="351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责任人、状态与工作项协作</w:t>
            </w:r>
          </w:p>
        </w:tc>
        <w:tc>
          <w:tcPr>
            <w:tcW w:type="dxa" w:w="442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场地时间冲突与只读数据导入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Eventyay</w:t>
            </w:r>
          </w:p>
        </w:tc>
        <w:tc>
          <w:tcPr>
            <w:tcW w:type="dxa" w:w="351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活动、议程及插件组织</w:t>
            </w:r>
          </w:p>
        </w:tc>
        <w:tc>
          <w:tcPr>
            <w:tcW w:type="dxa" w:w="442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场馆恢复检查和合同前交接口径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FullCalendar</w:t>
            </w:r>
          </w:p>
        </w:tc>
        <w:tc>
          <w:tcPr>
            <w:tcW w:type="dxa" w:w="351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月周日视图、前端集成</w:t>
            </w:r>
          </w:p>
        </w:tc>
        <w:tc>
          <w:tcPr>
            <w:tcW w:type="dxa" w:w="442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全部后台业务规则及审计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“需验证或适配”指本轮证据未证明其原生满足本项目要求，功能范围应结合选定版本确认。完整能力仍应通过配置与部署测试确认。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四 资源冲突与版本发布的源码证据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LibreBooking 资源排期的优先参考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README列有多资源预约、候补、角色访问控制与使用报告，部署采用PHP和MySQL或MariaDB，可使用Docker。[G1] 旧仓库地址 LibreBooking/app 已迁移至 LibreBooking/librebooking，选型记录应使用当前地址。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本轮读取 ReservationConflictIdentifier.php，确认其冲突识别遍历预约实例与关联资源，使用资源可用性策略查询时间区间，并考虑缓冲及最大并发数量。代码中存在管理员相关的缓冲处理分支，因此不可默认直接复用其默认行为来满足本项目“人工也不能绕过恢复检查”的规则。[G6]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可迁移的设计思路是“资源集合＋占用时间窗＋并发约束＋可解释冲突结果”；需要额外实现版本有效性、原始行定位、装卸口与展馆区域联动、待确认值区分。首轮建议研究模型与规则，不将完整预约写入链路接到业务系统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当前README明确提示7.1.0以前版本存在严重登录安全问题，并建议升级。若做部署验证，应选择修复后的正式版本并复核其依赖；本报告未安装或扫描，因此不宣称安全验收通过。[G1]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pretalx 版本机制的优先参考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README说明支持多房间、多日议程的构建、版本化与发布。schedule.py 定义一个活动拥有一份未发布排期及多份已发布排期，并保存版本号、发布时间、说明，以及前一版本与差异入口。[G2][G7] 这些结构很适合借鉴到“已确认基线＋变更草稿＋确认后形成新基线”。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适用限制是领域不同：演讲议程排期不能直接等同于场馆占档、合同审核或进撤场计划。应保留展会、场馆区域、共享资源与业务审批记录之间的独立关系。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授权核验中的实际分歧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查询当日，pretalx README末尾写有Apache授权，但根目录LICENSE及本轮读取的schedule.py文件头指向AGPLv3及附加条款。[G2][G7][G8] 本报告按具体LICENSE和文件声明记录，不将其归类为可无条件复制的Apache项目。若拟复制源码，先锁定版本并复核对应文件授权；当前建议优先借鉴设计。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五 变更协作与展示组件选型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OpenProject 适合参考变更工单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官方README列有项目计划、甘特图、任务、缺陷、协作及自托管社区版，也区分企业扩展。[G3] 可把一次需求变更映射为工作项，关联申请、接收岗位、截止时间和处置结果。但甘特图的任务依赖不能替代区域占用的时间冲突计算，完整访问审计与审批配置尚需实测。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Eventyay 适合参考活动平台组织方式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当前仓库已统一票务、征集、讲者、议程、视频等能力，README列有REST接口、插件和展览相关扩展。[G4] 本轮读取的开发分支采用Python、Django、PostgreSQL、Redis及Celery，覆盖面较大。若只做只读核对，直接部署整个平台会带来不必要的配置与维护工作；本轮未验证展览插件对场馆排期的覆盖深度。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FullCalendar 适合用作展示层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仓库提供可拖动日历及React、Vue、Angular等集成入口。[G5] 项目首版宜关闭直接拖动保存，点击日程时打开申请版本与来源。资源时间轴等功能应逐插件确认是否属于Premium，不能把Standard的MIT许可证扩展到所有高级组件。[S6]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102"/>
        <w:gridCol w:w="2268"/>
      </w:tblGrid>
      <w:tr>
        <w:trPr>
          <w:cantSplit/>
          <w:tblHeader/>
        </w:trPr>
        <w:tc>
          <w:tcPr>
            <w:tcW w:type="dxa" w:w="2268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实施路径</w:t>
            </w:r>
          </w:p>
        </w:tc>
        <w:tc>
          <w:tcPr>
            <w:tcW w:type="dxa" w:w="5102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本轮适配判断</w:t>
            </w:r>
          </w:p>
        </w:tc>
        <w:tc>
          <w:tcPr>
            <w:tcW w:type="dxa" w:w="2268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直接部署完整平台</w:t>
            </w:r>
          </w:p>
        </w:tc>
        <w:tc>
          <w:tcPr>
            <w:tcW w:type="dxa" w:w="510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能力广，但字段与流程差异明显；会超出只读试点</w:t>
            </w:r>
          </w:p>
        </w:tc>
        <w:tc>
          <w:tcPr>
            <w:tcW w:type="dxa" w:w="226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暂不作为首版前提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二次开发预约系统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资源能力较近，仍需适配变更和审计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完成真实样本映射后再评估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定制轻量工作台</w:t>
            </w:r>
          </w:p>
        </w:tc>
        <w:tc>
          <w:tcPr>
            <w:tcW w:type="dxa" w:w="510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最贴合只读、单批次与来源追溯边界</w:t>
            </w:r>
          </w:p>
        </w:tc>
        <w:tc>
          <w:tcPr>
            <w:tcW w:type="dxa" w:w="226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优先；借鉴开源设计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采购商业平台</w:t>
            </w:r>
          </w:p>
        </w:tc>
        <w:tc>
          <w:tcPr>
            <w:tcW w:type="dxa" w:w="51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可覆盖更长运营链路，价格和接口待核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保留对照演示与中长期选项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以上为需求适配判断，不是已完成的性能、成本或安全评分。四周安排只覆盖边界验证及最小原型，不承诺完成企业级系统上线。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六 将调查假设转成产品范围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本节沿用本地报告REQ-1至REQ-6的编号。优先级是试点建议，真实责任人应按岗位确认，不沿用合成人物姓名作为实施分工。[L1]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402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需求</w:t>
            </w:r>
          </w:p>
        </w:tc>
        <w:tc>
          <w:tcPr>
            <w:tcW w:type="dxa" w:w="4535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首版可交付能力</w:t>
            </w:r>
          </w:p>
        </w:tc>
        <w:tc>
          <w:tcPr>
            <w:tcW w:type="dxa" w:w="3402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证据及验证方式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REQ-1</w:t>
              <w:br/>
              <w:t>版本交接</w:t>
            </w:r>
          </w:p>
        </w:tc>
        <w:tc>
          <w:tcPr>
            <w:tcW w:type="dxa" w:w="453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统一申请编号；展示有效基线、草稿、未结项、接收岗位、截止时间</w:t>
            </w:r>
          </w:p>
        </w:tc>
        <w:tc>
          <w:tcPr>
            <w:tcW w:type="dxa" w:w="340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f01 f20 f24 f23；逐交接点回放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REQ-2</w:t>
              <w:br/>
              <w:t>冲突提示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列出冲突资源、区间、规则、来源与复核状态；不改变占档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f05 f14 f41 f44；与标注结果核对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REQ-3</w:t>
              <w:br/>
              <w:t>只读数据关联</w:t>
            </w:r>
          </w:p>
        </w:tc>
        <w:tc>
          <w:tcPr>
            <w:tcW w:type="dxa" w:w="453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导入脱敏导出文件；保留原行；缺失与未确认分开</w:t>
            </w:r>
          </w:p>
        </w:tc>
        <w:tc>
          <w:tcPr>
            <w:tcW w:type="dxa" w:w="340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f30至f34；检查重复、空值及断链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REQ-4</w:t>
              <w:br/>
              <w:t>跨团队口径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同一申请展示客户使用和恢复检查时间；交接双方确认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f50 f51 f53；同一原始记录对照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REQ-5</w:t>
              <w:br/>
              <w:t>审计留痕</w:t>
            </w:r>
          </w:p>
        </w:tc>
        <w:tc>
          <w:tcPr>
            <w:tcW w:type="dxa" w:w="453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保留查询版本、提示、复核人和结果；读取失败显示快照时间</w:t>
            </w:r>
          </w:p>
        </w:tc>
        <w:tc>
          <w:tcPr>
            <w:tcW w:type="dxa" w:w="340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f35 f43 f45；抽查完整事件链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REQ-6</w:t>
              <w:br/>
              <w:t>样本验收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固定30个标注样本、规则版本与回放结果；记录误报漏报</w:t>
            </w:r>
          </w:p>
        </w:tc>
        <w:tc>
          <w:tcPr>
            <w:tcW w:type="dxa" w:w="340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f02 f03 f42；业务与质量共同复核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首版边界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输入为一个批次的脱敏档期表、变更单及经授权的资源分区资料；输出为排期视图、冲突清单、版本差异和一页交接摘要。应用可以在独立试点库保存导入快照及复核记录，但不写回原业务系统，不调用外部消息、签约、锁档或执行接口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排除项包括自动承诺容量、自动优选商业档期、合同签署、资金结算、真实客户通知和跨企业资料自由访问。资源容量及可共享规则不完整时转为“待核查”，不能因无法计算而输出“无冲突”。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四来源收敛结果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Buyer与Operator目前仍是合成陈述，Brief缺少真实书面版本；本轮新增Industry证据，证明市场已有资源预约、版本发布和协作工具。这只补足了行业可行性视角，仍不能把整个需求标为“已被真实客户验证”。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七 建议架构与核心数据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推荐链路：只读导出 → 原始快照留存 → 字段标准化与质量检查 → 版本筛选 → 规则计算 → 工作台展示 → 人工复核记录 → 只读报告导出。首轮可以批量导入，不依赖生产接口。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25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对象</w:t>
            </w:r>
          </w:p>
        </w:tc>
        <w:tc>
          <w:tcPr>
            <w:tcW w:type="dxa" w:w="4025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最小字段</w:t>
            </w:r>
          </w:p>
        </w:tc>
        <w:tc>
          <w:tcPr>
            <w:tcW w:type="dxa" w:w="3912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关键约束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申请 Application</w:t>
            </w:r>
          </w:p>
        </w:tc>
        <w:tc>
          <w:tcPr>
            <w:tcW w:type="dxa" w:w="402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application_id、source_id、event_id、batch_id</w:t>
            </w:r>
          </w:p>
        </w:tc>
        <w:tc>
          <w:tcPr>
            <w:tcW w:type="dxa" w:w="391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内部ID与来源编号分开；缺少统一编号时建立经人工确认的映射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版本 Version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version_id、parent_id、状态、有效区间、发生时间、接收时间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原始快照不覆盖；乱序记录不按接收时间自动晋级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资源占用 Occupancy</w:t>
            </w:r>
          </w:p>
        </w:tc>
        <w:tc>
          <w:tcPr>
            <w:tcW w:type="dxa" w:w="402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resource_id、资源类型、开始结束、用途、容量口径</w:t>
            </w:r>
          </w:p>
        </w:tc>
        <w:tc>
          <w:tcPr>
            <w:tcW w:type="dxa" w:w="391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区域、装卸口、通道分别建模；同一展会可关联多条占用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变更 Change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change_id、基线版本、字段旧新值、原因、受影响对象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草稿不能替换已确认基线；新基线确认时校验父版本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交接 Handover</w:t>
            </w:r>
          </w:p>
        </w:tc>
        <w:tc>
          <w:tcPr>
            <w:tcW w:type="dxa" w:w="402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发送岗位、接收岗位、未结项、截止时间、确认记录</w:t>
            </w:r>
          </w:p>
        </w:tc>
        <w:tc>
          <w:tcPr>
            <w:tcW w:type="dxa" w:w="391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未确认责任不自动转移；保留退回及撤回原因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证据与审计 Evidence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来源文件标识、原行、快照哈希、规则版本、查询与复核事件</w:t>
            </w:r>
          </w:p>
        </w:tc>
        <w:tc>
          <w:tcPr>
            <w:tcW w:type="dxa" w:w="39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结果能够回到输入版本；保存访问与决策过程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有效版本如何确定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先按申请映射关联版本，再按业务认可的有效期与确认状态选择基线；收到新文件不代表已经生效。对同一时间存在多个已确认有效版本、父版本断链或来源相互矛盾的记录，进入人工队列，不通过文件名或最大时间戳猜测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技术实现建议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如团队无既定技术约束，可采用常用Web框架、关系数据库和独立规则模块，前端用标准日历组件。30样本试点先实现可回放的区间比较，无需优化求解器。AI可选用于提取变更描述及生成摘要，提取值标记待确认；日期运算、版本选择与正式结论使用确定性逻辑及人工复核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读取失败时保留上次快照并显示抓取时间和失败状态；原始文件与派生结果按权限访问。留存与删除期限需由真实项目负责人确认后配置，本报告不虚构期限。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八 冲突判定与变更流程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先定义占用时间再计算冲突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每个资源记录自己的占用区间，可分别包含进场搭建、客户使用、撤场、恢复检查。采用左闭右开区间［开始，结束），同一不可共享资源的两个有效区间满足 max(开始A，开始B) &lt; min(结束A，结束B) 时提示重叠。端点相接是否需要缓冲，必须先按经确认的规则扩展区间。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规则</w:t>
            </w:r>
          </w:p>
        </w:tc>
        <w:tc>
          <w:tcPr>
            <w:tcW w:type="dxa" w:w="3969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提示内容</w:t>
            </w:r>
          </w:p>
        </w:tc>
        <w:tc>
          <w:tcPr>
            <w:tcW w:type="dxa" w:w="3969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边界处理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区域互斥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同一展区或不可同时使用的分区发生重叠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需真实分区互斥表；不能仅比名称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共享资源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不同展会使用同一装卸口或通道且重叠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容量未知时提示待核查；不推断承载能力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恢复缓冲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客户延时导致撤场或恢复检查不足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缓冲值由运营确认，不硬编码通用分钟数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版本异常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过期来源、双有效版本或变更基线已变动</w:t>
            </w:r>
          </w:p>
        </w:tc>
        <w:tc>
          <w:tcPr>
            <w:tcW w:type="dxa" w:w="39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归入数据或版本异常，不混算物理冲突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缺项异常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时间、资源、确认状态缺失或单位不一致</w:t>
            </w:r>
          </w:p>
        </w:tc>
        <w:tc>
          <w:tcPr>
            <w:tcW w:type="dxa" w:w="39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进入人工队列，不默认无冲突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变更的处理链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提交变更草稿 → 绑定当前有效基线 → 展示字段差异及受影响资源 → 重算冲突 → 指定岗位复核 → 授权人员确认或退回 → 生成新有效版本与交接清单。试点中的“确认”只记录离线复核结论，不触发原系统占档、合同或对外承诺。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若复核期间另一份变更已形成新基线，本次草稿必须重新比对并复核；不得沿用旧基线的“无冲突”结论。撤回或作废同样保留原因和原记录。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合成示例 用于说明规则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活动A使用装卸口D的撤场区间为10月26日16时至18时；活动B的进场为17时30分至19时，规则应提示17时30分至18时重叠。若A把撤场延长到18时30分，则重新生成差异并计算重叠至18时30分。输出还需包含两份申请及版本、来源行、规则编号和待复核岗位。此例不是实际运营事件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九 四周试点安排与资源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原报告给定四周、两名业务骨干、每周投入不超过四小时，但未说明四小时为每人还是合计。[L1] 在确认前按业务协作每周合计不超过四小时规划；这不是开发预算。实施负责人、开发投入和基础设施费用需另行落实。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669"/>
        <w:gridCol w:w="2268"/>
      </w:tblGrid>
      <w:tr>
        <w:trPr>
          <w:cantSplit/>
          <w:tblHeader/>
        </w:trPr>
        <w:tc>
          <w:tcPr>
            <w:tcW w:type="dxa" w:w="170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阶段</w:t>
            </w:r>
          </w:p>
        </w:tc>
        <w:tc>
          <w:tcPr>
            <w:tcW w:type="dxa" w:w="5669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工作与可审查产物</w:t>
            </w:r>
          </w:p>
        </w:tc>
        <w:tc>
          <w:tcPr>
            <w:tcW w:type="dxa" w:w="2268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业务投入建议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第1周</w:t>
              <w:br/>
              <w:t>补齐口径</w:t>
            </w:r>
          </w:p>
        </w:tc>
        <w:tc>
          <w:tcPr>
            <w:tcW w:type="dxa" w:w="56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确认一个批次、书面Brief、授权范围、岗位映射；形成字段字典、冲突规则及30样本标注集</w:t>
            </w:r>
          </w:p>
        </w:tc>
        <w:tc>
          <w:tcPr>
            <w:tcW w:type="dxa" w:w="226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合计4小时内：样本与规则评审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第2周</w:t>
              <w:br/>
              <w:t>建立基线</w:t>
            </w:r>
          </w:p>
        </w:tc>
        <w:tc>
          <w:tcPr>
            <w:tcW w:type="dxa" w:w="56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完成导入、原行定位、版本与质量检查；交付首轮数据质量清单和有效版本列表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合计4小时内：核对字段与版本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第3周</w:t>
              <w:br/>
              <w:t>原型回放</w:t>
            </w:r>
          </w:p>
        </w:tc>
        <w:tc>
          <w:tcPr>
            <w:tcW w:type="dxa" w:w="5669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完成规则提示、版本差异、交接摘要；保存首轮回放与误报漏报原因</w:t>
            </w:r>
          </w:p>
        </w:tc>
        <w:tc>
          <w:tcPr>
            <w:tcW w:type="dxa" w:w="2268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合计4小时内：复核异常及调整规则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第4周</w:t>
              <w:br/>
              <w:t>冻结复验</w:t>
            </w:r>
          </w:p>
        </w:tc>
        <w:tc>
          <w:tcPr>
            <w:tcW w:type="dxa" w:w="566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冻结规则版本，复跑同一批样本；提交验收记录、已知限制及下一阶段建议</w:t>
            </w:r>
          </w:p>
        </w:tc>
        <w:tc>
          <w:tcPr>
            <w:tcW w:type="dxa" w:w="226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合计4小时内：联合验收评审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30样本建议构成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建议8例区域或分区冲突、6例共享资源冲突、4例恢复缓冲冲突、4例无冲突对照、4例时间或字段缺项、4例乱序版本及撤回场景，共30例。每例按主要测试目的归类，可有多个标签；这是建议配比，需以真实业务类型修订，不代表已有样本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由运营岗位给出预期结果和规则依据，质量岗位复核，数字化岗位保存输入版本和回放记录。发生分歧的样本先补充判定口径，不把系统结果当作标注答案。应保留若干未参与规则调整的样本，避免只验证已经反复调好的案例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阶段准入与停止条件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未获得脱敏样本授权、找不到正式确认岗位、时间口径无法对齐时，停留在合成数据演练。出现越权访问、旧版本覆盖新版本、来源不可追溯或自动执行业务动作时暂停试点并处理原因。质量岗位保留停止试点权利，真实岗位与升级方式应写入项目责任清单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十 验收口径与立项待办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932"/>
        <w:gridCol w:w="2665"/>
      </w:tblGrid>
      <w:tr>
        <w:trPr>
          <w:cantSplit/>
          <w:tblHeader/>
        </w:trPr>
        <w:tc>
          <w:tcPr>
            <w:tcW w:type="dxa" w:w="2041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指标</w:t>
            </w:r>
          </w:p>
        </w:tc>
        <w:tc>
          <w:tcPr>
            <w:tcW w:type="dxa" w:w="4932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计算与记录口径</w:t>
            </w:r>
          </w:p>
        </w:tc>
        <w:tc>
          <w:tcPr>
            <w:tcW w:type="dxa" w:w="2665"/>
            <w:vAlign w:val="center"/>
            <w:shd w:fill="193B52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  <w:lang w:val="zh-CN" w:eastAsia="zh-CN" w:bidi="zh-CN"/>
                <w:i w:val="0"/>
                <w:iCs w:val="0"/>
              </w:rPr>
              <w:t>本轮建议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已标注冲突召回</w:t>
            </w:r>
          </w:p>
        </w:tc>
        <w:tc>
          <w:tcPr>
            <w:tcW w:type="dxa" w:w="493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正确提示的标注冲突数 ÷ 全部标注冲突数</w:t>
            </w:r>
          </w:p>
        </w:tc>
        <w:tc>
          <w:tcPr>
            <w:tcW w:type="dxa" w:w="266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30样本内识别全部已标注冲突；不外推为生产100%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误报与漏报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误报按非标注冲突提示逐条复核；漏报登记影响资源与原因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分别披露计数、分母和类别；误报阈值待签字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来源关联完整率</w:t>
            </w:r>
          </w:p>
        </w:tc>
        <w:tc>
          <w:tcPr>
            <w:tcW w:type="dxa" w:w="493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可定位输入版本与原行的结果数 ÷ 全部结果数</w:t>
            </w:r>
          </w:p>
        </w:tc>
        <w:tc>
          <w:tcPr>
            <w:tcW w:type="dxa" w:w="266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建议100%，包括缺项和异常结果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人工复核完整率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有复核人、时间和结论的结果数 ÷ 应复核结果数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建议100%，无确认不能视为闭环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处理工时与返工</w:t>
            </w:r>
          </w:p>
        </w:tc>
        <w:tc>
          <w:tcPr>
            <w:tcW w:type="dxa" w:w="4932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同一口径记录实际核对分钟、交接补核次数</w:t>
            </w:r>
          </w:p>
        </w:tc>
        <w:tc>
          <w:tcPr>
            <w:tcW w:type="dxa" w:w="2665"/>
            <w:vAlign w:val="center"/>
            <w:shd w:fill="F0F4F7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先测真实基线，再与辅助处理比较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只读与版本控制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写回及外部动作次数；旧版本误覆盖次数</w:t>
            </w:r>
          </w:p>
        </w:tc>
        <w:tc>
          <w:tcPr>
            <w:tcW w:type="dxa" w:w="26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rFonts w:ascii="Microsoft YaHei" w:hAnsi="Microsoft YaHei" w:eastAsia="Microsoft YaHei" w:cs="Microsoft YaHei"/>
                <w:sz w:val="18"/>
                <w:lang w:val="zh-CN" w:eastAsia="zh-CN" w:bidi="zh-CN"/>
                <w:i w:val="0"/>
                <w:iCs w:val="0"/>
              </w:rPr>
              <w:t>均为0；至少回放一次读取失败与乱序输入</w:t>
            </w:r>
          </w:p>
        </w:tc>
      </w:tr>
    </w:tbl>
    <w:p>
      <w:pPr>
        <w:keepNext/>
        <w:widowControl w:val="0"/>
        <w:spacing w:after="40" w:before="0" w:line="40" w:lineRule="exact"/>
      </w:pP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“全部已标注冲突识别”来自本地演练标准，其余阈值是实施建议。[L1] 冲突数应按资源、规则和版本组合去重，不能用30个样本数直接代替冲突数。无标注冲突的测试集不得报告召回率为100%。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收益评估的正确起点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地虚构基线45单×35分钟＝1575分钟，即26.25小时／月，只能说明计算方式，不能写入企业收益承诺。真实收益应以授权样本测得的“原核对耗时－辅助核对与复核耗时”计算，同时扣除维护、标注、异常处置和培训投入；本轮不提供ROI或采购回本期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启动前必须补齐的事项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业务负责人确认正式Brief、单批次范围及批准岗位；运营确认资源层级、互斥、缓冲与容量；质量确认样本标注、审计字段、访问范围、留存删除和异常升级；数字化确认三类工具的只读导出、编号映射与版本字段；项目负责人落实开发资源并澄清每周四小时的口径。</w:t>
      </w:r>
    </w:p>
    <w:p>
      <w:pPr>
        <w:pStyle w:val="Heading2"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建议的立项决定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可以启动有边界的可行性验证，并以“只读数据关联、确定性冲突提示、版本及确认链”作为最小范围。完成真实样本复核和四周演练后，再决定轻量自建、二次开发或采购。当前证据不足以承诺全量上线时间、效率提升幅度或系统替换范围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参考资料 行业与产品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以下链接均于2026年10月23日访问。正文使用方括号编号关联来源；原始网站及默认分支会继续变化。公开产品能力按厂商说明记录，适用性分析与实施建议由本报告推导。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[L1] 本地业务需求发现报告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仓库来源：data/source/discovery-report.md。合成访谈与需求假设；引用f编号均为dlg-venue-schedule-f编号的简写。</w:t>
      </w:r>
    </w:p>
    <w:p>
      <w:pPr>
        <w:spacing w:after="180"/>
      </w:pPr>
      <w:hyperlink r:id="rId11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[S1] 中国贸促会 中国展览经济发展报告2025发布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发布页2026-01-28；统计覆盖2025年。</w:t>
      </w:r>
    </w:p>
    <w:p>
      <w:pPr>
        <w:spacing w:after="180"/>
      </w:pPr>
      <w:hyperlink r:id="rId12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[S1a] 中国贸促会 中国展览经济发展报告2025中英文下载页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2026-01-26；本报告量化引用依据S1发布说明。</w:t>
      </w:r>
    </w:p>
    <w:p>
      <w:pPr>
        <w:spacing w:after="180"/>
      </w:pPr>
      <w:hyperlink r:id="rId13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[S2] 上海MICE产业高质量发展三年行动方案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沪商会展〔2026〕143号；2026-05-26印发，页面2026-06-03。</w:t>
      </w:r>
    </w:p>
    <w:p>
      <w:pPr>
        <w:spacing w:after="180"/>
      </w:pPr>
      <w:hyperlink r:id="rId14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[S3] 上海市政府 第十二届上交会成绩单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页面正文日期2026-06-13；数据为该次活动。</w:t>
      </w:r>
    </w:p>
    <w:p>
      <w:pPr>
        <w:spacing w:after="180"/>
      </w:pPr>
      <w:hyperlink r:id="rId15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[S4] Momentus Answers 官方平台能力说明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页面注明2026年5月更新；引用Enterprise能力。</w:t>
      </w:r>
    </w:p>
    <w:p>
      <w:pPr>
        <w:spacing w:after="180"/>
      </w:pPr>
      <w:hyperlink r:id="rId16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[S5] Skedda Booking Requests and Approvals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官方帮助文档2026-07-07；含套餐与请求状态限制。</w:t>
      </w:r>
    </w:p>
    <w:p>
      <w:pPr>
        <w:spacing w:after="180"/>
      </w:pPr>
      <w:hyperlink r:id="rId17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[S6] FullCalendar License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Standard与Premium分别授权；部署前按选定版本复核。</w:t>
      </w:r>
    </w:p>
    <w:p>
      <w:pPr>
        <w:pStyle w:val="Heading1"/>
        <w:pageBreakBefore/>
      </w:pPr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参考资料 GitHub与核验记录</w:t>
      </w:r>
    </w:p>
    <w:p>
      <w:pPr>
        <w:spacing w:after="180"/>
      </w:pPr>
      <w:hyperlink r:id="rId18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[G1] LibreBooking 当前仓库与README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元数据：PHP、GPL-3.0、未归档；README及安全提示已读取。</w:t>
      </w:r>
    </w:p>
    <w:p>
      <w:pPr>
        <w:spacing w:after="180"/>
      </w:pPr>
      <w:hyperlink r:id="rId19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[G2] pretalx README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核实版本发布、技术栈与插件；授权描述与LICENSE不一致。</w:t>
      </w:r>
    </w:p>
    <w:p>
      <w:pPr>
        <w:spacing w:after="180"/>
      </w:pPr>
      <w:hyperlink r:id="rId20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[G3] OpenProject README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核实项目管理、社区版与企业扩展；未验证各功能的具体版本边界。</w:t>
      </w:r>
    </w:p>
    <w:p>
      <w:pPr>
        <w:spacing w:after="180"/>
      </w:pPr>
      <w:hyperlink r:id="rId21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[G4] Eventyay README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核实统一平台、技术栈、分支与插件说明；元数据标识Apache-2.0。</w:t>
      </w:r>
    </w:p>
    <w:p>
      <w:pPr>
        <w:spacing w:after="180"/>
      </w:pPr>
      <w:hyperlink r:id="rId22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[G5] FullCalendar README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核实组件定位、集成与项目结构；高级功能许可证见S6。</w:t>
      </w:r>
    </w:p>
    <w:p>
      <w:pPr>
        <w:spacing w:after="180"/>
      </w:pPr>
      <w:hyperlink r:id="rId23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[G6] LibreBooking 冲突识别源码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本轮读取1至170行；文件SHA 3bab4c2fb8e2db013c5f9d14a36522ca251ed59f。</w:t>
      </w:r>
    </w:p>
    <w:p>
      <w:pPr>
        <w:spacing w:after="180"/>
      </w:pPr>
      <w:hyperlink r:id="rId24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[G7] pretalx 排期版本模型源码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本轮读取1至125行；文件SHA a2250c654c616678a59e11dbd0d8469103006530。</w:t>
      </w:r>
    </w:p>
    <w:p>
      <w:pPr>
        <w:spacing w:after="180"/>
      </w:pPr>
      <w:hyperlink r:id="rId25">
        <w:r>
          <w:rPr>
            <w:rFonts w:ascii="Microsoft YaHei" w:hAnsi="Microsoft YaHei" w:eastAsia="Microsoft YaHei" w:cs="Microsoft YaHei"/>
            <w:color w:val="245B78"/>
            <w:lang w:val="zh-CN" w:eastAsia="zh-CN" w:bidi="zh-CN"/>
            <w:i w:val="0"/>
            <w:iCs w:val="0"/>
          </w:rPr>
          <w:t>[G8] pretalx 当前LICENSE</w:t>
        </w:r>
      </w:hyperlink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本轮读取前80行；文件SHA 0276f493966e7b9b831030a8c3ba1d35961db404。</w:t>
      </w:r>
    </w:p>
    <w:p>
      <w:r>
        <w:rPr>
          <w:rFonts w:ascii="Microsoft YaHei" w:hAnsi="Microsoft YaHei" w:eastAsia="Microsoft YaHei" w:cs="Microsoft YaHei"/>
          <w:lang w:val="zh-CN" w:eastAsia="zh-CN" w:bidi="zh-CN"/>
          <w:i w:val="0"/>
          <w:iCs w:val="0"/>
        </w:rPr>
        <w:t>核验深度说明：已做仓库元数据和文档审阅，以及G6、G7的限定范围源码检查；没有执行安装、漏洞扫描、性能测试或业务验收。许可证信息用于选型记录，实际复用以锁定版本的完整授权文件和依赖清单为准。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sz w:val="16"/>
        <w:lang w:val="zh-CN" w:eastAsia="zh-CN" w:bidi="zh-CN"/>
        <w:i w:val="0"/>
        <w:iCs w:val="0"/>
      </w:rPr>
      <w:t xml:space="preserve">调研截止 2026年10月23日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Microsoft YaHei" w:hAnsi="Microsoft YaHei" w:eastAsia="Microsoft YaHei" w:cs="Microsoft YaHei"/>
        <w:sz w:val="16"/>
        <w:lang w:val="zh-CN" w:eastAsia="zh-CN" w:bidi="zh-CN"/>
        <w:i w:val="0"/>
        <w:iCs w:val="0"/>
      </w:rPr>
      <w:t>项目研究  /  展会排期与需求变更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Microsoft YaHei" w:hAnsi="Microsoft YaHei" w:eastAsia="Microsoft YaHei" w:cs="Microsoft YaHei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Microsoft YaHei" w:hAnsi="Microsoft YaHei" w:eastAsia="Microsoft YaHei" w:cs="Microsoft YaHei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 w:cs="Microsoft YaHei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Microsoft YaHei" w:hAnsi="Microsoft YaHei" w:eastAsia="Microsoft YaHei" w:cs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Microsoft YaHei" w:hAnsi="Microsoft YaHei" w:eastAsia="Microsoft YaHei" w:cs="Microsoft YaHei"/>
      <w:i w:val="0"/>
      <w:color w:val="000000"/>
      <w:sz w:val="21"/>
      <w:lang w:val="zh-CN" w:eastAsia="zh-CN" w:bidi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69" w:lineRule="auto"/>
    </w:pPr>
    <w:rPr>
      <w:rFonts w:ascii="Microsoft YaHei" w:hAnsi="Microsoft YaHei" w:eastAsia="Microsoft YaHei" w:cs="Microsoft YaHei"/>
      <w:i w:val="0"/>
      <w:color w:val="000000"/>
      <w:sz w:val="16"/>
      <w:lang w:val="zh-CN" w:eastAsia="zh-CN" w:bidi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  <w:lang w:val="zh-CN" w:eastAsia="zh-CN" w:bidi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20" w:line="269" w:lineRule="auto"/>
    </w:pPr>
    <w:rPr>
      <w:rFonts w:ascii="Microsoft YaHei" w:hAnsi="Microsoft YaHei" w:eastAsia="Microsoft YaHei" w:cs="Microsoft YaHei"/>
      <w:i w:val="0"/>
      <w:color w:val="000000"/>
      <w:sz w:val="16"/>
      <w:lang w:val="zh-CN" w:eastAsia="zh-CN" w:bidi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  <w:lang w:val="zh-CN" w:eastAsia="zh-CN" w:bidi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280" w:line="269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6"/>
      <w:szCs w:val="28"/>
      <w:lang w:val="zh-CN" w:eastAsia="zh-CN" w:bidi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 w:line="269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6"/>
      <w:lang w:val="zh-CN" w:eastAsia="zh-CN" w:bidi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 w:line="269" w:lineRule="auto"/>
      <w:outlineLvl w:val="2"/>
    </w:pPr>
    <w:rPr>
      <w:rFonts w:ascii="Microsoft YaHei" w:hAnsi="Microsoft YaHei" w:eastAsia="Microsoft YaHei" w:cs="Microsoft YaHei"/>
      <w:b/>
      <w:bCs/>
      <w:i w:val="0"/>
      <w:color w:val="000000"/>
      <w:sz w:val="22"/>
      <w:lang w:val="zh-CN" w:eastAsia="zh-CN" w:bidi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3"/>
    </w:pPr>
    <w:rPr>
      <w:rFonts w:ascii="Microsoft YaHei" w:hAnsi="Microsoft YaHei" w:eastAsia="Microsoft YaHei" w:cs="Microsoft YaHei"/>
      <w:b/>
      <w:bCs/>
      <w:i w:val="0"/>
      <w:iCs/>
      <w:color w:val="4F81BD" w:themeColor="accent1"/>
      <w:lang w:val="zh-CN" w:eastAsia="zh-CN" w:bidi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4"/>
    </w:pPr>
    <w:rPr>
      <w:rFonts w:ascii="Microsoft YaHei" w:hAnsi="Microsoft YaHei" w:eastAsia="Microsoft YaHei" w:cs="Microsoft YaHei"/>
      <w:i w:val="0"/>
      <w:color w:val="243F60" w:themeColor="accent1" w:themeShade="7F"/>
      <w:lang w:val="zh-CN" w:eastAsia="zh-CN" w:bidi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5"/>
    </w:pPr>
    <w:rPr>
      <w:rFonts w:ascii="Microsoft YaHei" w:hAnsi="Microsoft YaHei" w:eastAsia="Microsoft YaHei" w:cs="Microsoft YaHei"/>
      <w:i w:val="0"/>
      <w:iCs/>
      <w:color w:val="243F60" w:themeColor="accent1" w:themeShade="7F"/>
      <w:lang w:val="zh-CN" w:eastAsia="zh-CN" w:bidi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6"/>
    </w:pPr>
    <w:rPr>
      <w:rFonts w:ascii="Microsoft YaHei" w:hAnsi="Microsoft YaHei" w:eastAsia="Microsoft YaHei" w:cs="Microsoft YaHei"/>
      <w:i w:val="0"/>
      <w:iCs/>
      <w:color w:val="404040" w:themeColor="text1" w:themeTint="BF"/>
      <w:lang w:val="zh-CN" w:eastAsia="zh-CN" w:bidi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7"/>
    </w:pPr>
    <w:rPr>
      <w:rFonts w:ascii="Microsoft YaHei" w:hAnsi="Microsoft YaHei" w:eastAsia="Microsoft YaHei" w:cs="Microsoft YaHei"/>
      <w:i w:val="0"/>
      <w:color w:val="4F81BD" w:themeColor="accent1"/>
      <w:sz w:val="20"/>
      <w:szCs w:val="20"/>
      <w:lang w:val="zh-CN" w:eastAsia="zh-CN" w:bidi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widowControl/>
      <w:spacing w:before="200" w:after="0"/>
      <w:outlineLvl w:val="8"/>
    </w:pPr>
    <w:rPr>
      <w:rFonts w:ascii="Microsoft YaHei" w:hAnsi="Microsoft YaHei" w:eastAsia="Microsoft YaHei" w:cs="Microsoft YaHei"/>
      <w:i w:val="0"/>
      <w:iCs/>
      <w:color w:val="404040" w:themeColor="text1" w:themeTint="BF"/>
      <w:sz w:val="20"/>
      <w:szCs w:val="20"/>
      <w:lang w:val="zh-CN" w:eastAsia="zh-CN" w:bidi="zh-CN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  <w:lang w:val="zh-CN" w:eastAsia="zh-CN" w:bidi="zh-CN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 w:cs="Microsoft YaHei"/>
      <w:lang w:val="zh-CN" w:eastAsia="zh-CN" w:bidi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Microsoft YaHei" w:hAnsi="Microsoft YaHei" w:eastAsia="Microsoft YaHei" w:cs="Microsoft YaHei"/>
      <w:lang w:val="zh-CN" w:eastAsia="zh-CN" w:bidi="zh-CN"/>
    </w:rPr>
  </w:style>
  <w:style w:type="paragraph" w:styleId="NoSpacing">
    <w:name w:val="No Spacing"/>
    <w:uiPriority w:val="1"/>
    <w:qFormat/>
    <w:rsid w:val="00FC693F"/>
    <w:pPr>
      <w:widowControl/>
      <w:spacing w:after="0" w:line="240" w:lineRule="auto"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  <w:lang w:val="zh-CN" w:eastAsia="zh-CN" w:bidi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sz w:val="26"/>
      <w:szCs w:val="26"/>
      <w:lang w:val="zh-CN" w:eastAsia="zh-CN" w:bidi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color w:val="4F81BD" w:themeColor="accent1"/>
      <w:lang w:val="zh-CN" w:eastAsia="zh-CN" w:bidi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69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50"/>
      <w:szCs w:val="52"/>
      <w:lang w:val="zh-CN" w:eastAsia="zh-CN" w:bidi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  <w:lang w:val="zh-CN" w:eastAsia="zh-CN" w:bidi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69" w:lineRule="auto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lang w:val="zh-CN" w:eastAsia="zh-CN" w:bidi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  <w:lang w:val="zh-CN" w:eastAsia="zh-CN" w:bidi="zh-CN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ind w:left="72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  <w:lang w:val="zh-CN" w:eastAsia="zh-CN" w:bidi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widowControl/>
      <w:spacing w:after="120" w:line="480" w:lineRule="auto"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  <w:lang w:val="zh-CN" w:eastAsia="zh-CN" w:bidi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widowControl/>
      <w:spacing w:after="120"/>
    </w:pPr>
    <w:rPr>
      <w:rFonts w:ascii="Microsoft YaHei" w:hAnsi="Microsoft YaHei" w:eastAsia="Microsoft YaHei" w:cs="Microsoft YaHei"/>
      <w:i w:val="0"/>
      <w:sz w:val="16"/>
      <w:szCs w:val="16"/>
      <w:lang w:val="zh-CN" w:eastAsia="zh-CN" w:bidi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  <w:lang w:val="zh-CN" w:eastAsia="zh-CN" w:bidi="zh-CN"/>
    </w:rPr>
  </w:style>
  <w:style w:type="paragraph" w:styleId="List">
    <w:name w:val="List"/>
    <w:basedOn w:val="Normal"/>
    <w:uiPriority w:val="99"/>
    <w:unhideWhenUsed/>
    <w:rsid w:val="00AA1D8D"/>
    <w:pPr>
      <w:widowControl/>
      <w:ind w:left="360" w:hanging="36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2">
    <w:name w:val="List 2"/>
    <w:basedOn w:val="Normal"/>
    <w:uiPriority w:val="99"/>
    <w:unhideWhenUsed/>
    <w:rsid w:val="00326F90"/>
    <w:pPr>
      <w:widowControl/>
      <w:ind w:left="720" w:hanging="36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3">
    <w:name w:val="List 3"/>
    <w:basedOn w:val="Normal"/>
    <w:uiPriority w:val="99"/>
    <w:unhideWhenUsed/>
    <w:rsid w:val="00326F90"/>
    <w:pPr>
      <w:widowControl/>
      <w:ind w:left="1080" w:hanging="36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Bullet2">
    <w:name w:val="List Bullet 2"/>
    <w:basedOn w:val="Normal"/>
    <w:uiPriority w:val="99"/>
    <w:unhideWhenUsed/>
    <w:rsid w:val="00326F90"/>
    <w:pPr>
      <w:widowControl/>
      <w:numPr>
        <w:numId w:val="2"/>
      </w:numPr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Bullet3">
    <w:name w:val="List Bullet 3"/>
    <w:basedOn w:val="Normal"/>
    <w:uiPriority w:val="99"/>
    <w:unhideWhenUsed/>
    <w:rsid w:val="00326F90"/>
    <w:pPr>
      <w:widowControl/>
      <w:numPr>
        <w:numId w:val="3"/>
      </w:numPr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Number2">
    <w:name w:val="List Number 2"/>
    <w:basedOn w:val="Normal"/>
    <w:uiPriority w:val="99"/>
    <w:unhideWhenUsed/>
    <w:rsid w:val="0029639D"/>
    <w:pPr>
      <w:widowControl/>
      <w:numPr>
        <w:numId w:val="6"/>
      </w:numPr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Number3">
    <w:name w:val="List Number 3"/>
    <w:basedOn w:val="Normal"/>
    <w:uiPriority w:val="99"/>
    <w:unhideWhenUsed/>
    <w:rsid w:val="0029639D"/>
    <w:pPr>
      <w:widowControl/>
      <w:numPr>
        <w:numId w:val="7"/>
      </w:numPr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Continue">
    <w:name w:val="List Continue"/>
    <w:basedOn w:val="Normal"/>
    <w:uiPriority w:val="99"/>
    <w:unhideWhenUsed/>
    <w:rsid w:val="0029639D"/>
    <w:pPr>
      <w:widowControl/>
      <w:spacing w:after="120"/>
      <w:ind w:left="36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Continue2">
    <w:name w:val="List Continue 2"/>
    <w:basedOn w:val="Normal"/>
    <w:uiPriority w:val="99"/>
    <w:unhideWhenUsed/>
    <w:rsid w:val="0029639D"/>
    <w:pPr>
      <w:widowControl/>
      <w:spacing w:after="120"/>
      <w:ind w:left="72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ListContinue3">
    <w:name w:val="List Continue 3"/>
    <w:basedOn w:val="Normal"/>
    <w:uiPriority w:val="99"/>
    <w:unhideWhenUsed/>
    <w:rsid w:val="0029639D"/>
    <w:pPr>
      <w:widowControl/>
      <w:spacing w:after="120"/>
      <w:ind w:left="1080"/>
      <w:contextualSpacing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i w:val="0"/>
      <w:sz w:val="20"/>
      <w:szCs w:val="20"/>
      <w:lang w:val="zh-CN" w:eastAsia="zh-CN" w:bidi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  <w:lang w:val="zh-CN" w:eastAsia="zh-CN" w:bidi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</w:pPr>
    <w:rPr>
      <w:rFonts w:ascii="Microsoft YaHei" w:hAnsi="Microsoft YaHei" w:eastAsia="Microsoft YaHei" w:cs="Microsoft YaHei"/>
      <w:i w:val="0"/>
      <w:iCs/>
      <w:color w:val="000000" w:themeColor="text1"/>
      <w:lang w:val="zh-CN" w:eastAsia="zh-CN" w:bidi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  <w:lang w:val="zh-CN" w:eastAsia="zh-CN" w:bidi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  <w:lang w:val="zh-CN" w:eastAsia="zh-CN" w:bidi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icrosoft YaHei" w:hAnsi="Microsoft YaHei" w:eastAsia="Microsoft YaHei" w:cs="Microsoft YaHei"/>
      <w:color w:val="243F60" w:themeColor="accent1" w:themeShade="7F"/>
      <w:lang w:val="zh-CN" w:eastAsia="zh-CN" w:bidi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icrosoft YaHei" w:hAnsi="Microsoft YaHei" w:eastAsia="Microsoft YaHei" w:cs="Microsoft YaHei"/>
      <w:i/>
      <w:iCs/>
      <w:color w:val="243F60" w:themeColor="accent1" w:themeShade="7F"/>
      <w:lang w:val="zh-CN" w:eastAsia="zh-CN" w:bidi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lang w:val="zh-CN" w:eastAsia="zh-CN" w:bidi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icrosoft YaHei" w:hAnsi="Microsoft YaHei" w:eastAsia="Microsoft YaHei" w:cs="Microsoft YaHei"/>
      <w:color w:val="4F81BD" w:themeColor="accent1"/>
      <w:sz w:val="20"/>
      <w:szCs w:val="20"/>
      <w:lang w:val="zh-CN" w:eastAsia="zh-CN" w:bidi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icrosoft YaHei" w:hAnsi="Microsoft YaHei" w:eastAsia="Microsoft YaHei" w:cs="Microsoft YaHei"/>
      <w:i/>
      <w:iCs/>
      <w:color w:val="404040" w:themeColor="text1" w:themeTint="BF"/>
      <w:sz w:val="20"/>
      <w:szCs w:val="20"/>
      <w:lang w:val="zh-CN" w:eastAsia="zh-CN" w:bidi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Microsoft YaHei" w:hAnsi="Microsoft YaHei" w:eastAsia="Microsoft YaHei" w:cs="Microsoft YaHei"/>
      <w:b/>
      <w:bCs/>
      <w:i w:val="0"/>
      <w:color w:val="4F81BD" w:themeColor="accent1"/>
      <w:sz w:val="18"/>
      <w:szCs w:val="18"/>
      <w:lang w:val="zh-CN" w:eastAsia="zh-CN" w:bidi="zh-CN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  <w:lang w:val="zh-CN" w:eastAsia="zh-CN" w:bidi="zh-CN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  <w:lang w:val="zh-CN" w:eastAsia="zh-CN" w:bidi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widowControl/>
      <w:spacing w:before="200" w:after="280"/>
      <w:ind w:left="936" w:right="936"/>
    </w:pPr>
    <w:rPr>
      <w:rFonts w:ascii="Microsoft YaHei" w:hAnsi="Microsoft YaHei" w:eastAsia="Microsoft YaHei" w:cs="Microsoft YaHei"/>
      <w:b/>
      <w:bCs/>
      <w:i w:val="0"/>
      <w:iCs/>
      <w:color w:val="4F81BD" w:themeColor="accent1"/>
      <w:lang w:val="zh-CN" w:eastAsia="zh-CN" w:bidi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  <w:lang w:val="zh-CN" w:eastAsia="zh-CN" w:bidi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  <w:lang w:val="zh-CN" w:eastAsia="zh-CN" w:bidi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  <w:lang w:val="zh-CN" w:eastAsia="zh-CN" w:bidi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  <w:lang w:val="zh-CN" w:eastAsia="zh-CN" w:bidi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  <w:lang w:val="zh-CN" w:eastAsia="zh-CN" w:bidi="zh-CN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  <w:lang w:val="zh-CN" w:eastAsia="zh-CN" w:bidi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widowControl/>
      <w:outlineLvl w:val="9"/>
    </w:pPr>
    <w:rPr>
      <w:rFonts w:ascii="Microsoft YaHei" w:hAnsi="Microsoft YaHei" w:eastAsia="Microsoft YaHei" w:cs="Microsoft YaHei"/>
      <w:i w:val="0"/>
      <w:lang w:val="zh-CN" w:eastAsia="zh-CN" w:bidi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000000" w:themeColor="text1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65F91" w:themeColor="accent1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943634" w:themeColor="accent2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76923C" w:themeColor="accent3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5F497A" w:themeColor="accent4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31849B" w:themeColor="accent5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 w:cs="Microsoft YaHei"/>
      <w:color w:val="E36C0A" w:themeColor="accent6" w:themeShade="BF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icrosoft YaHei" w:hAnsi="Microsoft YaHei" w:eastAsia="Microsoft YaHei" w:cs="Microsoft YaHe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icrosoft YaHei" w:hAnsi="Microsoft YaHei" w:eastAsia="Microsoft YaHei" w:cs="Microsoft YaHei"/>
        <w:b/>
        <w:bCs/>
      </w:rPr>
    </w:tblStylePr>
    <w:tblStylePr w:type="lastCol">
      <w:rPr>
        <w:rFonts w:ascii="Microsoft YaHei" w:hAnsi="Microsoft YaHei" w:eastAsia="Microsoft YaHei" w:cs="Microsoft YaHe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icrosoft YaHei" w:hAnsi="Microsoft YaHei" w:eastAsia="Microsoft YaHei" w:cs="Microsoft YaHe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 w:cs="Microsoft YaHei"/>
      <w:lang w:val="zh-CN" w:eastAsia="zh-CN" w:bidi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 w:cs="Microsoft YaHei"/>
      <w:color w:val="FFFFFF" w:themeColor="background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 w:cs="Microsoft YaHei"/>
      <w:color w:val="000000" w:themeColor="text1"/>
      <w:lang w:val="zh-CN" w:eastAsia="zh-CN" w:bidi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hibition.ccpit.org/articles/6397" TargetMode="External"/><Relationship Id="rId12" Type="http://schemas.openxmlformats.org/officeDocument/2006/relationships/hyperlink" Target="https://exhibition.ccpit.org/articles/6391" TargetMode="External"/><Relationship Id="rId13" Type="http://schemas.openxmlformats.org/officeDocument/2006/relationships/hyperlink" Target="https://desk.sh.gov.cn/zxfw/zcfg/dfzh/20260603/3f9cf5e437ce4a5b94645a2d84a895a7.html" TargetMode="External"/><Relationship Id="rId14" Type="http://schemas.openxmlformats.org/officeDocument/2006/relationships/hyperlink" Target="https://www.shanghai.gov.cn/nw31406/20260615/a1bae05632b74d8d953331ee35ceb540.html" TargetMode="External"/><Relationship Id="rId15" Type="http://schemas.openxmlformats.org/officeDocument/2006/relationships/hyperlink" Target="https://gomomentus.com/momentus-answers" TargetMode="External"/><Relationship Id="rId16" Type="http://schemas.openxmlformats.org/officeDocument/2006/relationships/hyperlink" Target="https://support.skedda.com/en/articles/11774950-booking-requests-approvals" TargetMode="External"/><Relationship Id="rId17" Type="http://schemas.openxmlformats.org/officeDocument/2006/relationships/hyperlink" Target="https://fullcalendar.io/license" TargetMode="External"/><Relationship Id="rId18" Type="http://schemas.openxmlformats.org/officeDocument/2006/relationships/hyperlink" Target="https://github.com/LibreBooking/librebooking" TargetMode="External"/><Relationship Id="rId19" Type="http://schemas.openxmlformats.org/officeDocument/2006/relationships/hyperlink" Target="https://github.com/pretalx/pretalx/blob/main/README.rst" TargetMode="External"/><Relationship Id="rId20" Type="http://schemas.openxmlformats.org/officeDocument/2006/relationships/hyperlink" Target="https://github.com/opf/openproject/blob/dev/README.md" TargetMode="External"/><Relationship Id="rId21" Type="http://schemas.openxmlformats.org/officeDocument/2006/relationships/hyperlink" Target="https://github.com/fossasia/eventyay/blob/dev/README.rst" TargetMode="External"/><Relationship Id="rId22" Type="http://schemas.openxmlformats.org/officeDocument/2006/relationships/hyperlink" Target="https://github.com/fullcalendar/fullcalendar/blob/main/README.md" TargetMode="External"/><Relationship Id="rId23" Type="http://schemas.openxmlformats.org/officeDocument/2006/relationships/hyperlink" Target="https://github.com/LibreBooking/librebooking/blob/develop/lib/Application/Reservation/ReservationConflictIdentifier.php" TargetMode="External"/><Relationship Id="rId24" Type="http://schemas.openxmlformats.org/officeDocument/2006/relationships/hyperlink" Target="https://github.com/pretalx/pretalx/blob/main/src/pretalx/schedule/models/schedule.py" TargetMode="External"/><Relationship Id="rId25" Type="http://schemas.openxmlformats.org/officeDocument/2006/relationships/hyperlink" Target="https://github.com/pretalx/pretalx/blob/main/LICEN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icrosoft YaHei"/>
        <a:ea typeface="Microsoft YaHei"/>
        <a:cs typeface="Microsoft YaHei"/>
        <a:font script="Jpan" typeface="Microsoft YaHei"/>
        <a:font script="Hang" typeface="Microsoft YaHei"/>
        <a:font script="Hans" typeface="Microsoft YaHei"/>
        <a:font script="Hant" typeface="Microsoft YaHei"/>
        <a:font script="Arab" typeface="Microsoft YaHei"/>
        <a:font script="Hebr" typeface="Microsoft YaHei"/>
        <a:font script="Thai" typeface="Microsoft YaHei"/>
        <a:font script="Ethi" typeface="Microsoft YaHei"/>
        <a:font script="Beng" typeface="Microsoft YaHei"/>
        <a:font script="Gujr" typeface="Microsoft YaHei"/>
        <a:font script="Khmr" typeface="Microsoft YaHei"/>
        <a:font script="Knda" typeface="Microsoft YaHei"/>
        <a:font script="Guru" typeface="Microsoft YaHei"/>
        <a:font script="Cans" typeface="Microsoft YaHei"/>
        <a:font script="Cher" typeface="Microsoft YaHei"/>
        <a:font script="Yiii" typeface="Microsoft YaHei"/>
        <a:font script="Tibt" typeface="Microsoft YaHei"/>
        <a:font script="Thaa" typeface="Microsoft YaHei"/>
        <a:font script="Deva" typeface="Microsoft YaHei"/>
        <a:font script="Telu" typeface="Microsoft YaHei"/>
        <a:font script="Taml" typeface="Microsoft YaHei"/>
        <a:font script="Syrc" typeface="Microsoft YaHei"/>
        <a:font script="Orya" typeface="Microsoft YaHei"/>
        <a:font script="Mlym" typeface="Microsoft YaHei"/>
        <a:font script="Laoo" typeface="Microsoft YaHei"/>
        <a:font script="Sinh" typeface="Microsoft YaHei"/>
        <a:font script="Mong" typeface="Microsoft YaHei"/>
        <a:font script="Viet" typeface="Microsoft YaHei"/>
        <a:font script="Uigh" typeface="Microsoft YaHei"/>
        <a:font script="Geor" typeface="Microsoft YaHei"/>
      </a:majorFont>
      <a:minorFont>
        <a:latin typeface="Microsoft YaHei"/>
        <a:ea typeface="Microsoft YaHei"/>
        <a:cs typeface="Microsoft YaHei"/>
        <a:font script="Jpan" typeface="Microsoft YaHei"/>
        <a:font script="Hang" typeface="Microsoft YaHei"/>
        <a:font script="Hans" typeface="Microsoft YaHei"/>
        <a:font script="Hant" typeface="Microsoft YaHei"/>
        <a:font script="Arab" typeface="Microsoft YaHei"/>
        <a:font script="Hebr" typeface="Microsoft YaHei"/>
        <a:font script="Thai" typeface="Microsoft YaHei"/>
        <a:font script="Ethi" typeface="Microsoft YaHei"/>
        <a:font script="Beng" typeface="Microsoft YaHei"/>
        <a:font script="Gujr" typeface="Microsoft YaHei"/>
        <a:font script="Khmr" typeface="Microsoft YaHei"/>
        <a:font script="Knda" typeface="Microsoft YaHei"/>
        <a:font script="Guru" typeface="Microsoft YaHei"/>
        <a:font script="Cans" typeface="Microsoft YaHei"/>
        <a:font script="Cher" typeface="Microsoft YaHei"/>
        <a:font script="Yiii" typeface="Microsoft YaHei"/>
        <a:font script="Tibt" typeface="Microsoft YaHei"/>
        <a:font script="Thaa" typeface="Microsoft YaHei"/>
        <a:font script="Deva" typeface="Microsoft YaHei"/>
        <a:font script="Telu" typeface="Microsoft YaHei"/>
        <a:font script="Taml" typeface="Microsoft YaHei"/>
        <a:font script="Syrc" typeface="Microsoft YaHei"/>
        <a:font script="Orya" typeface="Microsoft YaHei"/>
        <a:font script="Mlym" typeface="Microsoft YaHei"/>
        <a:font script="Laoo" typeface="Microsoft YaHei"/>
        <a:font script="Sinh" typeface="Microsoft YaHei"/>
        <a:font script="Mong" typeface="Microsoft YaHei"/>
        <a:font script="Viet" typeface="Microsoft YaHei"/>
        <a:font script="Uigh" typeface="Microsoft YaHei"/>
        <a:font script="Geor" typeface="Microsoft YaHe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展会排期与需求变更项目研究报告</dc:title>
  <dc:subject>行业现状 GitHub项目对比与试点建议</dc:subject>
  <dc:creator>项目研究</dc:creator>
  <cp:keywords/>
  <dc:description>统一中英文字体和样式 同步保留Markdown版本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