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after="120"/>
      </w:pPr>
      <w:r>
        <w:rPr>
          <w:rFonts w:ascii="Microsoft YaHei" w:hAnsi="Microsoft YaHei" w:eastAsia="Microsoft YaHei" w:cs="Microsoft YaHei"/>
          <w:b/>
          <w:color w:val="000000"/>
          <w:sz w:val="42"/>
        </w:rPr>
        <w:t>场馆排期与需求变更</w:t>
        <w:br/>
        <w:t>AI 数智化软件研发实施报价单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报价编号 DHLS-SW-20261024-001    日期 2026-10-24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/>
          <w:color w:val="9B491C"/>
          <w:sz w:val="20"/>
        </w:rPr>
        <w:t>立项预算参考版  尚未开始软件研发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拟建设面向场馆排期、资源冲突核对和需求变更协作的AI数智化软件。现有访谈演练、研究报告和流程图均属于前期调研。本报价仅估算后续需求复核、软件研发、测试部署及交付，不把旧成果当作已完成软件，也不重复向旧调研成果计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494"/>
        <w:gridCol w:w="2154"/>
        <w:gridCol w:w="3061"/>
      </w:tblGrid>
      <w:tr>
        <w:trPr>
          <w:cantSplit/>
          <w:tblHeader/>
        </w:trPr>
        <w:tc>
          <w:tcPr>
            <w:tcW w:type="dxa" w:w="215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客户及商务信息</w:t>
            </w:r>
          </w:p>
        </w:tc>
        <w:tc>
          <w:tcPr>
            <w:tcW w:type="dxa" w:w="249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待确认内容</w:t>
            </w:r>
          </w:p>
        </w:tc>
        <w:tc>
          <w:tcPr>
            <w:tcW w:type="dxa" w:w="215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交付及预算口径</w:t>
            </w:r>
          </w:p>
        </w:tc>
        <w:tc>
          <w:tcPr>
            <w:tcW w:type="dxa" w:w="306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参考条件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客户单位及授权人</w:t>
            </w:r>
          </w:p>
        </w:tc>
        <w:tc>
          <w:tcPr>
            <w:tcW w:type="dxa" w:w="24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215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交付形态</w:t>
            </w:r>
          </w:p>
        </w:tc>
        <w:tc>
          <w:tcPr>
            <w:tcW w:type="dxa" w:w="30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单一组织内部Web工作台</w:t>
            </w:r>
          </w:p>
        </w:tc>
      </w:tr>
      <w:tr>
        <w:trPr>
          <w:cantSplit/>
        </w:trPr>
        <w:tc>
          <w:tcPr>
            <w:tcW w:type="dxa" w:w="215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报价单位及负责人</w:t>
            </w:r>
          </w:p>
        </w:tc>
        <w:tc>
          <w:tcPr>
            <w:tcW w:type="dxa" w:w="24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215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建议周期</w:t>
            </w:r>
          </w:p>
        </w:tc>
        <w:tc>
          <w:tcPr>
            <w:tcW w:type="dxa" w:w="30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约16周 含约4周试运行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报价有效期及签约日</w:t>
            </w:r>
          </w:p>
        </w:tc>
        <w:tc>
          <w:tcPr>
            <w:tcW w:type="dxa" w:w="24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待双方约定</w:t>
            </w:r>
          </w:p>
        </w:tc>
        <w:tc>
          <w:tcPr>
            <w:tcW w:type="dxa" w:w="215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币种及税费</w:t>
            </w:r>
          </w:p>
        </w:tc>
        <w:tc>
          <w:tcPr>
            <w:tcW w:type="dxa" w:w="30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人民币 税费待财务确认</w:t>
            </w:r>
          </w:p>
        </w:tc>
      </w:tr>
    </w:tbl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建议预算汇总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928"/>
        <w:gridCol w:w="4309"/>
      </w:tblGrid>
      <w:tr>
        <w:trPr>
          <w:cantSplit/>
          <w:tblHeader/>
        </w:trPr>
        <w:tc>
          <w:tcPr>
            <w:tcW w:type="dxa" w:w="36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费用类别</w:t>
            </w:r>
          </w:p>
        </w:tc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参考金额 元</w:t>
            </w:r>
          </w:p>
        </w:tc>
        <w:tc>
          <w:tcPr>
            <w:tcW w:type="dxa" w:w="4309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纳入口径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一期基础建设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225,000.00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150人日 × 1,500元 每人日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可选后续扩展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0.00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默认未选 另行确认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建设及试点资源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6,672.00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约4个月第三方资源 客户直付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验收后12个月资源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20,016.00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云 备份及模型调用 客户直付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建设与验收后首运预算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251,688.00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建设服务加两段资源 不含后续年度维保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后续年度运行参考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38,016.00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验收后第13至24个月 可选 不计入上行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全部金额用于立项预算，供应商主体、发票类型及含税条件待财务确认，不默认套用增值税率。未在本表额外加税，不代表免税；正式签约前应统一为双方确认的含税总价。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建设服务款建议付款节点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1757"/>
        <w:gridCol w:w="4706"/>
      </w:tblGrid>
      <w:tr>
        <w:trPr>
          <w:cantSplit/>
          <w:tblHeader/>
        </w:trPr>
        <w:tc>
          <w:tcPr>
            <w:tcW w:type="dxa" w:w="238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102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建议比例</w:t>
            </w:r>
          </w:p>
        </w:tc>
        <w:tc>
          <w:tcPr>
            <w:tcW w:type="dxa" w:w="175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参考金额 元</w:t>
            </w:r>
          </w:p>
        </w:tc>
        <w:tc>
          <w:tcPr>
            <w:tcW w:type="dxa" w:w="4706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付款触发条件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M1 需求与方案确认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30%</w:t>
            </w:r>
          </w:p>
        </w:tc>
        <w:tc>
          <w:tcPr>
            <w:tcW w:type="dxa" w:w="175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67,500.00</w:t>
            </w:r>
          </w:p>
        </w:tc>
        <w:tc>
          <w:tcPr>
            <w:tcW w:type="dxa" w:w="470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需求说明、原型、字段及规则基线、样本及AI评测口径签认</w:t>
            </w:r>
          </w:p>
        </w:tc>
      </w:tr>
      <w:tr>
        <w:trPr>
          <w:cantSplit/>
        </w:trPr>
        <w:tc>
          <w:tcPr>
            <w:tcW w:type="dxa" w:w="238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M2 核心功能与AI联调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40%</w:t>
            </w:r>
          </w:p>
        </w:tc>
        <w:tc>
          <w:tcPr>
            <w:tcW w:type="dxa" w:w="175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90,000.00</w:t>
            </w:r>
          </w:p>
        </w:tc>
        <w:tc>
          <w:tcPr>
            <w:tcW w:type="dxa" w:w="470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排期、冲突、变更、AI候选、人工确认及权限审计可演示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M3 测试与部署交付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20%</w:t>
            </w:r>
          </w:p>
        </w:tc>
        <w:tc>
          <w:tcPr>
            <w:tcW w:type="dxa" w:w="175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45,000.00</w:t>
            </w:r>
          </w:p>
        </w:tc>
        <w:tc>
          <w:tcPr>
            <w:tcW w:type="dxa" w:w="470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功能回归、越权和版本失效测试、部署、备份恢复及交付清单完成</w:t>
            </w:r>
          </w:p>
        </w:tc>
      </w:tr>
      <w:tr>
        <w:trPr>
          <w:cantSplit/>
        </w:trPr>
        <w:tc>
          <w:tcPr>
            <w:tcW w:type="dxa" w:w="238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M4 受控试运行与验收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10%</w:t>
            </w:r>
          </w:p>
        </w:tc>
        <w:tc>
          <w:tcPr>
            <w:tcW w:type="dxa" w:w="175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22,500.00</w:t>
            </w:r>
          </w:p>
        </w:tc>
        <w:tc>
          <w:tcPr>
            <w:tcW w:type="dxa" w:w="470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约4周回放及受控使用、约定缺陷整改、双方验收签字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建设分期仅含服务费，资源费直付。周期及含税总价以双方正式确认条件为准。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一期软件研发实施明细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建议统一服务单价1500元/人日，工作量为编制人的工作分解估算，不是实际研发工时或行业均价。既有调研只作为输入；S01仅估算新增真实需求复核。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268"/>
        <w:gridCol w:w="680"/>
        <w:gridCol w:w="1020"/>
        <w:gridCol w:w="1191"/>
        <w:gridCol w:w="4195"/>
      </w:tblGrid>
      <w:tr>
        <w:trPr>
          <w:cantSplit/>
          <w:tblHeader/>
        </w:trPr>
        <w:tc>
          <w:tcPr>
            <w:tcW w:type="dxa" w:w="51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26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拟建模块或服务</w:t>
            </w:r>
          </w:p>
        </w:tc>
        <w:tc>
          <w:tcPr>
            <w:tcW w:type="dxa" w:w="68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人日</w:t>
            </w:r>
          </w:p>
        </w:tc>
        <w:tc>
          <w:tcPr>
            <w:tcW w:type="dxa" w:w="102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单价 元</w:t>
            </w:r>
          </w:p>
        </w:tc>
        <w:tc>
          <w:tcPr>
            <w:tcW w:type="dxa" w:w="119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金额 元</w:t>
            </w:r>
          </w:p>
        </w:tc>
        <w:tc>
          <w:tcPr>
            <w:tcW w:type="dxa" w:w="419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拟交付与验收边界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S01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真实需求复核与范围基线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确认岗位、字段、样本及一期范围，编制需求说明与范围确认单；不重复计取旧调研成果费用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S02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业务流程与交互原型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完成排期、变更、冲突及审批原型并评审；两轮集中修改后冻结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S03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架构与数据模型设计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9,000.00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定义申请编号、版本、资源、时间窗、状态及部署方案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S04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只读导入与数据质量检查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10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实现3类CSV或XLSX模板映射、异常行及原始来源留存；不接生产写接口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S05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场馆资源与排期工作台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14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21,000.00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实现区域及共享资源、日历与列表、询期草稿和状态查询；操作留痕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S06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确定性排期冲突规则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14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21,000.00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实现约6类经确认的时间及资源规则、缓冲窗、原因和来源；不由大模型决定可用性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S07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变更申请与版本差异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18,000.00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实现变更提出、字段差异、影响对象、有效期、作废原因及版本追溯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S08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需求字段提取与来源定位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18,000.00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实现结构化候选、来源行或原文片段和不确定项队列；不覆盖原值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S09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冲突说明与交接摘要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实现候选说明、待办及交接清单；模型不可形成对外正式承诺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S10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审批与异常复核闭环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10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实现提交、授权复核、驳回补充、基线变更重算和确认链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S11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权限脱敏与审计记录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10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实现组织内角色权限、导出控制、访问及建议确认审计、留存配置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S12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功能集成与规则回归测试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18,000.00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提供测试计划、回归用例及缺陷记录，覆盖越权、版本失效和冲突分支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S13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模型评测与人工核验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与客户建立标注集，输出字段提取和误报漏报评测；不承诺生产环境100%准确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S14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部署备份与试运行支持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9,000.00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完成两套环境配置、备份恢复演练和约4周受控试运行支持；非4周完成全部研发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S15</w:t>
            </w:r>
          </w:p>
        </w:tc>
        <w:tc>
          <w:tcPr>
            <w:tcW w:type="dxa" w:w="226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源码文档与使用培训</w:t>
            </w:r>
          </w:p>
        </w:tc>
        <w:tc>
          <w:tcPr>
            <w:tcW w:type="dxa" w:w="68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</w:t>
            </w:r>
          </w:p>
        </w:tc>
        <w:tc>
          <w:tcPr>
            <w:tcW w:type="dxa" w:w="102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交付约定范围源码、数据字典、部署及操作文档、依赖清单和2次远程培训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S16</w:t>
            </w:r>
          </w:p>
        </w:tc>
        <w:tc>
          <w:tcPr>
            <w:tcW w:type="dxa" w:w="226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项目计划与验收协调</w:t>
            </w:r>
          </w:p>
        </w:tc>
        <w:tc>
          <w:tcPr>
            <w:tcW w:type="dxa" w:w="68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</w:t>
            </w:r>
          </w:p>
        </w:tc>
        <w:tc>
          <w:tcPr>
            <w:tcW w:type="dxa" w:w="102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提供里程碑、风险与需求变更记录，组织评审及验收；不另按比例加收管理费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1304"/>
        <w:gridCol w:w="2608"/>
      </w:tblGrid>
      <w:tr>
        <w:trPr>
          <w:cantSplit/>
          <w:tblHeader/>
        </w:trPr>
        <w:tc>
          <w:tcPr>
            <w:tcW w:type="dxa" w:w="5953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合计</w:t>
            </w:r>
          </w:p>
        </w:tc>
        <w:tc>
          <w:tcPr>
            <w:tcW w:type="dxa" w:w="130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人日</w:t>
            </w:r>
          </w:p>
        </w:tc>
        <w:tc>
          <w:tcPr>
            <w:tcW w:type="dxa" w:w="260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建设参考金额 元</w:t>
            </w:r>
          </w:p>
        </w:tc>
      </w:tr>
      <w:tr>
        <w:trPr>
          <w:cantSplit/>
        </w:trPr>
        <w:tc>
          <w:tcPr>
            <w:tcW w:type="dxa" w:w="595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一期基础建设</w:t>
            </w:r>
          </w:p>
        </w:tc>
        <w:tc>
          <w:tcPr>
            <w:tcW w:type="dxa" w:w="130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150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225,000.00</w:t>
            </w:r>
          </w:p>
        </w:tc>
      </w:tr>
    </w:tbl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一期范围假设与验收口径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报价边界</w:t>
            </w:r>
          </w:p>
        </w:tc>
        <w:tc>
          <w:tcPr>
            <w:tcW w:type="dxa" w:w="793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拟定范围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系统形态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单一组织的中文Web软件；独立内部工作台，尚未开发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规模假设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1个场馆、不超过20个区域或共享资源、30个账号、10名同时在线用户；均为报价边界假设，需复核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资料接入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不超过3种CSV或XLSX导入模板，单文件不超过20MB或10000行；文本由用户粘贴或导出文件导入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AI范围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1家已授权模型服务商，辅助字段提取、差异说明、来源引用和交接摘要；不含模型训练和扫描件OCR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业务闭环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资源及档期草稿、冲突提示、变更申请、人工复核、版本留痕和确认记录；本软件内部保存确认结果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外部边界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只读接入既有系统导出资料；不写回外部占档或合同系统，不自动锁档、签约、发消息或向客户承诺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部署范围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1套验收环境及1套小规模正式运行环境的部署配置；客户提供云账号、域名及网络条件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预计周期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约16周，含需求设计、研发测试及约4周受控试运行；从范围、样本、权限及环境具备后排期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质量及保障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验收后12个月约定范围内缺陷修复；新增功能、现场驻场、7×24运维及第三方专业测评不含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既有调研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已交付调研、访谈演练、流程图与旧报价仅作输入，不作为本轮重新计费项目；S01只计新增真实需求复核</w:t>
            </w:r>
          </w:p>
        </w:tc>
      </w:tr>
    </w:tbl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建议验收口径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验收主题</w:t>
            </w:r>
          </w:p>
        </w:tc>
        <w:tc>
          <w:tcPr>
            <w:tcW w:type="dxa" w:w="793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双方需确认的口径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需求与样本基线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需求、字段、岗位、规则、数据范围及30条回放样本由双方签认。合成访谈不替代真实业务确认。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功能与冲突规则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导入、来源、排期、变更、审批与审计按签认用例回放；有限样本符合预期不代表生产环境无漏报。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AI效果与人工复核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确认候选字段、原文引用及不确定项进入人工队列。准确率、误报漏报阈值、标注方法及整改方案在需求阶段书面确认。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软件交付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源码、文档、测试记录及培训齐备；关键流程阻断缺陷关闭，一般问题按双方认可计划处理后验收。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AI不代替审批人形成正式业务结论。权限不足、关键字段或版本无法确认、审批期间基线改变时应退回人工核验或重算；不默认通过。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第三方资源与后续运行费用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第三方费用按实际云账号和模型账号账单直付。应用及数据库、备份及日志的额度仅为预算预留，具体规格和供应商未确定；不含专用GPU、额外OCR或专业测评。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608"/>
        <w:gridCol w:w="4309"/>
      </w:tblGrid>
      <w:tr>
        <w:trPr>
          <w:cantSplit/>
          <w:tblHeader/>
        </w:trPr>
        <w:tc>
          <w:tcPr>
            <w:tcW w:type="dxa" w:w="294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可修改假设</w:t>
            </w:r>
          </w:p>
        </w:tc>
        <w:tc>
          <w:tcPr>
            <w:tcW w:type="dxa" w:w="260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参考输入</w:t>
            </w:r>
          </w:p>
        </w:tc>
        <w:tc>
          <w:tcPr>
            <w:tcW w:type="dxa" w:w="4309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计价说明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建设及试点资源期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4个月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按约16周预算取整 与验收后运行期不重叠</w:t>
            </w:r>
          </w:p>
        </w:tc>
      </w:tr>
      <w:tr>
        <w:trPr>
          <w:cantSplit/>
        </w:trPr>
        <w:tc>
          <w:tcPr>
            <w:tcW w:type="dxa" w:w="294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验收后运行期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12个月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与建设及试点资源分段估算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应用及数据库云资源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1200元/月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内部容量及费用假设 非云厂商正式报价</w:t>
            </w:r>
          </w:p>
        </w:tc>
      </w:tr>
      <w:tr>
        <w:trPr>
          <w:cantSplit/>
        </w:trPr>
        <w:tc>
          <w:tcPr>
            <w:tcW w:type="dxa" w:w="294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备份 存储及日志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300元/月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预算预留 真实容量和保留期限待核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月计费模型请求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10000次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含实际重试及工具往返 不等于业务申请单</w:t>
            </w:r>
          </w:p>
        </w:tc>
      </w:tr>
      <w:tr>
        <w:trPr>
          <w:cantSplit/>
        </w:trPr>
        <w:tc>
          <w:tcPr>
            <w:tcW w:type="dxa" w:w="294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平均计费输入与输出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6000 / 1500 token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含提示词 历史和思考开销的预算假设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输入与输出单价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0.8 / 8元 每百万token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P1官方档位示例 不是模型选型或锁价</w:t>
            </w:r>
          </w:p>
        </w:tc>
      </w:tr>
    </w:tbl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资源费用测算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928"/>
        <w:gridCol w:w="4309"/>
      </w:tblGrid>
      <w:tr>
        <w:trPr>
          <w:cantSplit/>
          <w:tblHeader/>
        </w:trPr>
        <w:tc>
          <w:tcPr>
            <w:tcW w:type="dxa" w:w="36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测算项目</w:t>
            </w:r>
          </w:p>
        </w:tc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参考金额 元</w:t>
            </w:r>
          </w:p>
        </w:tc>
        <w:tc>
          <w:tcPr>
            <w:tcW w:type="dxa" w:w="4309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计算口径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模型调用 每月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168.00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60百万输入×0.8 + 15百万输出×8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云及备份 每月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1,500.00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1200 + 300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第三方资源 每月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1,668.00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模型调用 + 云及备份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建设及试点4个月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6,672.00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1668 × 4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验收后12个月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20,016.00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1668 × 12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P1按每次输入不超过32千token且输出超过0.2千token的在线价格演示。请求跨档、模型更换或账单范围变化时应更新单价。缓存折扣未计入；月度调用量、输入输出开销均未实测。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验收后第13至24个月可选运维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1928"/>
        <w:gridCol w:w="4309"/>
      </w:tblGrid>
      <w:tr>
        <w:trPr>
          <w:cantSplit/>
          <w:tblHeader/>
        </w:trPr>
        <w:tc>
          <w:tcPr>
            <w:tcW w:type="dxa" w:w="36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参考金额 元</w:t>
            </w:r>
          </w:p>
        </w:tc>
        <w:tc>
          <w:tcPr>
            <w:tcW w:type="dxa" w:w="4309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服务边界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远程日常运维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18,000.00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12人日/年 × 1500元 健康检查 备份核验及问题处理</w:t>
            </w:r>
          </w:p>
        </w:tc>
      </w:tr>
      <w:tr>
        <w:trPr>
          <w:cantSplit/>
        </w:trPr>
        <w:tc>
          <w:tcPr>
            <w:tcW w:type="dxa" w:w="36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同期12个月第三方资源</w:t>
            </w:r>
          </w:p>
        </w:tc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20,016.00</w:t>
            </w:r>
          </w:p>
        </w:tc>
        <w:tc>
          <w:tcPr>
            <w:tcW w:type="dxa" w:w="430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按相同资源规模估算 客户直付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后续年度运行预算</w:t>
            </w:r>
          </w:p>
        </w:tc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38,016.00</w:t>
            </w:r>
          </w:p>
        </w:tc>
        <w:tc>
          <w:tcPr>
            <w:tcW w:type="dxa" w:w="430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不计入建设与验收后首运预算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验收后前12个月的约定缺陷修复已包含于建设费，不重复加收上述后续年度运维费。运维不含新功能、现场驻场和7×24值守；响应时段及服务上限另行签约。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后续扩展与项目里程碑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以下扩展默认不选，不计入一期基础建设或首运预算。正式启用前需明确范围、工作量、依赖条件及工期；第三方资源和许可证可能另行产生费用。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1077"/>
        <w:gridCol w:w="1587"/>
        <w:gridCol w:w="4195"/>
      </w:tblGrid>
      <w:tr>
        <w:trPr>
          <w:cantSplit/>
          <w:tblHeader/>
        </w:trPr>
        <w:tc>
          <w:tcPr>
            <w:tcW w:type="dxa" w:w="51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9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可选建设范围</w:t>
            </w:r>
          </w:p>
        </w:tc>
        <w:tc>
          <w:tcPr>
            <w:tcW w:type="dxa" w:w="107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工作量</w:t>
            </w:r>
          </w:p>
        </w:tc>
        <w:tc>
          <w:tcPr>
            <w:tcW w:type="dxa" w:w="158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参考金额 元</w:t>
            </w:r>
          </w:p>
        </w:tc>
        <w:tc>
          <w:tcPr>
            <w:tcW w:type="dxa" w:w="419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范围条件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O01</w:t>
            </w:r>
          </w:p>
        </w:tc>
        <w:tc>
          <w:tcPr>
            <w:tcW w:type="dxa" w:w="24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多场馆与跨组织隔离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20人日</w:t>
            </w:r>
          </w:p>
        </w:tc>
        <w:tc>
          <w:tcPr>
            <w:tcW w:type="dxa" w:w="158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30,000.00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多场馆及租户隔离，须重新明确数量及数据权限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O02</w:t>
            </w:r>
          </w:p>
        </w:tc>
        <w:tc>
          <w:tcPr>
            <w:tcW w:type="dxa" w:w="24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既有系统API与授权写回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15人日</w:t>
            </w:r>
          </w:p>
        </w:tc>
        <w:tc>
          <w:tcPr>
            <w:tcW w:type="dxa" w:w="158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22,500.00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暂按1个对接系统；须先完成接口和权限评估，不自动沿用一期只读授权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O03</w:t>
            </w:r>
          </w:p>
        </w:tc>
        <w:tc>
          <w:tcPr>
            <w:tcW w:type="dxa" w:w="24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移动端或企业微信入口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15人日</w:t>
            </w:r>
          </w:p>
        </w:tc>
        <w:tc>
          <w:tcPr>
            <w:tcW w:type="dxa" w:w="158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22,500.00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暂按1种入口；外部消息发送能力需另行明确授权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O04</w:t>
            </w:r>
          </w:p>
        </w:tc>
        <w:tc>
          <w:tcPr>
            <w:tcW w:type="dxa" w:w="24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统一身份认证SSO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6人日</w:t>
            </w:r>
          </w:p>
        </w:tc>
        <w:tc>
          <w:tcPr>
            <w:tcW w:type="dxa" w:w="158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9,000.00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暂按1个标准身份提供方，实际协议及联调条件待确认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O05</w:t>
            </w:r>
          </w:p>
        </w:tc>
        <w:tc>
          <w:tcPr>
            <w:tcW w:type="dxa" w:w="24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扫描件OCR与版面解析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8人日</w:t>
            </w:r>
          </w:p>
        </w:tc>
        <w:tc>
          <w:tcPr>
            <w:tcW w:type="dxa" w:w="158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12,000.00</w:t>
            </w:r>
          </w:p>
        </w:tc>
        <w:tc>
          <w:tcPr>
            <w:tcW w:type="dxa" w:w="419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增加1类扫描件识别流程，OCR第三方按量费用另计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O06</w:t>
            </w:r>
          </w:p>
        </w:tc>
        <w:tc>
          <w:tcPr>
            <w:tcW w:type="dxa" w:w="24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私有模型与专用算力部署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1项</w:t>
            </w:r>
          </w:p>
        </w:tc>
        <w:tc>
          <w:tcPr>
            <w:tcW w:type="dxa" w:w="158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待询价</w:t>
            </w:r>
          </w:p>
        </w:tc>
        <w:tc>
          <w:tcPr>
            <w:tcW w:type="dxa" w:w="419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需评估模型许可、GPU规格、安全与运维，未询价不默认为零元</w:t>
            </w:r>
          </w:p>
        </w:tc>
      </w:tr>
    </w:tbl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建议建设计划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417"/>
        <w:gridCol w:w="5726"/>
      </w:tblGrid>
      <w:tr>
        <w:trPr>
          <w:cantSplit/>
          <w:tblHeader/>
        </w:trPr>
        <w:tc>
          <w:tcPr>
            <w:tcW w:type="dxa" w:w="272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41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5726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阶段交付结果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M1 需求与方案确认</w:t>
            </w:r>
          </w:p>
        </w:tc>
        <w:tc>
          <w:tcPr>
            <w:tcW w:type="dxa" w:w="141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第1至2周</w:t>
            </w:r>
          </w:p>
        </w:tc>
        <w:tc>
          <w:tcPr>
            <w:tcW w:type="dxa" w:w="572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需求说明、原型、字段及规则基线、样本及AI评测口径签认</w:t>
            </w:r>
          </w:p>
        </w:tc>
      </w:tr>
      <w:tr>
        <w:trPr>
          <w:cantSplit/>
        </w:trPr>
        <w:tc>
          <w:tcPr>
            <w:tcW w:type="dxa" w:w="272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M2 核心功能与AI联调</w:t>
            </w:r>
          </w:p>
        </w:tc>
        <w:tc>
          <w:tcPr>
            <w:tcW w:type="dxa" w:w="141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第3至10周</w:t>
            </w:r>
          </w:p>
        </w:tc>
        <w:tc>
          <w:tcPr>
            <w:tcW w:type="dxa" w:w="572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排期、冲突、变更、AI候选、人工确认及权限审计可演示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M3 测试与部署交付</w:t>
            </w:r>
          </w:p>
        </w:tc>
        <w:tc>
          <w:tcPr>
            <w:tcW w:type="dxa" w:w="141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第11至12周</w:t>
            </w:r>
          </w:p>
        </w:tc>
        <w:tc>
          <w:tcPr>
            <w:tcW w:type="dxa" w:w="572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功能回归、越权和版本失效测试、部署、备份恢复及交付清单完成</w:t>
            </w:r>
          </w:p>
        </w:tc>
      </w:tr>
      <w:tr>
        <w:trPr>
          <w:cantSplit/>
        </w:trPr>
        <w:tc>
          <w:tcPr>
            <w:tcW w:type="dxa" w:w="272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M4 受控试运行与验收</w:t>
            </w:r>
          </w:p>
        </w:tc>
        <w:tc>
          <w:tcPr>
            <w:tcW w:type="dxa" w:w="141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第13至16周</w:t>
            </w:r>
          </w:p>
        </w:tc>
        <w:tc>
          <w:tcPr>
            <w:tcW w:type="dxa" w:w="572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约4周回放及受控使用、约定缺陷整改、双方验收签字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约16周从真实样本、客户评审人、环境及接入权限具备后排期。模块可并行推进，150人日不等于150个自然日。调研演练中“两名业务参与人员”的投入不等同于开发团队配置。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需求变更与交付方式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新增或减少范围时，记录原报价版本、变更内容、工作量、费用及排期影响，由客户和供应商授权人书面确认后执行。变更不得自动扩大数据使用或外部系统写回权限。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拟交付约定范围源码、数据字典、部署与操作文档、测试及依赖清单、培训和验收记录。定制成果权属、第三方依赖及模型许可、账号归属和后续使用条件，由正式合同约定。旧调研工具的MIT文件不表示拟建软件已决定开源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商务条款 价格依据与双方确认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93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待双方确认的建议约定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金额及税费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全部金额用于立项预算，供应商主体、发票类型及含税条件待财务确认，不默认套用增值税率。未在本表额外加税，不代表免税；正式签约前应统一为双方确认的含税总价。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有效期及主体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客户、报价方、授权人员、报价有效期、签约日期及开票条件均待填写；本文件为立项预算参考。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缺陷保障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验收后12个月修复约定范围内缺陷；新增需求、客户环境变化、第三方停服与现场服务另行约定。</w:t>
            </w:r>
          </w:p>
        </w:tc>
      </w:tr>
      <w:tr>
        <w:trPr>
          <w:cantSplit/>
        </w:trPr>
        <w:tc>
          <w:tcPr>
            <w:tcW w:type="dxa" w:w="192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客户配合</w:t>
            </w:r>
          </w:p>
        </w:tc>
        <w:tc>
          <w:tcPr>
            <w:tcW w:type="dxa" w:w="793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提供合法授权的脱敏样本、规则标注人、云及模型账号和网络条件，按期评审。范围及数据条件未具备时应重新排期。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数据和隐私</w:t>
            </w:r>
          </w:p>
        </w:tc>
        <w:tc>
          <w:tcPr>
            <w:tcW w:type="dxa" w:w="793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授权访问、脱敏只读、审计留痕和人工复核作为一期边界。真实个人及商业资料不进入公开仓库；留存及删除期限由双方签认。</w:t>
            </w:r>
          </w:p>
        </w:tc>
      </w:tr>
    </w:tbl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价格及范围依据</w:t>
      </w:r>
    </w:p>
    <w:p>
      <w:pPr>
        <w:spacing w:after="60" w:line="259" w:lineRule="auto"/>
        <w:snapToGrid w:val="0"/>
      </w:pPr>
      <w:r>
        <w:rPr>
          <w:rFonts w:ascii="Microsoft YaHei" w:hAnsi="Microsoft YaHei" w:eastAsia="Microsoft YaHei" w:cs="Microsoft YaHei"/>
          <w:b/>
          <w:color w:val="243B50"/>
          <w:sz w:val="20"/>
        </w:rPr>
        <w:t>L1 discovery-report 合成访谈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用于范围假设；人物、业务指标与工时不构成真实需求已确认或报价工时实测。fNN为dlg-venue-schedule-fNN简写。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仓库位置 docs/source/discovery-report.md</w:t>
      </w:r>
    </w:p>
    <w:p>
      <w:pPr>
        <w:spacing w:after="60" w:line="259" w:lineRule="auto"/>
        <w:snapToGrid w:val="0"/>
      </w:pPr>
      <w:r>
        <w:rPr>
          <w:rFonts w:ascii="Microsoft YaHei" w:hAnsi="Microsoft YaHei" w:eastAsia="Microsoft YaHei" w:cs="Microsoft YaHei"/>
          <w:b/>
          <w:color w:val="243B50"/>
          <w:sz w:val="20"/>
        </w:rPr>
        <w:t>P1 火山方舟 豆包1.8官方模型说明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2026-10-24核查。在线请求输入不超过32千token且输出超过0.2千token时，输入0.8元、输出8元/百万token。只作调用费用演示，不构成选型或锁价；跨档、重试、思考与工具往返按实际账单。</w:t>
      </w:r>
    </w:p>
    <w:p>
      <w:pPr>
        <w:spacing w:after="120"/>
      </w:pPr>
      <w:hyperlink r:id="rId9">
        <w:r>
          <w:rPr>
            <w:rFonts w:ascii="Microsoft YaHei" w:hAnsi="Microsoft YaHei" w:eastAsia="Microsoft YaHei" w:cs="Microsoft YaHei"/>
            <w:color w:val="234A68"/>
            <w:sz w:val="19"/>
          </w:rPr>
          <w:t>查看官方模型说明</w:t>
        </w:r>
      </w:hyperlink>
    </w:p>
    <w:p>
      <w:pPr>
        <w:spacing w:after="60" w:line="259" w:lineRule="auto"/>
        <w:snapToGrid w:val="0"/>
      </w:pPr>
      <w:r>
        <w:rPr>
          <w:rFonts w:ascii="Microsoft YaHei" w:hAnsi="Microsoft YaHei" w:eastAsia="Microsoft YaHei" w:cs="Microsoft YaHei"/>
          <w:b/>
          <w:color w:val="243B50"/>
          <w:sz w:val="20"/>
        </w:rPr>
        <w:t>E1 编制人的工作分解和预算假设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1500元/人日、150人日、约16周、云及备份月费、调用量和运维12人日均为可改估算，非厂商实盘、官方指导价或行业平均值；不从虚构访谈基线外推。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Excel为可调整测算版本，Word为当前参数的静态快照。修改Excel后须同步修订Word与版本号；模型价格只用于资源费演示，不能当作全部AI开发成本。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双方确认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803"/>
      </w:tblGrid>
      <w:tr>
        <w:trPr>
          <w:cantSplit/>
          <w:tblHeader/>
        </w:trPr>
        <w:tc>
          <w:tcPr>
            <w:tcW w:type="dxa" w:w="306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确认项</w:t>
            </w:r>
          </w:p>
        </w:tc>
        <w:tc>
          <w:tcPr>
            <w:tcW w:type="dxa" w:w="6803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客户单位及授权代表</w:t>
            </w:r>
          </w:p>
        </w:tc>
        <w:tc>
          <w:tcPr>
            <w:tcW w:type="dxa" w:w="680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报价单位及负责人</w:t>
            </w:r>
          </w:p>
        </w:tc>
        <w:tc>
          <w:tcPr>
            <w:tcW w:type="dxa" w:w="6803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定稿版本 有效期及含税总价</w:t>
            </w:r>
          </w:p>
        </w:tc>
        <w:tc>
          <w:tcPr>
            <w:tcW w:type="dxa" w:w="680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签字及确认日期</w:t>
            </w:r>
          </w:p>
        </w:tc>
        <w:tc>
          <w:tcPr>
            <w:tcW w:type="dxa" w:w="6803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</w:tbl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本参考报价不表示软件已完成、场馆已锁档或双方已签订合同。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879" w:right="1020" w:bottom="879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62768A"/>
        <w:sz w:val="16"/>
      </w:rPr>
      <w:t xml:space="preserve">DHLS-SW-20261024-001    第 </w:t>
    </w:r>
    <w:fldSimple w:instr="PAGE"/>
    <w:r>
      <w:rPr>
        <w:rFonts w:ascii="Microsoft YaHei" w:hAnsi="Microsoft YaHei" w:eastAsia="Microsoft YaHei" w:cs="Microsoft YaHei"/>
        <w:b w:val="0"/>
        <w:color w:val="6276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62768A"/>
        <w:sz w:val="16"/>
      </w:rPr>
      <w:t>DHLS  场馆排期与需求变更AI软件  立项预算参考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Microsoft YaHei" w:hAnsi="Microsoft YaHei" w:eastAsia="Microsoft YaHei" w:cs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volcengine.com/docs/ark/bytedance-seed-1-8?lang=zh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场馆排期与需求变更 AI 数智化软件研发实施报价单</dc:title>
  <dc:subject>拟建软件研发实施及运行预算 前期调研阶段</dc:subject>
  <dc:creator>DHLS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