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8F234" w14:textId="77777777" w:rsidR="002E0394" w:rsidRDefault="00286669" w:rsidP="00714810">
      <w:pPr>
        <w:pStyle w:val="Title"/>
        <w:spacing w:before="0" w:after="0" w:line="480" w:lineRule="auto"/>
        <w:jc w:val="both"/>
        <w:rPr>
          <w:rFonts w:cs="Times New Roman"/>
          <w:color w:val="auto"/>
          <w:sz w:val="32"/>
          <w:szCs w:val="32"/>
        </w:rPr>
      </w:pPr>
      <w:r>
        <w:rPr>
          <w:rFonts w:cs="Times New Roman"/>
          <w:color w:val="auto"/>
          <w:sz w:val="32"/>
          <w:szCs w:val="32"/>
        </w:rPr>
        <w:t>Using Bayesian state-space models</w:t>
      </w:r>
      <w:r w:rsidRPr="00495780">
        <w:rPr>
          <w:rFonts w:cs="Times New Roman"/>
          <w:color w:val="auto"/>
          <w:sz w:val="32"/>
          <w:szCs w:val="32"/>
        </w:rPr>
        <w:t xml:space="preserve"> </w:t>
      </w:r>
      <w:r>
        <w:rPr>
          <w:rFonts w:cs="Times New Roman"/>
          <w:color w:val="auto"/>
          <w:sz w:val="32"/>
          <w:szCs w:val="32"/>
        </w:rPr>
        <w:t>with multiple sampling methods to infer</w:t>
      </w:r>
      <w:r w:rsidR="00495780">
        <w:rPr>
          <w:rFonts w:cs="Times New Roman"/>
          <w:color w:val="auto"/>
          <w:sz w:val="32"/>
          <w:szCs w:val="32"/>
        </w:rPr>
        <w:t xml:space="preserve"> </w:t>
      </w:r>
      <w:r>
        <w:rPr>
          <w:rFonts w:cs="Times New Roman"/>
          <w:color w:val="auto"/>
          <w:sz w:val="32"/>
          <w:szCs w:val="32"/>
        </w:rPr>
        <w:t xml:space="preserve">the stock structure of </w:t>
      </w:r>
      <w:r w:rsidR="002E0394" w:rsidRPr="002E0394">
        <w:rPr>
          <w:rFonts w:cs="Times New Roman"/>
          <w:color w:val="auto"/>
          <w:sz w:val="32"/>
          <w:szCs w:val="32"/>
        </w:rPr>
        <w:t>Alaskan cod (</w:t>
      </w:r>
      <w:proofErr w:type="spellStart"/>
      <w:r w:rsidR="002E0394" w:rsidRPr="002E0394">
        <w:rPr>
          <w:rFonts w:cs="Times New Roman"/>
          <w:i/>
          <w:color w:val="auto"/>
          <w:sz w:val="32"/>
          <w:szCs w:val="32"/>
        </w:rPr>
        <w:t>Gadus</w:t>
      </w:r>
      <w:proofErr w:type="spellEnd"/>
      <w:r w:rsidR="002E0394" w:rsidRPr="002E0394">
        <w:rPr>
          <w:rFonts w:cs="Times New Roman"/>
          <w:i/>
          <w:color w:val="auto"/>
          <w:sz w:val="32"/>
          <w:szCs w:val="32"/>
        </w:rPr>
        <w:t xml:space="preserve"> </w:t>
      </w:r>
      <w:proofErr w:type="spellStart"/>
      <w:r w:rsidR="002E0394" w:rsidRPr="002E0394">
        <w:rPr>
          <w:rFonts w:cs="Times New Roman"/>
          <w:i/>
          <w:color w:val="auto"/>
          <w:sz w:val="32"/>
          <w:szCs w:val="32"/>
        </w:rPr>
        <w:t>macrocephalus</w:t>
      </w:r>
      <w:proofErr w:type="spellEnd"/>
      <w:r w:rsidR="002E0394">
        <w:rPr>
          <w:rFonts w:cs="Times New Roman"/>
          <w:color w:val="auto"/>
          <w:sz w:val="32"/>
          <w:szCs w:val="32"/>
        </w:rPr>
        <w:t>)</w:t>
      </w:r>
      <w:r w:rsidRPr="00286669">
        <w:rPr>
          <w:rFonts w:cs="Times New Roman"/>
          <w:color w:val="auto"/>
          <w:sz w:val="32"/>
          <w:szCs w:val="32"/>
        </w:rPr>
        <w:t xml:space="preserve"> </w:t>
      </w:r>
      <w:r>
        <w:rPr>
          <w:rFonts w:cs="Times New Roman"/>
          <w:color w:val="auto"/>
          <w:sz w:val="32"/>
          <w:szCs w:val="32"/>
        </w:rPr>
        <w:t>in the Bering Sea</w:t>
      </w:r>
    </w:p>
    <w:p w14:paraId="26108DC2" w14:textId="77777777" w:rsidR="002E0394" w:rsidRPr="0046662C" w:rsidRDefault="002E0394" w:rsidP="00714810">
      <w:pPr>
        <w:spacing w:line="480" w:lineRule="auto"/>
        <w:jc w:val="both"/>
      </w:pPr>
    </w:p>
    <w:p w14:paraId="641B0F49" w14:textId="77777777" w:rsidR="002E0394" w:rsidRPr="00EF4B56" w:rsidRDefault="002E0394" w:rsidP="00714810">
      <w:pPr>
        <w:pStyle w:val="Authors"/>
        <w:spacing w:line="480" w:lineRule="auto"/>
        <w:jc w:val="both"/>
        <w:rPr>
          <w:rFonts w:cs="Times New Roman"/>
        </w:rPr>
      </w:pPr>
      <w:r w:rsidRPr="00A524A3">
        <w:rPr>
          <w:rFonts w:cs="Times New Roman"/>
        </w:rPr>
        <w:t>Kelli F. Johnson</w:t>
      </w:r>
      <w:r w:rsidRPr="00A524A3">
        <w:rPr>
          <w:rFonts w:cs="Times New Roman"/>
          <w:vertAlign w:val="superscript"/>
        </w:rPr>
        <w:t>1*</w:t>
      </w:r>
      <w:r w:rsidRPr="00A524A3">
        <w:rPr>
          <w:rFonts w:cs="Times New Roman"/>
        </w:rPr>
        <w:t xml:space="preserve">, </w:t>
      </w:r>
      <w:r>
        <w:rPr>
          <w:rFonts w:cs="Times New Roman"/>
        </w:rPr>
        <w:t>André E. Punt</w:t>
      </w:r>
      <w:r w:rsidRPr="00A524A3">
        <w:rPr>
          <w:rFonts w:cs="Times New Roman"/>
          <w:vertAlign w:val="superscript"/>
        </w:rPr>
        <w:t>1</w:t>
      </w:r>
      <w:r w:rsidR="00EF4B56">
        <w:rPr>
          <w:rFonts w:cs="Times New Roman"/>
        </w:rPr>
        <w:t xml:space="preserve">, and </w:t>
      </w:r>
      <w:proofErr w:type="spellStart"/>
      <w:r w:rsidR="00EF4B56">
        <w:rPr>
          <w:rFonts w:cs="Times New Roman"/>
        </w:rPr>
        <w:t>Kerim</w:t>
      </w:r>
      <w:proofErr w:type="spellEnd"/>
      <w:r w:rsidR="00EF4B56">
        <w:rPr>
          <w:rFonts w:cs="Times New Roman"/>
        </w:rPr>
        <w:t xml:space="preserve"> Y. Aydin</w:t>
      </w:r>
      <w:r w:rsidR="00EF4B56">
        <w:rPr>
          <w:rFonts w:cs="Times New Roman"/>
          <w:vertAlign w:val="superscript"/>
        </w:rPr>
        <w:t>2</w:t>
      </w:r>
    </w:p>
    <w:p w14:paraId="7D264C1E" w14:textId="77777777" w:rsidR="002E0394" w:rsidRPr="0046662C" w:rsidRDefault="002E0394" w:rsidP="00714810">
      <w:pPr>
        <w:spacing w:line="480" w:lineRule="auto"/>
        <w:jc w:val="both"/>
      </w:pPr>
    </w:p>
    <w:p w14:paraId="41430A9E" w14:textId="77777777" w:rsidR="002E0394" w:rsidRPr="00EB33F9" w:rsidRDefault="002E0394" w:rsidP="00714810">
      <w:pPr>
        <w:pStyle w:val="BlockQuote"/>
        <w:spacing w:before="0" w:after="0" w:line="480" w:lineRule="auto"/>
        <w:jc w:val="both"/>
        <w:rPr>
          <w:rFonts w:asciiTheme="minorHAnsi" w:hAnsiTheme="minorHAnsi" w:cs="Times New Roman"/>
          <w:i/>
        </w:rPr>
      </w:pPr>
      <w:r w:rsidRPr="00EB33F9">
        <w:rPr>
          <w:rFonts w:asciiTheme="minorHAnsi" w:hAnsiTheme="minorHAnsi" w:cs="Times New Roman"/>
          <w:i/>
          <w:vertAlign w:val="superscript"/>
        </w:rPr>
        <w:t>1</w:t>
      </w:r>
      <w:r w:rsidRPr="00EB33F9">
        <w:rPr>
          <w:rFonts w:asciiTheme="minorHAnsi" w:hAnsiTheme="minorHAnsi" w:cs="Times New Roman"/>
          <w:i/>
        </w:rPr>
        <w:t>School of Aquatic and Fishery Sciences, University of Washington, Box 355020, Seattle, WA 98195-5020, USA</w:t>
      </w:r>
      <w:r w:rsidRPr="00EB33F9">
        <w:rPr>
          <w:rFonts w:asciiTheme="minorHAnsi" w:hAnsiTheme="minorHAnsi" w:cs="Times New Roman"/>
          <w:i/>
        </w:rPr>
        <w:br/>
      </w:r>
      <w:r w:rsidRPr="00EB33F9">
        <w:rPr>
          <w:rFonts w:asciiTheme="minorHAnsi" w:hAnsiTheme="minorHAnsi" w:cs="Times New Roman"/>
          <w:i/>
          <w:vertAlign w:val="superscript"/>
        </w:rPr>
        <w:t>2</w:t>
      </w:r>
      <w:r w:rsidRPr="00EB33F9">
        <w:rPr>
          <w:rFonts w:asciiTheme="minorHAnsi" w:hAnsiTheme="minorHAnsi" w:cs="Times New Roman"/>
          <w:i/>
        </w:rPr>
        <w:t>Alaska Fisheries Science Center, National Marine Fisheries Service, NOAA, 7600 Sand Point Way N.E., Seattle, WA 98115-6349, USA</w:t>
      </w:r>
    </w:p>
    <w:p w14:paraId="43FB22A5" w14:textId="77777777" w:rsidR="002E0394" w:rsidRPr="00F2077D" w:rsidRDefault="002E0394" w:rsidP="00714810">
      <w:pPr>
        <w:spacing w:line="480" w:lineRule="auto"/>
        <w:jc w:val="both"/>
      </w:pPr>
    </w:p>
    <w:p w14:paraId="146CE637" w14:textId="77777777" w:rsidR="00286669" w:rsidRPr="00D81FA8" w:rsidRDefault="002E0394" w:rsidP="00D81FA8">
      <w:pPr>
        <w:pStyle w:val="BlockQuote"/>
        <w:spacing w:before="0" w:after="0" w:line="480" w:lineRule="auto"/>
        <w:jc w:val="both"/>
        <w:rPr>
          <w:rFonts w:asciiTheme="minorHAnsi" w:hAnsiTheme="minorHAnsi" w:cs="Times New Roman"/>
          <w:i/>
        </w:rPr>
      </w:pPr>
      <w:r w:rsidRPr="00C22B00">
        <w:rPr>
          <w:rFonts w:asciiTheme="minorHAnsi" w:hAnsiTheme="minorHAnsi" w:cs="Times New Roman"/>
          <w:i/>
          <w:vertAlign w:val="superscript"/>
        </w:rPr>
        <w:t>*</w:t>
      </w:r>
      <w:r w:rsidRPr="00C22B00">
        <w:rPr>
          <w:rFonts w:asciiTheme="minorHAnsi" w:hAnsiTheme="minorHAnsi" w:cs="Times New Roman"/>
          <w:i/>
        </w:rPr>
        <w:t xml:space="preserve">Corresponding author: </w:t>
      </w:r>
      <w:proofErr w:type="spellStart"/>
      <w:r w:rsidRPr="00C22B00">
        <w:rPr>
          <w:rFonts w:asciiTheme="minorHAnsi" w:hAnsiTheme="minorHAnsi" w:cs="Times New Roman"/>
          <w:i/>
        </w:rPr>
        <w:t>tel</w:t>
      </w:r>
      <w:proofErr w:type="spellEnd"/>
      <w:r w:rsidRPr="00C22B00">
        <w:rPr>
          <w:rFonts w:asciiTheme="minorHAnsi" w:hAnsiTheme="minorHAnsi" w:cs="Times New Roman"/>
          <w:i/>
        </w:rPr>
        <w:t>: +1 206 543 4270; fax: +1 206 685 7471; email: kfjohns@uw.edu</w:t>
      </w:r>
      <w:r w:rsidR="00286669">
        <w:rPr>
          <w:rFonts w:cs="Times New Roman"/>
        </w:rPr>
        <w:br w:type="page"/>
      </w:r>
    </w:p>
    <w:p w14:paraId="30C89064" w14:textId="77777777" w:rsidR="00286669" w:rsidRPr="00A524A3" w:rsidRDefault="00286669" w:rsidP="00714810">
      <w:pPr>
        <w:pStyle w:val="Heading1"/>
        <w:spacing w:before="240" w:line="480" w:lineRule="auto"/>
      </w:pPr>
      <w:r>
        <w:lastRenderedPageBreak/>
        <w:t>Introduction</w:t>
      </w:r>
    </w:p>
    <w:p w14:paraId="19581FF3" w14:textId="77777777" w:rsidR="004D041F" w:rsidRDefault="00477745" w:rsidP="00714810">
      <w:pPr>
        <w:spacing w:line="480" w:lineRule="auto"/>
        <w:jc w:val="both"/>
        <w:rPr>
          <w:rFonts w:cs="Times New Roman"/>
        </w:rPr>
      </w:pPr>
      <w:r>
        <w:rPr>
          <w:rFonts w:cs="Times New Roman"/>
        </w:rPr>
        <w:t xml:space="preserve">The management of modern fisheries relies on stock assessment models, </w:t>
      </w:r>
      <w:r w:rsidR="0029479B">
        <w:rPr>
          <w:rFonts w:cs="Times New Roman"/>
        </w:rPr>
        <w:t xml:space="preserve">which </w:t>
      </w:r>
      <w:r>
        <w:rPr>
          <w:rFonts w:cs="Times New Roman"/>
        </w:rPr>
        <w:t>provid</w:t>
      </w:r>
      <w:r w:rsidR="0029479B">
        <w:rPr>
          <w:rFonts w:cs="Times New Roman"/>
        </w:rPr>
        <w:t>e</w:t>
      </w:r>
      <w:r>
        <w:rPr>
          <w:rFonts w:cs="Times New Roman"/>
        </w:rPr>
        <w:t xml:space="preserve"> estimates of population abundance and potential catch</w:t>
      </w:r>
      <w:r w:rsidR="0029479B">
        <w:rPr>
          <w:rFonts w:cs="Times New Roman"/>
        </w:rPr>
        <w:t>,</w:t>
      </w:r>
      <w:r>
        <w:rPr>
          <w:rFonts w:cs="Times New Roman"/>
        </w:rPr>
        <w:t xml:space="preserve"> given management objectives</w:t>
      </w:r>
      <w:r w:rsidR="00085160">
        <w:rPr>
          <w:rFonts w:cs="Times New Roman"/>
        </w:rPr>
        <w:t>.</w:t>
      </w:r>
      <w:r>
        <w:rPr>
          <w:rFonts w:cs="Times New Roman"/>
        </w:rPr>
        <w:t xml:space="preserve"> </w:t>
      </w:r>
      <w:r w:rsidR="0029479B">
        <w:rPr>
          <w:rFonts w:cs="Times New Roman"/>
        </w:rPr>
        <w:t xml:space="preserve">A typical assumption of stock assessment models is that the </w:t>
      </w:r>
      <w:r>
        <w:rPr>
          <w:rFonts w:cs="Times New Roman"/>
        </w:rPr>
        <w:t xml:space="preserve">population dynamics </w:t>
      </w:r>
      <w:r w:rsidR="0029479B">
        <w:rPr>
          <w:rFonts w:cs="Times New Roman"/>
        </w:rPr>
        <w:t xml:space="preserve">of the harvested species is </w:t>
      </w:r>
      <w:r>
        <w:rPr>
          <w:rFonts w:cs="Times New Roman"/>
        </w:rPr>
        <w:t>uniform throughout the area</w:t>
      </w:r>
      <w:r w:rsidR="0029479B">
        <w:rPr>
          <w:rFonts w:cs="Times New Roman"/>
        </w:rPr>
        <w:t xml:space="preserve"> modeled</w:t>
      </w:r>
      <w:r w:rsidR="00FC2401">
        <w:rPr>
          <w:rFonts w:cs="Times New Roman"/>
        </w:rPr>
        <w:t xml:space="preserve">. Arbitrary fisheries management boundaries, typically set for political ease, often decrease the likelihood that </w:t>
      </w:r>
      <w:proofErr w:type="spellStart"/>
      <w:r w:rsidR="00FC2401">
        <w:rPr>
          <w:rFonts w:cs="Times New Roman"/>
        </w:rPr>
        <w:t>metapopulations</w:t>
      </w:r>
      <w:proofErr w:type="spellEnd"/>
      <w:r w:rsidR="00FC2401">
        <w:rPr>
          <w:rFonts w:cs="Times New Roman"/>
        </w:rPr>
        <w:t xml:space="preserve"> freely mix within the boundaries at which they are managed </w:t>
      </w:r>
      <w:r w:rsidR="00FC2401" w:rsidRPr="00FC2401">
        <w:rPr>
          <w:rFonts w:cs="Times New Roman"/>
          <w:highlight w:val="yellow"/>
        </w:rPr>
        <w:t>(CITATION)</w:t>
      </w:r>
      <w:r w:rsidR="00FC2401">
        <w:rPr>
          <w:rFonts w:cs="Times New Roman"/>
        </w:rPr>
        <w:t xml:space="preserve">. </w:t>
      </w:r>
    </w:p>
    <w:p w14:paraId="64CE7C06" w14:textId="77777777" w:rsidR="00FC2401" w:rsidRDefault="00FC2401" w:rsidP="00FC2401">
      <w:pPr>
        <w:spacing w:line="480" w:lineRule="auto"/>
        <w:ind w:firstLine="720"/>
        <w:jc w:val="both"/>
        <w:rPr>
          <w:rFonts w:cs="Times New Roman"/>
        </w:rPr>
      </w:pPr>
      <w:r>
        <w:rPr>
          <w:rFonts w:cs="Times New Roman"/>
        </w:rPr>
        <w:t>Stocks, or subpopulations, can be defined in almost an infinite number of ways: (1) political boundaries, (2) genetic differentiation, (3) synchronous growth rates or other population dynamics parameters, (4) geographic boundaries, or (5) life-history traits to name a few. The purpose for which one defines a stock often dictates the rules used to define it (</w:t>
      </w:r>
      <w:r w:rsidRPr="00FC2401">
        <w:rPr>
          <w:rFonts w:cs="Times New Roman"/>
          <w:highlight w:val="yellow"/>
        </w:rPr>
        <w:t>CITATION</w:t>
      </w:r>
      <w:r>
        <w:rPr>
          <w:rFonts w:cs="Times New Roman"/>
        </w:rPr>
        <w:t xml:space="preserve">). A priority of fisheries management is to increase yield, whether it be the maximum average yield, maximum sustainable yield, or the maximum economic yield. To ensure the previous it may be imperative that subpopulations of marine fishes are defined based on life history or biological parameters rather than just for the sake of political ease. </w:t>
      </w:r>
    </w:p>
    <w:p w14:paraId="6078EEB5" w14:textId="77777777" w:rsidR="004D041F" w:rsidRDefault="00FC2401" w:rsidP="00FC2401">
      <w:pPr>
        <w:spacing w:line="480" w:lineRule="auto"/>
        <w:ind w:firstLine="720"/>
        <w:jc w:val="both"/>
        <w:rPr>
          <w:rFonts w:cs="Times New Roman"/>
        </w:rPr>
      </w:pPr>
      <w:r>
        <w:rPr>
          <w:rFonts w:cs="Times New Roman"/>
        </w:rPr>
        <w:t xml:space="preserve">In 2010, </w:t>
      </w:r>
      <w:r w:rsidR="004D041F">
        <w:rPr>
          <w:rFonts w:cs="Times New Roman"/>
        </w:rPr>
        <w:t xml:space="preserve">Pacific cod </w:t>
      </w:r>
      <w:proofErr w:type="spellStart"/>
      <w:r>
        <w:rPr>
          <w:rFonts w:cs="Times New Roman"/>
          <w:i/>
        </w:rPr>
        <w:t>Gadus</w:t>
      </w:r>
      <w:proofErr w:type="spellEnd"/>
      <w:r>
        <w:rPr>
          <w:rFonts w:cs="Times New Roman"/>
          <w:i/>
        </w:rPr>
        <w:t xml:space="preserve"> </w:t>
      </w:r>
      <w:proofErr w:type="spellStart"/>
      <w:r>
        <w:rPr>
          <w:rFonts w:cs="Times New Roman"/>
          <w:i/>
        </w:rPr>
        <w:t>macrocephalus</w:t>
      </w:r>
      <w:proofErr w:type="spellEnd"/>
      <w:r>
        <w:rPr>
          <w:rFonts w:cs="Times New Roman"/>
        </w:rPr>
        <w:t xml:space="preserve"> was the 28</w:t>
      </w:r>
      <w:r w:rsidRPr="00FC2401">
        <w:rPr>
          <w:rFonts w:cs="Times New Roman"/>
          <w:vertAlign w:val="superscript"/>
        </w:rPr>
        <w:t>th</w:t>
      </w:r>
      <w:r>
        <w:rPr>
          <w:rFonts w:cs="Times New Roman"/>
        </w:rPr>
        <w:t xml:space="preserve"> largest fishery by weight in the world, with 63% of catches coming from the United States (US), of which 78% were caught in the eastern Bering Sea (EBS) and the Aleutian Islands (AI)</w:t>
      </w:r>
      <w:r w:rsidR="00960ABD">
        <w:rPr>
          <w:rFonts w:cs="Times New Roman"/>
        </w:rPr>
        <w:t xml:space="preserve"> (www.fao.org). In addition to supporting a major commercial fishery, Pacific cod are ecologically important in the EBS and AIs as a predator of </w:t>
      </w:r>
      <w:proofErr w:type="spellStart"/>
      <w:r w:rsidR="00960ABD">
        <w:rPr>
          <w:rFonts w:cs="Times New Roman"/>
        </w:rPr>
        <w:t>pollock</w:t>
      </w:r>
      <w:proofErr w:type="spellEnd"/>
      <w:r w:rsidR="00960ABD">
        <w:rPr>
          <w:rFonts w:cs="Times New Roman"/>
        </w:rPr>
        <w:t>, shrimp, and snow crab (</w:t>
      </w:r>
      <w:r w:rsidR="00960ABD" w:rsidRPr="00960ABD">
        <w:rPr>
          <w:rFonts w:cs="Times New Roman"/>
          <w:highlight w:val="yellow"/>
        </w:rPr>
        <w:t>CITATION</w:t>
      </w:r>
      <w:r w:rsidR="00960ABD">
        <w:rPr>
          <w:rFonts w:cs="Times New Roman"/>
        </w:rPr>
        <w:t xml:space="preserve">) and as prey for fish, sea birds, and marine mammals, in particular the federally endangered Stellar sea lion </w:t>
      </w:r>
      <w:proofErr w:type="spellStart"/>
      <w:r w:rsidR="00960ABD">
        <w:rPr>
          <w:rFonts w:cs="Times New Roman"/>
          <w:i/>
        </w:rPr>
        <w:t>Eumetopias</w:t>
      </w:r>
      <w:proofErr w:type="spellEnd"/>
      <w:r w:rsidR="00960ABD">
        <w:rPr>
          <w:rFonts w:cs="Times New Roman"/>
          <w:i/>
        </w:rPr>
        <w:t xml:space="preserve"> </w:t>
      </w:r>
      <w:proofErr w:type="spellStart"/>
      <w:r w:rsidR="00960ABD">
        <w:rPr>
          <w:rFonts w:cs="Times New Roman"/>
          <w:i/>
        </w:rPr>
        <w:t>jubatus</w:t>
      </w:r>
      <w:proofErr w:type="spellEnd"/>
      <w:r w:rsidR="00960ABD">
        <w:rPr>
          <w:rFonts w:cs="Times New Roman"/>
          <w:i/>
        </w:rPr>
        <w:t xml:space="preserve"> </w:t>
      </w:r>
      <w:r w:rsidR="00960ABD">
        <w:rPr>
          <w:rFonts w:cs="Times New Roman"/>
        </w:rPr>
        <w:t>(</w:t>
      </w:r>
      <w:r w:rsidR="00960ABD" w:rsidRPr="00960ABD">
        <w:rPr>
          <w:rFonts w:cs="Times New Roman"/>
          <w:highlight w:val="yellow"/>
        </w:rPr>
        <w:t>CITATION</w:t>
      </w:r>
      <w:r w:rsidR="00960ABD">
        <w:rPr>
          <w:rFonts w:cs="Times New Roman"/>
        </w:rPr>
        <w:t xml:space="preserve">). </w:t>
      </w:r>
    </w:p>
    <w:p w14:paraId="1A6A919D" w14:textId="77777777" w:rsidR="00960ABD" w:rsidRPr="00FC2401" w:rsidRDefault="00960ABD" w:rsidP="00FC2401">
      <w:pPr>
        <w:spacing w:line="480" w:lineRule="auto"/>
        <w:ind w:firstLine="720"/>
        <w:jc w:val="both"/>
        <w:rPr>
          <w:rFonts w:cs="Times New Roman"/>
        </w:rPr>
      </w:pPr>
      <w:r>
        <w:rPr>
          <w:rFonts w:cs="Times New Roman"/>
        </w:rPr>
        <w:lastRenderedPageBreak/>
        <w:t>In the Bering Sea Aleutian Island (BSAI) management unit, Pacific cod are managed as a single stock, and have been since the introduction of the Magnusson-Stevens Fishery Conservation and management Act in 1977. Historical justification for their management as a single stock came from tagging studies documenting their migration between the regions and their lack of genetic variation between fish separated by large geographic distances (CITATION). Thanks to advances in genetic techniques and increased sample sizes, genetic differentiation between the two areas is now documented (Spies, 2012). Furthermore, probabilities of recapture in areas within close proximity to tagging locations have been shown to be much higher when Pacific cod were tagged and recaptured in the spawning season rather than during the summer (</w:t>
      </w:r>
      <w:r w:rsidRPr="00960ABD">
        <w:rPr>
          <w:rFonts w:cs="Times New Roman"/>
          <w:highlight w:val="yellow"/>
        </w:rPr>
        <w:t>CITATION</w:t>
      </w:r>
      <w:r>
        <w:rPr>
          <w:rFonts w:cs="Times New Roman"/>
        </w:rPr>
        <w:t xml:space="preserve">), suggesting site fidelity. </w:t>
      </w:r>
      <w:r w:rsidRPr="006A5EF7">
        <w:rPr>
          <w:rFonts w:cs="Times New Roman"/>
          <w:highlight w:val="yellow"/>
        </w:rPr>
        <w:t>MAYB</w:t>
      </w:r>
      <w:r w:rsidR="006A5EF7" w:rsidRPr="006A5EF7">
        <w:rPr>
          <w:rFonts w:cs="Times New Roman"/>
          <w:highlight w:val="yellow"/>
        </w:rPr>
        <w:t>E ALSO TALK ABOUT HOW EGGS ARE DEMERSAL and COD RARELY MIGRATE OVER GEOGRAPHIC BARRIERS.</w:t>
      </w:r>
    </w:p>
    <w:p w14:paraId="0560F12E" w14:textId="77777777" w:rsidR="000C4D1E" w:rsidRDefault="006A5EF7" w:rsidP="00714810">
      <w:pPr>
        <w:spacing w:line="480" w:lineRule="auto"/>
        <w:ind w:firstLine="720"/>
        <w:jc w:val="both"/>
        <w:rPr>
          <w:rFonts w:cs="Times New Roman"/>
        </w:rPr>
      </w:pPr>
      <w:r>
        <w:rPr>
          <w:rFonts w:cs="Times New Roman"/>
        </w:rPr>
        <w:t xml:space="preserve">Here we present an ecological assessment of stock structures in EBS Pacific cod from multivariate autoregressive state-space models. </w:t>
      </w:r>
      <w:r w:rsidRPr="003E21E0">
        <w:rPr>
          <w:rFonts w:cs="Times New Roman"/>
        </w:rPr>
        <w:t>Their use in ecology began with time-series data for single populations (Staples, Taper, and Dennis, 2004; Dennis et al., 2006) and later extended into two-dimensional space for movement data (</w:t>
      </w:r>
      <w:proofErr w:type="spellStart"/>
      <w:r w:rsidRPr="003E21E0">
        <w:rPr>
          <w:rFonts w:cs="Times New Roman"/>
        </w:rPr>
        <w:t>Jonsen</w:t>
      </w:r>
      <w:proofErr w:type="spellEnd"/>
      <w:r w:rsidRPr="003E21E0">
        <w:rPr>
          <w:rFonts w:cs="Times New Roman"/>
        </w:rPr>
        <w:t xml:space="preserve">, Myers, and </w:t>
      </w:r>
      <w:proofErr w:type="spellStart"/>
      <w:r w:rsidRPr="003E21E0">
        <w:rPr>
          <w:rFonts w:cs="Times New Roman"/>
        </w:rPr>
        <w:t>Flemming</w:t>
      </w:r>
      <w:proofErr w:type="spellEnd"/>
      <w:r w:rsidRPr="003E21E0">
        <w:rPr>
          <w:rFonts w:cs="Times New Roman"/>
        </w:rPr>
        <w:t>, 2003) and multiple subpopulations (Ward et al., 2009) and species (</w:t>
      </w:r>
      <w:r w:rsidRPr="00A47003">
        <w:rPr>
          <w:rFonts w:cs="Times New Roman"/>
          <w:highlight w:val="yellow"/>
        </w:rPr>
        <w:t>NEED CITATIONS</w:t>
      </w:r>
      <w:r w:rsidRPr="003E21E0">
        <w:rPr>
          <w:rFonts w:cs="Times New Roman"/>
        </w:rPr>
        <w:t>).</w:t>
      </w:r>
      <w:r>
        <w:rPr>
          <w:rFonts w:cs="Times New Roman"/>
        </w:rPr>
        <w:t xml:space="preserve"> Multivariate time-series analysis is one way to detect spatial patterns of correlation and synchrony across multiple locations (CITATION) and can provide inferences on stock structure based on ecological differences. Furthermore, </w:t>
      </w:r>
      <w:r w:rsidR="003E21E0" w:rsidRPr="003E21E0">
        <w:rPr>
          <w:rFonts w:cs="Times New Roman"/>
        </w:rPr>
        <w:t xml:space="preserve">state-space models </w:t>
      </w:r>
      <w:r>
        <w:rPr>
          <w:rFonts w:cs="Times New Roman"/>
        </w:rPr>
        <w:t>can</w:t>
      </w:r>
      <w:r w:rsidR="003E21E0" w:rsidRPr="003E21E0">
        <w:rPr>
          <w:rFonts w:cs="Times New Roman"/>
        </w:rPr>
        <w:t xml:space="preserve"> simultaneously estimate both process and observation error </w:t>
      </w:r>
      <w:r>
        <w:rPr>
          <w:rFonts w:cs="Times New Roman"/>
        </w:rPr>
        <w:t>making</w:t>
      </w:r>
      <w:r w:rsidR="003E21E0" w:rsidRPr="003E21E0">
        <w:rPr>
          <w:rFonts w:cs="Times New Roman"/>
        </w:rPr>
        <w:t xml:space="preserve"> them ideal for ecological data.</w:t>
      </w:r>
      <w:r>
        <w:rPr>
          <w:rFonts w:cs="Times New Roman"/>
        </w:rPr>
        <w:t xml:space="preserve"> T</w:t>
      </w:r>
      <w:r w:rsidR="003E21E0" w:rsidRPr="003E21E0">
        <w:rPr>
          <w:rFonts w:cs="Times New Roman"/>
        </w:rPr>
        <w:t xml:space="preserve">heir ability to partition variation without needing prior estimates of variance or repeated measures facilitates analyses on data sets with missing years or sites within a year </w:t>
      </w:r>
      <w:r>
        <w:rPr>
          <w:rFonts w:cs="Times New Roman"/>
        </w:rPr>
        <w:t>increases</w:t>
      </w:r>
      <w:r w:rsidR="003E21E0" w:rsidRPr="003E21E0">
        <w:rPr>
          <w:rFonts w:cs="Times New Roman"/>
        </w:rPr>
        <w:t xml:space="preserve"> their applicability. </w:t>
      </w:r>
    </w:p>
    <w:p w14:paraId="73112D93" w14:textId="77777777" w:rsidR="000C4D1E" w:rsidRPr="00A524A3" w:rsidRDefault="000C4D1E" w:rsidP="00714810">
      <w:pPr>
        <w:pStyle w:val="Heading1"/>
        <w:spacing w:before="240" w:line="480" w:lineRule="auto"/>
      </w:pPr>
      <w:r>
        <w:lastRenderedPageBreak/>
        <w:t>Methods</w:t>
      </w:r>
    </w:p>
    <w:p w14:paraId="750E659F" w14:textId="77777777" w:rsidR="000C4D1E" w:rsidRPr="000C4D1E" w:rsidRDefault="000C4D1E" w:rsidP="00714810">
      <w:pPr>
        <w:spacing w:line="480" w:lineRule="auto"/>
        <w:jc w:val="both"/>
        <w:rPr>
          <w:rFonts w:cs="Times New Roman"/>
          <w:b/>
        </w:rPr>
      </w:pPr>
      <w:r w:rsidRPr="000C4D1E">
        <w:rPr>
          <w:rFonts w:cs="Times New Roman"/>
          <w:b/>
        </w:rPr>
        <w:t>Data</w:t>
      </w:r>
    </w:p>
    <w:p w14:paraId="445D8377" w14:textId="77777777" w:rsidR="006A5EF7" w:rsidRDefault="00BC47DF" w:rsidP="00714810">
      <w:pPr>
        <w:spacing w:line="480" w:lineRule="auto"/>
        <w:jc w:val="both"/>
        <w:rPr>
          <w:rFonts w:cs="Times New Roman"/>
        </w:rPr>
      </w:pPr>
      <w:commentRangeStart w:id="0"/>
      <w:r>
        <w:rPr>
          <w:rFonts w:cs="Times New Roman"/>
        </w:rPr>
        <w:t xml:space="preserve">The </w:t>
      </w:r>
      <w:r w:rsidR="006A5EF7">
        <w:rPr>
          <w:rFonts w:cs="Times New Roman"/>
        </w:rPr>
        <w:t>EBS is a vast continental shelf with numerous deep marine canyons along its edge. Its wide shelf and northward currents make it a distinct ecological system from the Gulf of Alaska or the Aleutian Islands.</w:t>
      </w:r>
      <w:commentRangeEnd w:id="0"/>
      <w:r w:rsidR="006A5EF7">
        <w:rPr>
          <w:rStyle w:val="CommentReference"/>
        </w:rPr>
        <w:commentReference w:id="0"/>
      </w:r>
    </w:p>
    <w:p w14:paraId="52894C10" w14:textId="77777777" w:rsidR="00BC47DF" w:rsidRPr="00BC47DF" w:rsidRDefault="0048383B" w:rsidP="00714810">
      <w:pPr>
        <w:spacing w:line="480" w:lineRule="auto"/>
        <w:jc w:val="both"/>
        <w:rPr>
          <w:rFonts w:cs="Times New Roman"/>
        </w:rPr>
      </w:pPr>
      <w:r>
        <w:rPr>
          <w:rFonts w:cs="Times New Roman"/>
        </w:rPr>
        <w:tab/>
        <w:t xml:space="preserve">Data were collected from 1982 to 2012 during the </w:t>
      </w:r>
      <w:r w:rsidR="00BC47DF">
        <w:rPr>
          <w:rFonts w:cs="Times New Roman"/>
        </w:rPr>
        <w:t xml:space="preserve">annual </w:t>
      </w:r>
      <w:r w:rsidR="00400568">
        <w:rPr>
          <w:rFonts w:cs="Times New Roman"/>
        </w:rPr>
        <w:t>EBS</w:t>
      </w:r>
      <w:r>
        <w:rPr>
          <w:rFonts w:cs="Times New Roman"/>
        </w:rPr>
        <w:t xml:space="preserve"> </w:t>
      </w:r>
      <w:r w:rsidR="00F83076">
        <w:rPr>
          <w:rFonts w:cs="Times New Roman"/>
        </w:rPr>
        <w:t>shelf b</w:t>
      </w:r>
      <w:r>
        <w:rPr>
          <w:rFonts w:cs="Times New Roman"/>
        </w:rPr>
        <w:t xml:space="preserve">ottom </w:t>
      </w:r>
      <w:r w:rsidR="00F83076">
        <w:rPr>
          <w:rFonts w:cs="Times New Roman"/>
        </w:rPr>
        <w:t>t</w:t>
      </w:r>
      <w:r>
        <w:rPr>
          <w:rFonts w:cs="Times New Roman"/>
        </w:rPr>
        <w:t xml:space="preserve">rawl </w:t>
      </w:r>
      <w:r w:rsidR="00F83076">
        <w:rPr>
          <w:rFonts w:cs="Times New Roman"/>
        </w:rPr>
        <w:t>s</w:t>
      </w:r>
      <w:r>
        <w:rPr>
          <w:rFonts w:cs="Times New Roman"/>
        </w:rPr>
        <w:t xml:space="preserve">urvey, a bottom trawl survey used to estimate biomass, abundance, and population structure of </w:t>
      </w:r>
      <w:proofErr w:type="spellStart"/>
      <w:r>
        <w:rPr>
          <w:rFonts w:cs="Times New Roman"/>
        </w:rPr>
        <w:t>groundfish</w:t>
      </w:r>
      <w:proofErr w:type="spellEnd"/>
      <w:r>
        <w:rPr>
          <w:rFonts w:cs="Times New Roman"/>
        </w:rPr>
        <w:t xml:space="preserve"> and crab for the North Pacific Management Council. The survey area encompasses approximately 463,000 </w:t>
      </w:r>
      <w:r w:rsidRPr="0048383B">
        <w:rPr>
          <w:rFonts w:cs="Times New Roman"/>
        </w:rPr>
        <w:t>km</w:t>
      </w:r>
      <w:r>
        <w:rPr>
          <w:rFonts w:cs="Times New Roman"/>
          <w:vertAlign w:val="superscript"/>
        </w:rPr>
        <w:t>2</w:t>
      </w:r>
      <w:r>
        <w:rPr>
          <w:rFonts w:cs="Times New Roman"/>
        </w:rPr>
        <w:t xml:space="preserve"> with sampling stations </w:t>
      </w:r>
      <w:r w:rsidR="00BC47DF">
        <w:rPr>
          <w:rFonts w:cs="Times New Roman"/>
        </w:rPr>
        <w:t xml:space="preserve">centered </w:t>
      </w:r>
      <w:r>
        <w:rPr>
          <w:rFonts w:cs="Times New Roman"/>
        </w:rPr>
        <w:t xml:space="preserve">on a 37.04 km square grid pattern. However, more intensive sampling </w:t>
      </w:r>
      <w:r w:rsidR="006A5EF7">
        <w:rPr>
          <w:rFonts w:cs="Times New Roman"/>
        </w:rPr>
        <w:t>occurred</w:t>
      </w:r>
      <w:r>
        <w:rPr>
          <w:rFonts w:cs="Times New Roman"/>
        </w:rPr>
        <w:t xml:space="preserve"> in the areas near the Pribilof Islands and St. Matthew Island. Tows of 30 min (estimated on bottom duration) at speeds of 5.6 km </w:t>
      </w:r>
      <w:r w:rsidR="00BC47DF">
        <w:rPr>
          <w:rFonts w:cs="Times New Roman"/>
        </w:rPr>
        <w:t>· h</w:t>
      </w:r>
      <w:r w:rsidR="00BC47DF">
        <w:rPr>
          <w:rFonts w:cs="Times New Roman"/>
          <w:vertAlign w:val="superscript"/>
        </w:rPr>
        <w:t>-1</w:t>
      </w:r>
      <w:r w:rsidR="00BC47DF">
        <w:rPr>
          <w:rFonts w:cs="Times New Roman"/>
        </w:rPr>
        <w:t xml:space="preserve"> were conducted annually at nearly every station (</w:t>
      </w:r>
      <w:r w:rsidR="00BC47DF" w:rsidRPr="00BC47DF">
        <w:rPr>
          <w:rFonts w:cs="Times New Roman"/>
          <w:i/>
        </w:rPr>
        <w:t>n</w:t>
      </w:r>
      <w:r w:rsidR="00BC47DF">
        <w:rPr>
          <w:rFonts w:cs="Times New Roman"/>
        </w:rPr>
        <w:t xml:space="preserve"> = </w:t>
      </w:r>
      <w:r w:rsidR="00BC47DF" w:rsidRPr="00BC47DF">
        <w:rPr>
          <w:rFonts w:cs="Times New Roman"/>
        </w:rPr>
        <w:t>367</w:t>
      </w:r>
      <w:r w:rsidR="00BC47DF">
        <w:rPr>
          <w:rFonts w:cs="Times New Roman"/>
        </w:rPr>
        <w:t xml:space="preserve">). For each tow, species composition of the catch was determined and catch per unit effort (CPUE) was calculated as </w:t>
      </w:r>
      <w:r w:rsidR="00587426">
        <w:rPr>
          <w:rFonts w:cs="Times New Roman"/>
        </w:rPr>
        <w:t xml:space="preserve">the </w:t>
      </w:r>
      <w:r w:rsidR="00BC47DF">
        <w:rPr>
          <w:rFonts w:cs="Times New Roman"/>
        </w:rPr>
        <w:t>weight of the catch (kg) divided by the area swept (ha) for the given trawl.</w:t>
      </w:r>
      <w:r w:rsidR="00587426">
        <w:rPr>
          <w:rFonts w:cs="Times New Roman"/>
        </w:rPr>
        <w:t xml:space="preserve"> The survey region was divided into six bathymetric strata bounded by the 50 m, 100 m, and 200 m isobaths and into two geographic strata that separate the northwest and southeast portions of the study area (Figure 1).</w:t>
      </w:r>
      <w:r w:rsidR="00400568">
        <w:rPr>
          <w:rFonts w:cs="Times New Roman"/>
        </w:rPr>
        <w:t xml:space="preserve"> </w:t>
      </w:r>
      <w:r w:rsidR="00BC47DF">
        <w:rPr>
          <w:rFonts w:cs="Times New Roman"/>
        </w:rPr>
        <w:t xml:space="preserve">For more details of the sampling scheme see </w:t>
      </w:r>
      <w:r w:rsidR="00400568">
        <w:rPr>
          <w:rFonts w:cs="Times New Roman"/>
        </w:rPr>
        <w:t>Hoff (2013).</w:t>
      </w:r>
    </w:p>
    <w:p w14:paraId="7837E7DD" w14:textId="77777777" w:rsidR="000C4D1E" w:rsidRPr="000C4D1E" w:rsidRDefault="000C4D1E" w:rsidP="00714810">
      <w:pPr>
        <w:spacing w:line="480" w:lineRule="auto"/>
        <w:jc w:val="both"/>
        <w:rPr>
          <w:rFonts w:cs="Times New Roman"/>
          <w:b/>
        </w:rPr>
      </w:pPr>
      <w:r w:rsidRPr="000C4D1E">
        <w:rPr>
          <w:rFonts w:cs="Times New Roman"/>
          <w:b/>
        </w:rPr>
        <w:t xml:space="preserve">Multivariate </w:t>
      </w:r>
      <w:r w:rsidR="00EF4B56">
        <w:rPr>
          <w:rFonts w:cs="Times New Roman"/>
          <w:b/>
        </w:rPr>
        <w:t xml:space="preserve">autoregressive </w:t>
      </w:r>
      <w:r w:rsidRPr="000C4D1E">
        <w:rPr>
          <w:rFonts w:cs="Times New Roman"/>
          <w:b/>
        </w:rPr>
        <w:t>state-space model</w:t>
      </w:r>
    </w:p>
    <w:p w14:paraId="13C6F243" w14:textId="77777777" w:rsidR="008C5F57" w:rsidRDefault="000C4D1E" w:rsidP="00714810">
      <w:pPr>
        <w:spacing w:line="480" w:lineRule="auto"/>
        <w:jc w:val="both"/>
        <w:rPr>
          <w:rFonts w:cs="Times New Roman"/>
        </w:rPr>
      </w:pPr>
      <w:r>
        <w:rPr>
          <w:rFonts w:cs="Times New Roman"/>
        </w:rPr>
        <w:t xml:space="preserve">Multivariate </w:t>
      </w:r>
      <w:r w:rsidR="00EF4B56">
        <w:rPr>
          <w:rFonts w:cs="Times New Roman"/>
        </w:rPr>
        <w:t xml:space="preserve">autoregressive </w:t>
      </w:r>
      <w:r>
        <w:rPr>
          <w:rFonts w:cs="Times New Roman"/>
        </w:rPr>
        <w:t>state-space</w:t>
      </w:r>
      <w:r w:rsidR="00EF4B56">
        <w:rPr>
          <w:rFonts w:cs="Times New Roman"/>
        </w:rPr>
        <w:t>s model</w:t>
      </w:r>
      <w:r w:rsidR="007D76A7">
        <w:rPr>
          <w:rFonts w:cs="Times New Roman"/>
        </w:rPr>
        <w:t>s</w:t>
      </w:r>
      <w:r w:rsidR="00EF4B56">
        <w:rPr>
          <w:rFonts w:cs="Times New Roman"/>
        </w:rPr>
        <w:t xml:space="preserve"> were used to model each hypothesized stock structure and estimate </w:t>
      </w:r>
      <w:r w:rsidR="00813638">
        <w:rPr>
          <w:rFonts w:cs="Times New Roman"/>
        </w:rPr>
        <w:t xml:space="preserve">their respective </w:t>
      </w:r>
      <w:r w:rsidR="00EF4B56">
        <w:rPr>
          <w:rFonts w:cs="Times New Roman"/>
        </w:rPr>
        <w:t xml:space="preserve">population parameters. </w:t>
      </w:r>
      <w:r w:rsidR="00813638">
        <w:rPr>
          <w:rFonts w:cs="Times New Roman"/>
        </w:rPr>
        <w:t xml:space="preserve">Models were </w:t>
      </w:r>
      <w:r w:rsidR="00257409">
        <w:rPr>
          <w:rFonts w:cs="Times New Roman"/>
        </w:rPr>
        <w:t xml:space="preserve">discrete, stochastic, and lacked </w:t>
      </w:r>
      <w:r w:rsidR="008C5F57">
        <w:rPr>
          <w:rFonts w:cs="Times New Roman"/>
        </w:rPr>
        <w:t xml:space="preserve">any </w:t>
      </w:r>
      <w:r w:rsidR="00813638">
        <w:rPr>
          <w:rFonts w:cs="Times New Roman"/>
        </w:rPr>
        <w:t>age structur</w:t>
      </w:r>
      <w:r w:rsidR="00FE6E98">
        <w:rPr>
          <w:rFonts w:cs="Times New Roman"/>
        </w:rPr>
        <w:t>e</w:t>
      </w:r>
      <w:r w:rsidR="00813638">
        <w:rPr>
          <w:rFonts w:cs="Times New Roman"/>
        </w:rPr>
        <w:t xml:space="preserve">. Growth </w:t>
      </w:r>
      <w:r w:rsidR="008C5F57">
        <w:rPr>
          <w:rFonts w:cs="Times New Roman"/>
        </w:rPr>
        <w:t xml:space="preserve">rates were modeled using an </w:t>
      </w:r>
      <w:r w:rsidR="00813638">
        <w:rPr>
          <w:rFonts w:cs="Times New Roman"/>
        </w:rPr>
        <w:t xml:space="preserve">exponential </w:t>
      </w:r>
      <w:r w:rsidR="008C5F57">
        <w:rPr>
          <w:rFonts w:cs="Times New Roman"/>
        </w:rPr>
        <w:t>function described by</w:t>
      </w:r>
    </w:p>
    <w:p w14:paraId="5248BA3F" w14:textId="77777777" w:rsidR="008C5F57" w:rsidRDefault="00F06AE4" w:rsidP="00714810">
      <w:pPr>
        <w:spacing w:before="120" w:after="120" w:line="480" w:lineRule="auto"/>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 xml:space="preserve"> </m:t>
        </m:r>
        <m:r>
          <m:rPr>
            <m:sty m:val="p"/>
          </m:rPr>
          <w:rPr>
            <w:rFonts w:ascii="Cambria Math" w:hAnsi="Cambria Math" w:cs="Times New Roman"/>
          </w:rPr>
          <m:t>exp⁡</m:t>
        </m:r>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oMath>
      <w:r w:rsidR="008D6C8A">
        <w:rPr>
          <w:rFonts w:eastAsiaTheme="minorEastAsia" w:cs="Times New Roman"/>
        </w:rPr>
        <w:t>,</w:t>
      </w:r>
      <w:r w:rsidR="008C5F57">
        <w:rPr>
          <w:rFonts w:eastAsiaTheme="minorEastAsia" w:cs="Times New Roman"/>
        </w:rPr>
        <w:tab/>
      </w:r>
      <w:r w:rsidR="008C5F57">
        <w:rPr>
          <w:rFonts w:eastAsiaTheme="minorEastAsia" w:cs="Times New Roman"/>
        </w:rPr>
        <w:tab/>
      </w:r>
      <w:r w:rsidR="008C5F57">
        <w:rPr>
          <w:rFonts w:eastAsiaTheme="minorEastAsia" w:cs="Times New Roman"/>
        </w:rPr>
        <w:tab/>
      </w:r>
      <w:r w:rsidR="008C5F57">
        <w:rPr>
          <w:rFonts w:eastAsiaTheme="minorEastAsia" w:cs="Times New Roman"/>
        </w:rPr>
        <w:tab/>
      </w:r>
      <w:r w:rsidR="008C5F57">
        <w:rPr>
          <w:rFonts w:eastAsiaTheme="minorEastAsia" w:cs="Times New Roman"/>
        </w:rPr>
        <w:tab/>
        <w:t>(1)</w:t>
      </w:r>
    </w:p>
    <w:p w14:paraId="4B1DEEC8" w14:textId="77777777" w:rsidR="008D6C8A" w:rsidRDefault="008D6C8A" w:rsidP="00714810">
      <w:pPr>
        <w:spacing w:line="480" w:lineRule="auto"/>
        <w:jc w:val="both"/>
        <w:rPr>
          <w:rFonts w:eastAsiaTheme="minorEastAsia" w:cs="Times New Roman"/>
        </w:rPr>
      </w:pPr>
      <w:proofErr w:type="gramStart"/>
      <w:r>
        <w:rPr>
          <w:rFonts w:eastAsiaTheme="minorEastAsia" w:cs="Times New Roman"/>
        </w:rPr>
        <w:t>where</w:t>
      </w:r>
      <w:proofErr w:type="gramEnd"/>
      <w:r>
        <w:rPr>
          <w:rFonts w:eastAsiaTheme="minorEastAsia" w:cs="Times New Roman"/>
        </w:rPr>
        <w:t xml:space="preserve"> </w:t>
      </w:r>
      <w:r>
        <w:rPr>
          <w:rFonts w:eastAsiaTheme="minorEastAsia" w:cs="Times New Roman"/>
          <w:i/>
        </w:rPr>
        <w:t>t</w:t>
      </w:r>
      <w:r>
        <w:rPr>
          <w:rFonts w:eastAsiaTheme="minorEastAsia" w:cs="Times New Roman"/>
        </w:rPr>
        <w:t xml:space="preserve"> = 1, 2, …, T; </w:t>
      </w:r>
      <w:proofErr w:type="spellStart"/>
      <w:r>
        <w:rPr>
          <w:rFonts w:eastAsiaTheme="minorEastAsia" w:cs="Times New Roman"/>
          <w:i/>
        </w:rPr>
        <w:t>N</w:t>
      </w:r>
      <w:r>
        <w:rPr>
          <w:rFonts w:eastAsiaTheme="minorEastAsia" w:cs="Times New Roman"/>
          <w:i/>
          <w:vertAlign w:val="subscript"/>
        </w:rPr>
        <w:t>t</w:t>
      </w:r>
      <w:proofErr w:type="spellEnd"/>
      <w:r>
        <w:rPr>
          <w:rFonts w:eastAsiaTheme="minorEastAsia" w:cs="Times New Roman"/>
        </w:rPr>
        <w:t xml:space="preserve"> is the population abundance at time </w:t>
      </w:r>
      <w:r>
        <w:rPr>
          <w:rFonts w:eastAsiaTheme="minorEastAsia" w:cs="Times New Roman"/>
          <w:i/>
        </w:rPr>
        <w:t>t</w:t>
      </w:r>
      <w:r>
        <w:rPr>
          <w:rFonts w:eastAsiaTheme="minorEastAsia" w:cs="Times New Roman"/>
        </w:rPr>
        <w:t xml:space="preserve">; and </w:t>
      </w:r>
      <w:proofErr w:type="spellStart"/>
      <w:r>
        <w:rPr>
          <w:rFonts w:eastAsiaTheme="minorEastAsia" w:cs="Times New Roman"/>
        </w:rPr>
        <w:t>exp</w:t>
      </w:r>
      <w:proofErr w:type="spellEnd"/>
      <w:r>
        <w:rPr>
          <w:rFonts w:eastAsiaTheme="minorEastAsia" w:cs="Times New Roman"/>
        </w:rPr>
        <w:t>(</w:t>
      </w:r>
      <w:r>
        <w:rPr>
          <w:rFonts w:eastAsiaTheme="minorEastAsia" w:cs="Times New Roman"/>
          <w:i/>
        </w:rPr>
        <w:t>u</w:t>
      </w:r>
      <w:r>
        <w:rPr>
          <w:rFonts w:eastAsiaTheme="minorEastAsia" w:cs="Times New Roman"/>
        </w:rPr>
        <w:t xml:space="preserve">) is the deterministic per-unit-abundance growth rate in population density (Dennis </w:t>
      </w:r>
      <w:r>
        <w:rPr>
          <w:rFonts w:eastAsiaTheme="minorEastAsia" w:cs="Times New Roman"/>
          <w:i/>
        </w:rPr>
        <w:t>et al</w:t>
      </w:r>
      <w:r>
        <w:rPr>
          <w:rFonts w:eastAsiaTheme="minorEastAsia" w:cs="Times New Roman"/>
        </w:rPr>
        <w:t xml:space="preserve">., 1991). </w:t>
      </w:r>
      <w:r w:rsidR="00352931">
        <w:rPr>
          <w:rFonts w:cs="Times New Roman"/>
        </w:rPr>
        <w:t xml:space="preserve">Exponential growth can be a valid assumption for depleted populations far from carrying capacity. Pacific cod are a heavily fished species, therefore the biases associated with the assumption of exponential growth are assumed to be minimal in this specific application. </w:t>
      </w:r>
      <w:r w:rsidR="00352931">
        <w:rPr>
          <w:rFonts w:eastAsiaTheme="minorEastAsia" w:cs="Times New Roman"/>
        </w:rPr>
        <w:t>Here, p</w:t>
      </w:r>
      <w:r>
        <w:rPr>
          <w:rFonts w:eastAsiaTheme="minorEastAsia" w:cs="Times New Roman"/>
        </w:rPr>
        <w:t>rocess error (</w:t>
      </w:r>
      <w:proofErr w:type="gramStart"/>
      <w:r>
        <w:rPr>
          <w:rFonts w:eastAsiaTheme="minorEastAsia" w:cs="Times New Roman"/>
          <w:i/>
        </w:rPr>
        <w:t>e</w:t>
      </w:r>
      <w:r>
        <w:rPr>
          <w:rFonts w:eastAsiaTheme="minorEastAsia" w:cs="Times New Roman"/>
          <w:i/>
          <w:vertAlign w:val="subscript"/>
        </w:rPr>
        <w:t>t</w:t>
      </w:r>
      <w:proofErr w:type="gramEnd"/>
      <w:r>
        <w:rPr>
          <w:rFonts w:eastAsiaTheme="minorEastAsia" w:cs="Times New Roman"/>
        </w:rPr>
        <w:t xml:space="preserve">) represents stochastic deviations from the long-term trend due to environmental effects. </w:t>
      </w:r>
      <w:r w:rsidR="004B4FC5">
        <w:rPr>
          <w:rFonts w:eastAsiaTheme="minorEastAsia" w:cs="Times New Roman"/>
        </w:rPr>
        <w:t>P</w:t>
      </w:r>
      <w:r>
        <w:rPr>
          <w:rFonts w:eastAsiaTheme="minorEastAsia" w:cs="Times New Roman"/>
        </w:rPr>
        <w:t xml:space="preserve">rocess error was assumed to be normally distributed with mean of zero and a constant variance. After defining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 xml:space="preserve">) </m:t>
        </m:r>
      </m:oMath>
      <w:r>
        <w:rPr>
          <w:rFonts w:eastAsiaTheme="minorEastAsia" w:cs="Times New Roman"/>
        </w:rPr>
        <w:t xml:space="preserve"> </w:t>
      </w:r>
      <w:r w:rsidR="00352931">
        <w:rPr>
          <w:rFonts w:eastAsiaTheme="minorEastAsia" w:cs="Times New Roman"/>
        </w:rPr>
        <w:t xml:space="preserve">as the growth process for a single subpopulation, the </w:t>
      </w:r>
      <w:r>
        <w:rPr>
          <w:rFonts w:eastAsiaTheme="minorEastAsia" w:cs="Times New Roman"/>
        </w:rPr>
        <w:t xml:space="preserve">growth process </w:t>
      </w:r>
      <w:r w:rsidR="00352931">
        <w:rPr>
          <w:rFonts w:eastAsiaTheme="minorEastAsia" w:cs="Times New Roman"/>
        </w:rPr>
        <w:t>can</w:t>
      </w:r>
      <w:r>
        <w:rPr>
          <w:rFonts w:eastAsiaTheme="minorEastAsia" w:cs="Times New Roman"/>
        </w:rPr>
        <w:t xml:space="preserve"> be expressed as</w:t>
      </w:r>
    </w:p>
    <w:p w14:paraId="565E5E13" w14:textId="77777777" w:rsidR="008D6C8A" w:rsidRDefault="00F06AE4" w:rsidP="00714810">
      <w:pPr>
        <w:spacing w:before="120" w:after="120" w:line="480" w:lineRule="auto"/>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μ+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oMath>
      <w:r w:rsidR="008D6C8A">
        <w:rPr>
          <w:rFonts w:eastAsiaTheme="minorEastAsia" w:cs="Times New Roman"/>
        </w:rPr>
        <w:t>,</w:t>
      </w:r>
      <w:r w:rsidR="008D6C8A">
        <w:rPr>
          <w:rFonts w:eastAsiaTheme="minorEastAsia" w:cs="Times New Roman"/>
        </w:rPr>
        <w:tab/>
      </w:r>
      <w:r w:rsidR="008D6C8A">
        <w:rPr>
          <w:rFonts w:eastAsiaTheme="minorEastAsia" w:cs="Times New Roman"/>
        </w:rPr>
        <w:tab/>
      </w:r>
      <w:r w:rsidR="008D6C8A">
        <w:rPr>
          <w:rFonts w:eastAsiaTheme="minorEastAsia" w:cs="Times New Roman"/>
        </w:rPr>
        <w:tab/>
      </w:r>
      <w:r w:rsidR="008D6C8A">
        <w:rPr>
          <w:rFonts w:eastAsiaTheme="minorEastAsia" w:cs="Times New Roman"/>
        </w:rPr>
        <w:tab/>
      </w:r>
      <w:r w:rsidR="008D6C8A">
        <w:rPr>
          <w:rFonts w:eastAsiaTheme="minorEastAsia" w:cs="Times New Roman"/>
        </w:rPr>
        <w:tab/>
      </w:r>
      <w:r w:rsidR="008D6C8A">
        <w:rPr>
          <w:rFonts w:eastAsiaTheme="minorEastAsia" w:cs="Times New Roman"/>
        </w:rPr>
        <w:tab/>
        <w:t>(2)</w:t>
      </w:r>
    </w:p>
    <w:p w14:paraId="7D4BDC8F" w14:textId="77777777" w:rsidR="008D6C8A" w:rsidRDefault="00352931" w:rsidP="00714810">
      <w:pPr>
        <w:spacing w:line="480" w:lineRule="auto"/>
        <w:jc w:val="both"/>
        <w:rPr>
          <w:rFonts w:eastAsiaTheme="minorEastAsia" w:cs="Times New Roman"/>
        </w:rPr>
      </w:pPr>
      <w:proofErr w:type="gramStart"/>
      <w:r>
        <w:rPr>
          <w:rFonts w:eastAsiaTheme="minorEastAsia" w:cs="Times New Roman"/>
        </w:rPr>
        <w:t>which</w:t>
      </w:r>
      <w:proofErr w:type="gramEnd"/>
      <w:r>
        <w:rPr>
          <w:rFonts w:eastAsiaTheme="minorEastAsia" w:cs="Times New Roman"/>
        </w:rPr>
        <w:t xml:space="preserve"> represents a </w:t>
      </w:r>
      <w:r w:rsidR="008D6C8A">
        <w:rPr>
          <w:rFonts w:eastAsiaTheme="minorEastAsia" w:cs="Times New Roman"/>
        </w:rPr>
        <w:t xml:space="preserve">discrete-time random walk with drift. </w:t>
      </w:r>
      <w:r>
        <w:rPr>
          <w:rFonts w:eastAsiaTheme="minorEastAsia" w:cs="Times New Roman"/>
        </w:rPr>
        <w:t xml:space="preserve">The model becomes multivariate by extending the equation to model </w:t>
      </w:r>
      <w:r>
        <w:rPr>
          <w:rFonts w:eastAsiaTheme="minorEastAsia" w:cs="Times New Roman"/>
          <w:i/>
        </w:rPr>
        <w:t>m</w:t>
      </w:r>
      <w:r>
        <w:rPr>
          <w:rFonts w:eastAsiaTheme="minorEastAsia" w:cs="Times New Roman"/>
        </w:rPr>
        <w:t xml:space="preserve"> unknown subpopulations with potentially correlated growth rates and process error. </w:t>
      </w:r>
      <w:r w:rsidR="00964E4C">
        <w:rPr>
          <w:rFonts w:eastAsiaTheme="minorEastAsia" w:cs="Times New Roman"/>
        </w:rPr>
        <w:t>Using capital letters for vectors</w:t>
      </w:r>
      <w:r w:rsidR="004B4FC5">
        <w:rPr>
          <w:rFonts w:eastAsiaTheme="minorEastAsia" w:cs="Times New Roman"/>
        </w:rPr>
        <w:t xml:space="preserve"> and bold letters for matrices</w:t>
      </w:r>
      <w:r w:rsidR="00964E4C">
        <w:rPr>
          <w:rFonts w:eastAsiaTheme="minorEastAsia" w:cs="Times New Roman"/>
        </w:rPr>
        <w:t>, the equation becomes</w:t>
      </w:r>
    </w:p>
    <w:p w14:paraId="62595C19" w14:textId="77777777" w:rsidR="00964E4C" w:rsidRPr="00352931" w:rsidRDefault="00F06AE4" w:rsidP="00714810">
      <w:pPr>
        <w:spacing w:before="120" w:after="120" w:line="480" w:lineRule="auto"/>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+U+ </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t</m:t>
            </m:r>
          </m:sub>
        </m:sSub>
      </m:oMath>
      <w:r w:rsidR="00964E4C">
        <w:rPr>
          <w:rFonts w:eastAsiaTheme="minorEastAsia" w:cs="Times New Roman"/>
        </w:rPr>
        <w:t xml:space="preserve">, </w:t>
      </w:r>
      <w:r w:rsidR="00964E4C">
        <w:rPr>
          <w:rFonts w:eastAsiaTheme="minorEastAsia" w:cs="Times New Roman"/>
        </w:rPr>
        <w:tab/>
      </w:r>
      <w:r w:rsidR="00964E4C">
        <w:rPr>
          <w:rFonts w:eastAsiaTheme="minorEastAsia" w:cs="Times New Roman"/>
        </w:rPr>
        <w:tab/>
      </w:r>
      <w:r w:rsidR="00964E4C">
        <w:rPr>
          <w:rFonts w:eastAsiaTheme="minorEastAsia" w:cs="Times New Roman"/>
        </w:rPr>
        <w:tab/>
      </w:r>
      <w:r w:rsidR="00964E4C">
        <w:rPr>
          <w:rFonts w:eastAsiaTheme="minorEastAsia" w:cs="Times New Roman"/>
        </w:rPr>
        <w:tab/>
      </w:r>
      <w:r w:rsidR="00964E4C">
        <w:rPr>
          <w:rFonts w:eastAsiaTheme="minorEastAsia" w:cs="Times New Roman"/>
        </w:rPr>
        <w:tab/>
        <w:t>(3)</w:t>
      </w:r>
    </w:p>
    <w:p w14:paraId="192F188E" w14:textId="77777777" w:rsidR="00964E4C" w:rsidRDefault="00964E4C" w:rsidP="00714810">
      <w:pPr>
        <w:spacing w:line="480" w:lineRule="auto"/>
        <w:jc w:val="both"/>
        <w:rPr>
          <w:rFonts w:cs="Times New Roman"/>
        </w:rPr>
      </w:pPr>
      <w:proofErr w:type="gramStart"/>
      <w:r>
        <w:rPr>
          <w:rFonts w:cs="Times New Roman"/>
        </w:rPr>
        <w:t>where</w:t>
      </w:r>
      <w:proofErr w:type="gramEnd"/>
      <w:r>
        <w:rPr>
          <w:rFonts w:cs="Times New Roman"/>
        </w:rPr>
        <w:t xml:space="preserve"> </w:t>
      </w:r>
      <w:r>
        <w:rPr>
          <w:rFonts w:cs="Times New Roman"/>
          <w:i/>
        </w:rPr>
        <w:t>U</w:t>
      </w:r>
      <w:r>
        <w:rPr>
          <w:rFonts w:cs="Times New Roman"/>
        </w:rPr>
        <w:t xml:space="preserve"> is an </w:t>
      </w:r>
      <w:r>
        <w:rPr>
          <w:rFonts w:cs="Times New Roman"/>
          <w:i/>
        </w:rPr>
        <w:t>m x 1</w:t>
      </w:r>
      <w:r>
        <w:rPr>
          <w:rFonts w:cs="Times New Roman"/>
        </w:rPr>
        <w:t xml:space="preserve"> vector of stochastic growth rates and </w:t>
      </w:r>
      <w:proofErr w:type="spellStart"/>
      <w:r w:rsidR="00E125DB">
        <w:rPr>
          <w:rFonts w:cs="Times New Roman"/>
          <w:i/>
        </w:rPr>
        <w:t>ω</w:t>
      </w:r>
      <w:r>
        <w:rPr>
          <w:rFonts w:cs="Times New Roman"/>
          <w:i/>
          <w:vertAlign w:val="subscript"/>
        </w:rPr>
        <w:t>t</w:t>
      </w:r>
      <w:proofErr w:type="spellEnd"/>
      <w:r>
        <w:rPr>
          <w:rFonts w:cs="Times New Roman"/>
        </w:rPr>
        <w:t xml:space="preserve"> is an </w:t>
      </w:r>
      <w:r>
        <w:rPr>
          <w:rFonts w:cs="Times New Roman"/>
          <w:i/>
        </w:rPr>
        <w:t>m x 1</w:t>
      </w:r>
      <w:r>
        <w:rPr>
          <w:rFonts w:cs="Times New Roman"/>
        </w:rPr>
        <w:t xml:space="preserve"> vector of serially uncorrelated process error with a mean of zero and </w:t>
      </w:r>
      <w:r>
        <w:rPr>
          <w:rFonts w:cs="Times New Roman"/>
          <w:i/>
        </w:rPr>
        <w:t>m x m</w:t>
      </w:r>
      <w:r>
        <w:rPr>
          <w:rFonts w:cs="Times New Roman"/>
        </w:rPr>
        <w:t xml:space="preserve"> covariance matrix, </w:t>
      </w:r>
      <w:r w:rsidRPr="00E125DB">
        <w:rPr>
          <w:rFonts w:cs="Times New Roman"/>
          <w:b/>
          <w:i/>
        </w:rPr>
        <w:t>Q</w:t>
      </w:r>
      <w:r>
        <w:rPr>
          <w:rFonts w:cs="Times New Roman"/>
        </w:rPr>
        <w:t>.</w:t>
      </w:r>
    </w:p>
    <w:p w14:paraId="3ECDC186" w14:textId="77777777" w:rsidR="00EF4B56" w:rsidRPr="0033494A" w:rsidRDefault="00964E4C" w:rsidP="00714810">
      <w:pPr>
        <w:spacing w:line="480" w:lineRule="auto"/>
        <w:jc w:val="both"/>
        <w:rPr>
          <w:rFonts w:eastAsiaTheme="minorEastAsia" w:cs="Times New Roman"/>
        </w:rPr>
      </w:pPr>
      <w:r>
        <w:rPr>
          <w:rFonts w:cs="Times New Roman"/>
        </w:rPr>
        <w:tab/>
        <w:t xml:space="preserve">The observed values of log CPUE, </w:t>
      </w:r>
      <w:proofErr w:type="spellStart"/>
      <w:proofErr w:type="gramStart"/>
      <w:r>
        <w:rPr>
          <w:rFonts w:cs="Times New Roman"/>
          <w:i/>
        </w:rPr>
        <w:t>Y</w:t>
      </w:r>
      <w:r>
        <w:rPr>
          <w:rFonts w:cs="Times New Roman"/>
          <w:i/>
          <w:vertAlign w:val="subscript"/>
        </w:rPr>
        <w:t>t</w:t>
      </w:r>
      <w:proofErr w:type="spellEnd"/>
      <w:proofErr w:type="gramEnd"/>
      <w:r>
        <w:rPr>
          <w:rFonts w:cs="Times New Roman"/>
        </w:rPr>
        <w:t xml:space="preserve">, are related to the true log abundances, </w:t>
      </w:r>
      <w:proofErr w:type="spellStart"/>
      <w:r w:rsidRPr="00E125DB">
        <w:rPr>
          <w:rFonts w:cs="Times New Roman"/>
          <w:i/>
        </w:rPr>
        <w:t>X</w:t>
      </w:r>
      <w:r w:rsidRPr="00E125DB">
        <w:rPr>
          <w:rFonts w:cs="Times New Roman"/>
          <w:i/>
          <w:vertAlign w:val="subscript"/>
        </w:rPr>
        <w:t>t</w:t>
      </w:r>
      <w:proofErr w:type="spellEnd"/>
      <w:r>
        <w:rPr>
          <w:rFonts w:cs="Times New Roman"/>
        </w:rPr>
        <w:t>, through the following equation</w:t>
      </w:r>
      <w:r w:rsidR="00813638">
        <w:rPr>
          <w:rFonts w:cs="Times New Roman"/>
        </w:rPr>
        <w:t xml:space="preserve"> </w:t>
      </w:r>
    </w:p>
    <w:p w14:paraId="76860585" w14:textId="77777777" w:rsidR="00EF4B56" w:rsidRDefault="00F06AE4" w:rsidP="00714810">
      <w:pPr>
        <w:spacing w:before="120" w:after="120" w:line="480" w:lineRule="auto"/>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=A+Z</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w:r w:rsidR="00EF4B56">
        <w:rPr>
          <w:rFonts w:eastAsiaTheme="minorEastAsia" w:cs="Times New Roman"/>
        </w:rPr>
        <w:t xml:space="preserve">, </w:t>
      </w:r>
      <w:r w:rsidR="00EF4B56">
        <w:rPr>
          <w:rFonts w:eastAsiaTheme="minorEastAsia" w:cs="Times New Roman"/>
        </w:rPr>
        <w:tab/>
      </w:r>
      <w:r w:rsidR="00E125DB">
        <w:rPr>
          <w:rFonts w:eastAsiaTheme="minorEastAsia" w:cs="Times New Roman"/>
        </w:rPr>
        <w:tab/>
      </w:r>
      <w:r w:rsidR="00E125DB">
        <w:rPr>
          <w:rFonts w:eastAsiaTheme="minorEastAsia" w:cs="Times New Roman"/>
        </w:rPr>
        <w:tab/>
      </w:r>
      <w:r w:rsidR="00E125DB">
        <w:rPr>
          <w:rFonts w:eastAsiaTheme="minorEastAsia" w:cs="Times New Roman"/>
        </w:rPr>
        <w:tab/>
      </w:r>
      <w:r w:rsidR="00E125DB">
        <w:rPr>
          <w:rFonts w:eastAsiaTheme="minorEastAsia" w:cs="Times New Roman"/>
        </w:rPr>
        <w:tab/>
      </w:r>
      <w:r w:rsidR="00EF4B56">
        <w:rPr>
          <w:rFonts w:eastAsiaTheme="minorEastAsia" w:cs="Times New Roman"/>
        </w:rPr>
        <w:tab/>
      </w:r>
      <w:r w:rsidR="00E125DB">
        <w:rPr>
          <w:rFonts w:eastAsiaTheme="minorEastAsia" w:cs="Times New Roman"/>
        </w:rPr>
        <w:t xml:space="preserve"> </w:t>
      </w:r>
      <w:r w:rsidR="00EF4B56">
        <w:rPr>
          <w:rFonts w:eastAsiaTheme="minorEastAsia" w:cs="Times New Roman"/>
        </w:rPr>
        <w:t>(</w:t>
      </w:r>
      <w:r w:rsidR="00E125DB">
        <w:rPr>
          <w:rFonts w:eastAsiaTheme="minorEastAsia" w:cs="Times New Roman"/>
        </w:rPr>
        <w:t>4</w:t>
      </w:r>
      <w:r w:rsidR="00EF4B56">
        <w:rPr>
          <w:rFonts w:eastAsiaTheme="minorEastAsia" w:cs="Times New Roman"/>
        </w:rPr>
        <w:t>)</w:t>
      </w:r>
    </w:p>
    <w:p w14:paraId="0E8EC956" w14:textId="77777777" w:rsidR="00EF4B56" w:rsidRPr="004B4FC5" w:rsidRDefault="00E125DB" w:rsidP="00714810">
      <w:pPr>
        <w:spacing w:before="120" w:after="120" w:line="480" w:lineRule="auto"/>
        <w:jc w:val="both"/>
        <w:rPr>
          <w:rFonts w:cs="Times New Roman"/>
        </w:rPr>
      </w:pPr>
      <w:r>
        <w:rPr>
          <w:rFonts w:eastAsiaTheme="minorEastAsia" w:cs="Times New Roman"/>
        </w:rPr>
        <w:lastRenderedPageBreak/>
        <w:t xml:space="preserve">where </w:t>
      </w:r>
      <w:r>
        <w:rPr>
          <w:rFonts w:eastAsiaTheme="minorEastAsia" w:cs="Times New Roman"/>
          <w:i/>
        </w:rPr>
        <w:t>A</w:t>
      </w:r>
      <w:r>
        <w:rPr>
          <w:rFonts w:eastAsiaTheme="minorEastAsia" w:cs="Times New Roman"/>
        </w:rPr>
        <w:t xml:space="preserve"> is a vector of length </w:t>
      </w:r>
      <w:r>
        <w:rPr>
          <w:rFonts w:eastAsiaTheme="minorEastAsia" w:cs="Times New Roman"/>
          <w:i/>
        </w:rPr>
        <w:t>n</w:t>
      </w:r>
      <w:r>
        <w:rPr>
          <w:rFonts w:eastAsiaTheme="minorEastAsia" w:cs="Times New Roman"/>
        </w:rPr>
        <w:t xml:space="preserve">, representing the mean bias between sites, </w:t>
      </w:r>
      <w:r w:rsidRPr="00E125DB">
        <w:rPr>
          <w:rFonts w:eastAsiaTheme="minorEastAsia" w:cs="Times New Roman"/>
          <w:b/>
          <w:i/>
        </w:rPr>
        <w:t>Z</w:t>
      </w:r>
      <w:r w:rsidRPr="00E125DB">
        <w:rPr>
          <w:rFonts w:eastAsiaTheme="minorEastAsia" w:cs="Times New Roman"/>
          <w:b/>
        </w:rPr>
        <w:t xml:space="preserve"> </w:t>
      </w:r>
      <w:r>
        <w:rPr>
          <w:rFonts w:eastAsiaTheme="minorEastAsia" w:cs="Times New Roman"/>
        </w:rPr>
        <w:t xml:space="preserve">is an </w:t>
      </w:r>
      <w:r>
        <w:rPr>
          <w:rFonts w:eastAsiaTheme="minorEastAsia" w:cs="Times New Roman"/>
          <w:i/>
        </w:rPr>
        <w:t>n x m</w:t>
      </w:r>
      <w:r>
        <w:rPr>
          <w:rFonts w:eastAsiaTheme="minorEastAsia" w:cs="Times New Roman"/>
        </w:rPr>
        <w:t xml:space="preserve"> matrix of 0s and 1s, translating the </w:t>
      </w:r>
      <w:r>
        <w:rPr>
          <w:rFonts w:eastAsiaTheme="minorEastAsia" w:cs="Times New Roman"/>
          <w:i/>
        </w:rPr>
        <w:t>m</w:t>
      </w:r>
      <w:r>
        <w:rPr>
          <w:rFonts w:eastAsiaTheme="minorEastAsia" w:cs="Times New Roman"/>
        </w:rPr>
        <w:t xml:space="preserve"> subpopulation sizes at time </w:t>
      </w:r>
      <w:r>
        <w:rPr>
          <w:rFonts w:eastAsiaTheme="minorEastAsia" w:cs="Times New Roman"/>
          <w:i/>
        </w:rPr>
        <w:t>t</w:t>
      </w:r>
      <w:r>
        <w:rPr>
          <w:rFonts w:eastAsiaTheme="minorEastAsia" w:cs="Times New Roman"/>
        </w:rPr>
        <w:t xml:space="preserve"> into </w:t>
      </w:r>
      <w:r>
        <w:rPr>
          <w:rFonts w:eastAsiaTheme="minorEastAsia" w:cs="Times New Roman"/>
          <w:i/>
        </w:rPr>
        <w:t>n</w:t>
      </w:r>
      <w:r>
        <w:rPr>
          <w:rFonts w:eastAsiaTheme="minorEastAsia" w:cs="Times New Roman"/>
        </w:rPr>
        <w:t xml:space="preserve"> observations at time </w:t>
      </w:r>
      <w:r>
        <w:rPr>
          <w:rFonts w:eastAsiaTheme="minorEastAsia" w:cs="Times New Roman"/>
          <w:i/>
        </w:rPr>
        <w:t>t</w:t>
      </w:r>
      <w:r>
        <w:rPr>
          <w:rFonts w:eastAsiaTheme="minorEastAsia" w:cs="Times New Roman"/>
        </w:rPr>
        <w:t xml:space="preserve">; and </w:t>
      </w:r>
      <w:proofErr w:type="spellStart"/>
      <w:r>
        <w:rPr>
          <w:rFonts w:eastAsiaTheme="minorEastAsia" w:cs="Times New Roman"/>
        </w:rPr>
        <w:t>ε</w:t>
      </w:r>
      <w:r w:rsidRPr="00E125DB">
        <w:rPr>
          <w:rFonts w:eastAsiaTheme="minorEastAsia" w:cs="Times New Roman"/>
          <w:i/>
          <w:vertAlign w:val="subscript"/>
        </w:rPr>
        <w:t>t</w:t>
      </w:r>
      <w:proofErr w:type="spellEnd"/>
      <w:r>
        <w:rPr>
          <w:rFonts w:eastAsiaTheme="minorEastAsia" w:cs="Times New Roman"/>
        </w:rPr>
        <w:t xml:space="preserve"> is a vector of serially uncorrelated observation errors with a mean of zero and </w:t>
      </w:r>
      <w:r>
        <w:rPr>
          <w:rFonts w:eastAsiaTheme="minorEastAsia" w:cs="Times New Roman"/>
          <w:i/>
        </w:rPr>
        <w:t>n x n</w:t>
      </w:r>
      <w:r>
        <w:rPr>
          <w:rFonts w:eastAsiaTheme="minorEastAsia" w:cs="Times New Roman"/>
        </w:rPr>
        <w:t xml:space="preserve"> covariance matrix </w:t>
      </w:r>
      <w:r w:rsidRPr="00E125DB">
        <w:rPr>
          <w:rFonts w:eastAsiaTheme="minorEastAsia" w:cs="Times New Roman"/>
          <w:b/>
        </w:rPr>
        <w:t>R</w:t>
      </w:r>
      <w:r>
        <w:rPr>
          <w:rFonts w:eastAsiaTheme="minorEastAsia" w:cs="Times New Roman"/>
          <w:b/>
        </w:rPr>
        <w:t>.</w:t>
      </w:r>
      <w:r w:rsidR="004B4FC5">
        <w:rPr>
          <w:rFonts w:eastAsiaTheme="minorEastAsia" w:cs="Times New Roman"/>
          <w:b/>
        </w:rPr>
        <w:t xml:space="preserve"> </w:t>
      </w:r>
      <w:r w:rsidR="004B4FC5">
        <w:rPr>
          <w:rFonts w:eastAsiaTheme="minorEastAsia" w:cs="Times New Roman"/>
        </w:rPr>
        <w:t xml:space="preserve">Observation error can include several types of error: sampling error, measurement error, location error, or biases in availability. If ignored, measurement error can create bias in results, but </w:t>
      </w:r>
      <w:r w:rsidR="00083D13">
        <w:rPr>
          <w:rFonts w:eastAsiaTheme="minorEastAsia" w:cs="Times New Roman"/>
        </w:rPr>
        <w:t xml:space="preserve">it </w:t>
      </w:r>
      <w:r w:rsidR="004B4FC5">
        <w:rPr>
          <w:rFonts w:eastAsiaTheme="minorEastAsia" w:cs="Times New Roman"/>
        </w:rPr>
        <w:t xml:space="preserve">does not contribute to </w:t>
      </w:r>
      <w:r w:rsidR="00083D13">
        <w:rPr>
          <w:rFonts w:eastAsiaTheme="minorEastAsia" w:cs="Times New Roman"/>
        </w:rPr>
        <w:t xml:space="preserve">error in the </w:t>
      </w:r>
      <w:r w:rsidR="004B4FC5">
        <w:rPr>
          <w:rFonts w:eastAsiaTheme="minorEastAsia" w:cs="Times New Roman"/>
        </w:rPr>
        <w:t>predictions of future abundances only observations of those abundances.</w:t>
      </w:r>
    </w:p>
    <w:p w14:paraId="16CEB233" w14:textId="77777777" w:rsidR="000C4D1E" w:rsidRPr="000C4D1E" w:rsidRDefault="000C4D1E" w:rsidP="00714810">
      <w:pPr>
        <w:spacing w:line="480" w:lineRule="auto"/>
        <w:jc w:val="both"/>
        <w:rPr>
          <w:rFonts w:cs="Times New Roman"/>
          <w:b/>
        </w:rPr>
      </w:pPr>
      <w:r w:rsidRPr="000C4D1E">
        <w:rPr>
          <w:rFonts w:cs="Times New Roman"/>
          <w:b/>
        </w:rPr>
        <w:t>Candidate models</w:t>
      </w:r>
    </w:p>
    <w:p w14:paraId="12970CB9" w14:textId="77777777" w:rsidR="001C4464" w:rsidRPr="00EF4617" w:rsidRDefault="000C4D1E" w:rsidP="00714810">
      <w:pPr>
        <w:spacing w:line="480" w:lineRule="auto"/>
        <w:jc w:val="both"/>
        <w:rPr>
          <w:rFonts w:cs="Times New Roman"/>
        </w:rPr>
      </w:pPr>
      <w:r>
        <w:rPr>
          <w:rFonts w:cs="Times New Roman"/>
        </w:rPr>
        <w:t xml:space="preserve">Hypothesized stock structures were determined </w:t>
      </w:r>
      <w:r w:rsidRPr="001C4464">
        <w:rPr>
          <w:rFonts w:cs="Times New Roman"/>
          <w:i/>
        </w:rPr>
        <w:t>a priori</w:t>
      </w:r>
      <w:r>
        <w:rPr>
          <w:rFonts w:cs="Times New Roman"/>
        </w:rPr>
        <w:t xml:space="preserve"> </w:t>
      </w:r>
      <w:r w:rsidR="001C4464">
        <w:rPr>
          <w:rFonts w:cs="Times New Roman"/>
        </w:rPr>
        <w:t>based on the life history of Pacific cod</w:t>
      </w:r>
      <w:r w:rsidR="00EF4617">
        <w:rPr>
          <w:rFonts w:cs="Times New Roman"/>
        </w:rPr>
        <w:t xml:space="preserve"> and </w:t>
      </w:r>
      <w:r w:rsidR="00D8665E">
        <w:rPr>
          <w:rFonts w:cs="Times New Roman"/>
        </w:rPr>
        <w:t>oceanography</w:t>
      </w:r>
      <w:r w:rsidR="00EF4617">
        <w:rPr>
          <w:rFonts w:cs="Times New Roman"/>
        </w:rPr>
        <w:t xml:space="preserve"> of the EBS</w:t>
      </w:r>
      <w:r w:rsidR="001C4464">
        <w:rPr>
          <w:rFonts w:cs="Times New Roman"/>
        </w:rPr>
        <w:t xml:space="preserve">. </w:t>
      </w:r>
      <w:r w:rsidR="00EF4617">
        <w:rPr>
          <w:rFonts w:cs="Times New Roman"/>
        </w:rPr>
        <w:t xml:space="preserve">Flow through Unimak Pass results in a weak, but persistent, flow along the 50 m </w:t>
      </w:r>
      <w:proofErr w:type="spellStart"/>
      <w:r w:rsidR="00EF4617">
        <w:rPr>
          <w:rFonts w:cs="Times New Roman"/>
        </w:rPr>
        <w:t>isobath</w:t>
      </w:r>
      <w:proofErr w:type="spellEnd"/>
      <w:r w:rsidR="00EF4617">
        <w:rPr>
          <w:rFonts w:cs="Times New Roman"/>
        </w:rPr>
        <w:t>, which contributes to approximately one third of the flow through the Bering Strait (0.35 m</w:t>
      </w:r>
      <w:r w:rsidR="00EF4617">
        <w:rPr>
          <w:rFonts w:cs="Times New Roman"/>
          <w:vertAlign w:val="superscript"/>
        </w:rPr>
        <w:t>3</w:t>
      </w:r>
      <w:r w:rsidR="00EF4617">
        <w:rPr>
          <w:rFonts w:cs="Times New Roman"/>
        </w:rPr>
        <w:t>/s)</w:t>
      </w:r>
      <w:r w:rsidR="00385B62">
        <w:rPr>
          <w:rFonts w:cs="Times New Roman"/>
        </w:rPr>
        <w:t xml:space="preserve"> (</w:t>
      </w:r>
      <w:proofErr w:type="spellStart"/>
      <w:r w:rsidR="00385B62">
        <w:rPr>
          <w:rFonts w:cs="Times New Roman"/>
        </w:rPr>
        <w:t>Stabeno</w:t>
      </w:r>
      <w:proofErr w:type="spellEnd"/>
      <w:r w:rsidR="00385B62">
        <w:rPr>
          <w:rFonts w:cs="Times New Roman"/>
        </w:rPr>
        <w:t xml:space="preserve">, Reed, and </w:t>
      </w:r>
      <w:proofErr w:type="spellStart"/>
      <w:r w:rsidR="00385B62">
        <w:rPr>
          <w:rFonts w:cs="Times New Roman"/>
        </w:rPr>
        <w:t>Napp</w:t>
      </w:r>
      <w:proofErr w:type="spellEnd"/>
      <w:r w:rsidR="00385B62">
        <w:rPr>
          <w:rFonts w:cs="Times New Roman"/>
        </w:rPr>
        <w:t>, 2002)</w:t>
      </w:r>
      <w:r w:rsidR="00EF4617">
        <w:rPr>
          <w:rFonts w:cs="Times New Roman"/>
        </w:rPr>
        <w:t xml:space="preserve">. A lesser amount of the current coming through Unimak Pass results in a current that continues northwestward along the 100 m </w:t>
      </w:r>
      <w:proofErr w:type="spellStart"/>
      <w:r w:rsidR="00814818">
        <w:rPr>
          <w:rFonts w:cs="Times New Roman"/>
        </w:rPr>
        <w:t>isobath</w:t>
      </w:r>
      <w:proofErr w:type="spellEnd"/>
      <w:r w:rsidR="00EF4617">
        <w:rPr>
          <w:rFonts w:cs="Times New Roman"/>
        </w:rPr>
        <w:t>, although the flow is not temporally consistent in its location (Reed, 1998).</w:t>
      </w:r>
      <w:r w:rsidR="00C754D7">
        <w:rPr>
          <w:rFonts w:cs="Times New Roman"/>
        </w:rPr>
        <w:t xml:space="preserve"> The following hypotheses were based on grouping the inner, middle, and outer areas of the continental shelf into two or three distinct groups (Figure 1).</w:t>
      </w:r>
    </w:p>
    <w:p w14:paraId="47CFBF8B" w14:textId="77777777" w:rsidR="00814818" w:rsidRDefault="00814818" w:rsidP="00714810">
      <w:pPr>
        <w:spacing w:line="480" w:lineRule="auto"/>
        <w:jc w:val="both"/>
        <w:rPr>
          <w:rFonts w:cs="Times New Roman"/>
        </w:rPr>
      </w:pPr>
      <w:r w:rsidRPr="00C754D7">
        <w:rPr>
          <w:rFonts w:cs="Times New Roman"/>
          <w:b/>
        </w:rPr>
        <w:t>Inner slope</w:t>
      </w:r>
      <w:r>
        <w:rPr>
          <w:rFonts w:cs="Times New Roman"/>
        </w:rPr>
        <w:t xml:space="preserve"> (</w:t>
      </w:r>
      <w:r>
        <w:rPr>
          <w:rFonts w:cs="Times New Roman"/>
          <w:i/>
        </w:rPr>
        <w:t>m</w:t>
      </w:r>
      <w:r>
        <w:rPr>
          <w:rFonts w:cs="Times New Roman"/>
        </w:rPr>
        <w:t xml:space="preserve"> = 2): sites along the inner continental shelf (&lt; 50 m) represent a single </w:t>
      </w:r>
      <w:r w:rsidR="00C754D7">
        <w:rPr>
          <w:rFonts w:cs="Times New Roman"/>
        </w:rPr>
        <w:t>subpopulation</w:t>
      </w:r>
      <w:r>
        <w:rPr>
          <w:rFonts w:cs="Times New Roman"/>
        </w:rPr>
        <w:t xml:space="preserve">, while sites in waters deeper than 50 m represent an additional </w:t>
      </w:r>
      <w:r w:rsidR="00C754D7">
        <w:rPr>
          <w:rFonts w:cs="Times New Roman"/>
        </w:rPr>
        <w:t>subpopulation</w:t>
      </w:r>
      <w:r>
        <w:rPr>
          <w:rFonts w:cs="Times New Roman"/>
        </w:rPr>
        <w:t>.</w:t>
      </w:r>
    </w:p>
    <w:p w14:paraId="07F40307" w14:textId="77777777" w:rsidR="009D377D" w:rsidRDefault="009D377D" w:rsidP="00714810">
      <w:pPr>
        <w:spacing w:line="480" w:lineRule="auto"/>
        <w:jc w:val="both"/>
        <w:rPr>
          <w:rFonts w:cs="Times New Roman"/>
        </w:rPr>
      </w:pPr>
      <w:r w:rsidRPr="00C754D7">
        <w:rPr>
          <w:rFonts w:cs="Times New Roman"/>
          <w:b/>
        </w:rPr>
        <w:t>Outer slope</w:t>
      </w:r>
      <w:r>
        <w:rPr>
          <w:rFonts w:cs="Times New Roman"/>
        </w:rPr>
        <w:t xml:space="preserve"> (</w:t>
      </w:r>
      <w:r>
        <w:rPr>
          <w:rFonts w:cs="Times New Roman"/>
          <w:i/>
        </w:rPr>
        <w:t>m</w:t>
      </w:r>
      <w:r>
        <w:rPr>
          <w:rFonts w:cs="Times New Roman"/>
        </w:rPr>
        <w:t xml:space="preserve"> = 2):</w:t>
      </w:r>
      <w:r w:rsidR="00B61445">
        <w:rPr>
          <w:rFonts w:cs="Times New Roman"/>
        </w:rPr>
        <w:t xml:space="preserve"> sites along the outer continental shelf (101 - 200 m) represent a single </w:t>
      </w:r>
      <w:r w:rsidR="00C754D7">
        <w:rPr>
          <w:rFonts w:cs="Times New Roman"/>
        </w:rPr>
        <w:t>subpopulation</w:t>
      </w:r>
      <w:r w:rsidR="00B61445">
        <w:rPr>
          <w:rFonts w:cs="Times New Roman"/>
        </w:rPr>
        <w:t xml:space="preserve">, while sites in waters shallower than 100 m represent an additional </w:t>
      </w:r>
      <w:r w:rsidR="00C754D7">
        <w:rPr>
          <w:rFonts w:cs="Times New Roman"/>
        </w:rPr>
        <w:t>subpopulation</w:t>
      </w:r>
      <w:r w:rsidR="00B61445">
        <w:rPr>
          <w:rFonts w:cs="Times New Roman"/>
        </w:rPr>
        <w:t>.</w:t>
      </w:r>
    </w:p>
    <w:p w14:paraId="3724DA9E" w14:textId="77777777" w:rsidR="009D377D" w:rsidRDefault="009D377D" w:rsidP="00714810">
      <w:pPr>
        <w:spacing w:line="480" w:lineRule="auto"/>
        <w:jc w:val="both"/>
        <w:rPr>
          <w:rFonts w:cs="Times New Roman"/>
        </w:rPr>
      </w:pPr>
      <w:r w:rsidRPr="00C754D7">
        <w:rPr>
          <w:rFonts w:cs="Times New Roman"/>
          <w:b/>
        </w:rPr>
        <w:t xml:space="preserve">Independent </w:t>
      </w:r>
      <w:r>
        <w:rPr>
          <w:rFonts w:cs="Times New Roman"/>
        </w:rPr>
        <w:t>(</w:t>
      </w:r>
      <w:r>
        <w:rPr>
          <w:rFonts w:cs="Times New Roman"/>
          <w:i/>
        </w:rPr>
        <w:t>m</w:t>
      </w:r>
      <w:r w:rsidR="009F0F5E">
        <w:rPr>
          <w:rFonts w:cs="Times New Roman"/>
        </w:rPr>
        <w:t xml:space="preserve"> = 3</w:t>
      </w:r>
      <w:r>
        <w:rPr>
          <w:rFonts w:cs="Times New Roman"/>
        </w:rPr>
        <w:t>):</w:t>
      </w:r>
      <w:r w:rsidR="00B61445">
        <w:rPr>
          <w:rFonts w:cs="Times New Roman"/>
        </w:rPr>
        <w:t xml:space="preserve"> </w:t>
      </w:r>
      <w:r w:rsidR="00C754D7">
        <w:rPr>
          <w:rFonts w:cs="Times New Roman"/>
        </w:rPr>
        <w:t>each of the three areas of the continental slope represent</w:t>
      </w:r>
      <w:r w:rsidR="00412C7F">
        <w:rPr>
          <w:rFonts w:cs="Times New Roman"/>
        </w:rPr>
        <w:t>s</w:t>
      </w:r>
      <w:r w:rsidR="00C754D7">
        <w:rPr>
          <w:rFonts w:cs="Times New Roman"/>
        </w:rPr>
        <w:t xml:space="preserve"> its own subpopulation.</w:t>
      </w:r>
    </w:p>
    <w:p w14:paraId="1BE3A648" w14:textId="77777777" w:rsidR="009D377D" w:rsidRDefault="009D377D" w:rsidP="00714810">
      <w:pPr>
        <w:spacing w:line="480" w:lineRule="auto"/>
        <w:jc w:val="both"/>
        <w:rPr>
          <w:rFonts w:cs="Times New Roman"/>
        </w:rPr>
      </w:pPr>
      <w:r>
        <w:rPr>
          <w:rFonts w:cs="Times New Roman"/>
        </w:rPr>
        <w:lastRenderedPageBreak/>
        <w:tab/>
        <w:t xml:space="preserve">Within the above hypotheses, we tested three levels of process variance complexity ((1) equal process variance, (2) unequal and uncorrelated process variance, and (3) </w:t>
      </w:r>
      <w:commentRangeStart w:id="1"/>
      <w:r>
        <w:rPr>
          <w:rFonts w:cs="Times New Roman"/>
        </w:rPr>
        <w:t>unequal and correlated process variance)</w:t>
      </w:r>
      <w:commentRangeEnd w:id="1"/>
      <w:r w:rsidR="00C754D7">
        <w:rPr>
          <w:rStyle w:val="CommentReference"/>
        </w:rPr>
        <w:commentReference w:id="1"/>
      </w:r>
      <w:r>
        <w:rPr>
          <w:rFonts w:cs="Times New Roman"/>
        </w:rPr>
        <w:t xml:space="preserve"> and </w:t>
      </w:r>
      <w:r w:rsidR="009F0F5E">
        <w:rPr>
          <w:rFonts w:cs="Times New Roman"/>
        </w:rPr>
        <w:t>one</w:t>
      </w:r>
      <w:r>
        <w:rPr>
          <w:rFonts w:cs="Times New Roman"/>
        </w:rPr>
        <w:t xml:space="preserve"> level of observation variance complexity (equal). We did not test for </w:t>
      </w:r>
      <w:r w:rsidR="009F0F5E">
        <w:rPr>
          <w:rFonts w:cs="Times New Roman"/>
        </w:rPr>
        <w:t xml:space="preserve">unequal and uncorrelated or unequal and </w:t>
      </w:r>
      <w:r>
        <w:rPr>
          <w:rFonts w:cs="Times New Roman"/>
        </w:rPr>
        <w:t xml:space="preserve">correlated observation variances because observations were collected independently at each site. </w:t>
      </w:r>
    </w:p>
    <w:p w14:paraId="076EEB8E" w14:textId="77777777" w:rsidR="00F76284" w:rsidRDefault="00F76284" w:rsidP="00714810">
      <w:pPr>
        <w:spacing w:line="480" w:lineRule="auto"/>
        <w:jc w:val="both"/>
        <w:rPr>
          <w:b/>
        </w:rPr>
      </w:pPr>
      <w:r>
        <w:rPr>
          <w:b/>
        </w:rPr>
        <w:t>Priors</w:t>
      </w:r>
    </w:p>
    <w:p w14:paraId="454F606E" w14:textId="77777777" w:rsidR="00D61822" w:rsidRDefault="00D61822" w:rsidP="00714810">
      <w:pPr>
        <w:spacing w:line="480" w:lineRule="auto"/>
        <w:jc w:val="both"/>
      </w:pPr>
      <w:r>
        <w:t xml:space="preserve">The prior for observation error was specified as a </w:t>
      </w:r>
      <w:r w:rsidR="00A47003">
        <w:t>beta</w:t>
      </w:r>
      <w:r>
        <w:t xml:space="preserve"> distribution</w:t>
      </w:r>
      <w:r w:rsidR="00266BD8">
        <w:t xml:space="preserve">, </w:t>
      </w:r>
      <w:r w:rsidR="00A47003">
        <w:t>providing a lower bound of zero</w:t>
      </w:r>
      <w:r>
        <w:t xml:space="preserve">. The </w:t>
      </w:r>
      <w:r w:rsidR="00266BD8">
        <w:t xml:space="preserve">shape </w:t>
      </w:r>
      <w:r w:rsidR="00A47003">
        <w:t xml:space="preserve">and scale </w:t>
      </w:r>
      <w:r w:rsidR="00266BD8">
        <w:t xml:space="preserve">parameters for the </w:t>
      </w:r>
      <w:r>
        <w:t>prior w</w:t>
      </w:r>
      <w:r w:rsidR="00266BD8">
        <w:t>ere</w:t>
      </w:r>
      <w:r>
        <w:t xml:space="preserve"> informed by analyzing sampling variation for </w:t>
      </w:r>
      <w:r w:rsidR="00266BD8">
        <w:t xml:space="preserve">all </w:t>
      </w:r>
      <w:r>
        <w:t xml:space="preserve">stations </w:t>
      </w:r>
      <w:r w:rsidR="00266BD8">
        <w:t xml:space="preserve">within the North Pacific Fishery Management Council </w:t>
      </w:r>
      <w:r>
        <w:t xml:space="preserve">that had multiple tows in a given year. </w:t>
      </w:r>
    </w:p>
    <w:p w14:paraId="11333E7F" w14:textId="77777777" w:rsidR="00503CEC" w:rsidRPr="00C26CD4" w:rsidRDefault="00503CEC" w:rsidP="00714810">
      <w:pPr>
        <w:spacing w:line="480" w:lineRule="auto"/>
        <w:jc w:val="both"/>
      </w:pPr>
      <w:r>
        <w:tab/>
        <w:t>Given that measurements were not available for each subpopulation, only observations of those subpopulations, the initial simulated log cod CPUE (</w:t>
      </w:r>
      <w:r>
        <w:rPr>
          <w:i/>
        </w:rPr>
        <w:t>X</w:t>
      </w:r>
      <w:r>
        <w:rPr>
          <w:i/>
          <w:vertAlign w:val="subscript"/>
        </w:rPr>
        <w:t>1</w:t>
      </w:r>
      <w:r>
        <w:t xml:space="preserve">) values were drawn from random normal distributions with a mean of zero </w:t>
      </w:r>
      <w:r w:rsidR="00A47003">
        <w:t>and a standard deviation of 0.01</w:t>
      </w:r>
      <w:r>
        <w:t xml:space="preserve">. </w:t>
      </w:r>
      <w:r w:rsidRPr="00C26CD4">
        <w:rPr>
          <w:highlight w:val="yellow"/>
        </w:rPr>
        <w:t>N</w:t>
      </w:r>
      <w:r>
        <w:rPr>
          <w:highlight w:val="yellow"/>
        </w:rPr>
        <w:t>EED A BIOLOGICAL BASIS FOR THIS PRIOR.</w:t>
      </w:r>
    </w:p>
    <w:p w14:paraId="75F13C24" w14:textId="77777777" w:rsidR="00503CEC" w:rsidRPr="00C26CD4" w:rsidRDefault="00503CEC" w:rsidP="00714810">
      <w:pPr>
        <w:spacing w:line="480" w:lineRule="auto"/>
        <w:ind w:firstLine="720"/>
        <w:jc w:val="both"/>
      </w:pPr>
      <w:r>
        <w:t>Much of the process variability will arise from deviations in recruitment. Thus, the prior for ω</w:t>
      </w:r>
      <w:r>
        <w:rPr>
          <w:vertAlign w:val="subscript"/>
        </w:rPr>
        <w:t xml:space="preserve"> </w:t>
      </w:r>
      <w:r>
        <w:t xml:space="preserve">was specified as a </w:t>
      </w:r>
      <w:r w:rsidR="00A47003">
        <w:t>gamma</w:t>
      </w:r>
      <w:r>
        <w:t xml:space="preserve"> distribution. The </w:t>
      </w:r>
      <w:r w:rsidR="00E65574">
        <w:t>gamma</w:t>
      </w:r>
      <w:r>
        <w:t xml:space="preserve"> distribution </w:t>
      </w:r>
      <w:r w:rsidR="00E65574">
        <w:t xml:space="preserve">restricts the variance from being negative and leads to low probability of high (&gt;5, given the </w:t>
      </w:r>
      <w:proofErr w:type="spellStart"/>
      <w:r w:rsidR="00E65574">
        <w:t>paramaterization</w:t>
      </w:r>
      <w:proofErr w:type="spellEnd"/>
      <w:r w:rsidR="00E65574">
        <w:t xml:space="preserve">) </w:t>
      </w:r>
      <w:r w:rsidR="00E65574" w:rsidRPr="00E65574">
        <w:rPr>
          <w:highlight w:val="yellow"/>
        </w:rPr>
        <w:t>CITE SOMETHING HERE REGARDING PROCESS ERROR OF MARINE FISHES</w:t>
      </w:r>
      <w:r>
        <w:t>.</w:t>
      </w:r>
    </w:p>
    <w:p w14:paraId="429D1F26" w14:textId="77777777" w:rsidR="00503CEC" w:rsidRPr="00E65574" w:rsidRDefault="00503CEC" w:rsidP="00714810">
      <w:pPr>
        <w:spacing w:line="480" w:lineRule="auto"/>
        <w:ind w:firstLine="720"/>
        <w:jc w:val="both"/>
      </w:pPr>
      <w:r>
        <w:t xml:space="preserve">Priors were the same for all models except when </w:t>
      </w:r>
      <w:r>
        <w:rPr>
          <w:b/>
          <w:i/>
        </w:rPr>
        <w:t>Q</w:t>
      </w:r>
      <w:r>
        <w:t xml:space="preserve"> was unequal and correlated. When the process variances were correlated we used the </w:t>
      </w:r>
      <w:proofErr w:type="spellStart"/>
      <w:r>
        <w:t>Wishart</w:t>
      </w:r>
      <w:proofErr w:type="spellEnd"/>
      <w:r>
        <w:t xml:space="preserve"> distribution. The </w:t>
      </w:r>
      <w:proofErr w:type="spellStart"/>
      <w:r>
        <w:t>Wishart</w:t>
      </w:r>
      <w:proofErr w:type="spellEnd"/>
      <w:r>
        <w:t xml:space="preserve"> distribution is guaranteed to produce positive definite draws, provided that ƞ ≥ </w:t>
      </w:r>
      <w:r>
        <w:rPr>
          <w:i/>
        </w:rPr>
        <w:t xml:space="preserve">p, </w:t>
      </w:r>
      <w:r>
        <w:t>where the smaller ƞ is, the more the variability (</w:t>
      </w:r>
      <w:proofErr w:type="spellStart"/>
      <w:r>
        <w:t>Kollo</w:t>
      </w:r>
      <w:proofErr w:type="spellEnd"/>
      <w:r>
        <w:t xml:space="preserve"> and </w:t>
      </w:r>
      <w:proofErr w:type="spellStart"/>
      <w:r>
        <w:t>Ruul</w:t>
      </w:r>
      <w:proofErr w:type="spellEnd"/>
      <w:r>
        <w:t>, 2003).</w:t>
      </w:r>
      <w:r w:rsidR="00E65574">
        <w:t xml:space="preserve"> The </w:t>
      </w:r>
      <w:proofErr w:type="spellStart"/>
      <w:r w:rsidR="00E65574">
        <w:t>Wishart</w:t>
      </w:r>
      <w:proofErr w:type="spellEnd"/>
      <w:r w:rsidR="00E65574">
        <w:t xml:space="preserve"> was parameterized with </w:t>
      </w:r>
      <w:proofErr w:type="gramStart"/>
      <w:r w:rsidR="00E65574">
        <w:t>an</w:t>
      </w:r>
      <w:proofErr w:type="gramEnd"/>
      <w:r w:rsidR="00E65574">
        <w:t xml:space="preserve"> ƞ = </w:t>
      </w:r>
      <w:r w:rsidR="00E65574">
        <w:rPr>
          <w:i/>
        </w:rPr>
        <w:t>p</w:t>
      </w:r>
      <w:r w:rsidR="00E65574">
        <w:t xml:space="preserve"> + 1 for all models.</w:t>
      </w:r>
    </w:p>
    <w:p w14:paraId="20C0C834" w14:textId="77777777" w:rsidR="00F76284" w:rsidRDefault="00266BD8" w:rsidP="00714810">
      <w:pPr>
        <w:spacing w:line="480" w:lineRule="auto"/>
        <w:jc w:val="both"/>
      </w:pPr>
      <w:r>
        <w:lastRenderedPageBreak/>
        <w:tab/>
        <w:t xml:space="preserve">Under the assumption that the priors for each parameter are independent, given that a </w:t>
      </w:r>
      <w:proofErr w:type="spellStart"/>
      <w:r>
        <w:t>Wishart</w:t>
      </w:r>
      <w:proofErr w:type="spellEnd"/>
      <w:r>
        <w:t xml:space="preserve"> distribution is used when variances are correlated, the priors were constructed individually and the joint prior is the product of the priors for each parameter:</w:t>
      </w:r>
    </w:p>
    <w:p w14:paraId="1ECD2CBD" w14:textId="77777777" w:rsidR="00266BD8" w:rsidRDefault="00266BD8" w:rsidP="00714810">
      <w:pPr>
        <w:spacing w:line="480" w:lineRule="auto"/>
        <w:jc w:val="right"/>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p(</m:t>
            </m:r>
            <m:sSubSup>
              <m:sSubSupPr>
                <m:ctrlPr>
                  <w:rPr>
                    <w:rFonts w:ascii="Cambria Math" w:hAnsi="Cambria Math"/>
                    <w:i/>
                  </w:rPr>
                </m:ctrlPr>
              </m:sSubSupPr>
              <m:e>
                <m:r>
                  <w:rPr>
                    <w:rFonts w:ascii="Cambria Math" w:hAnsi="Cambria Math"/>
                  </w:rPr>
                  <m:t>θ</m:t>
                </m:r>
              </m:e>
              <m:sub>
                <m:r>
                  <w:rPr>
                    <w:rFonts w:ascii="Cambria Math" w:hAnsi="Cambria Math"/>
                  </w:rPr>
                  <m:t>k</m:t>
                </m:r>
              </m:sub>
              <m:sup>
                <m:r>
                  <w:rPr>
                    <w:rFonts w:ascii="Cambria Math" w:hAnsi="Cambria Math"/>
                  </w:rPr>
                  <m:t>i</m:t>
                </m:r>
              </m:sup>
            </m:sSubSup>
            <m:r>
              <w:rPr>
                <w:rFonts w:ascii="Cambria Math" w:hAnsi="Cambria Math"/>
              </w:rPr>
              <m:t>)</m:t>
            </m:r>
          </m:e>
        </m:nary>
      </m:oMath>
      <w:r w:rsidR="00363AF6">
        <w:rPr>
          <w:rFonts w:eastAsiaTheme="minorEastAsia"/>
        </w:rPr>
        <w:t>,</w:t>
      </w:r>
      <w:r w:rsidR="00363AF6">
        <w:rPr>
          <w:rFonts w:eastAsiaTheme="minorEastAsia"/>
        </w:rPr>
        <w:tab/>
      </w:r>
      <w:r w:rsidR="00363AF6">
        <w:rPr>
          <w:rFonts w:eastAsiaTheme="minorEastAsia"/>
        </w:rPr>
        <w:tab/>
      </w:r>
      <w:r w:rsidR="00363AF6">
        <w:rPr>
          <w:rFonts w:eastAsiaTheme="minorEastAsia"/>
        </w:rPr>
        <w:tab/>
      </w:r>
      <w:r w:rsidR="00363AF6">
        <w:rPr>
          <w:rFonts w:eastAsiaTheme="minorEastAsia"/>
        </w:rPr>
        <w:tab/>
      </w:r>
      <w:r w:rsidR="00363AF6">
        <w:rPr>
          <w:rFonts w:eastAsiaTheme="minorEastAsia"/>
        </w:rPr>
        <w:tab/>
      </w:r>
      <w:r w:rsidR="00363AF6">
        <w:rPr>
          <w:rFonts w:eastAsiaTheme="minorEastAsia"/>
        </w:rPr>
        <w:tab/>
        <w:t>(5)</w:t>
      </w:r>
    </w:p>
    <w:p w14:paraId="403A0AD4" w14:textId="77777777" w:rsidR="00363AF6" w:rsidRPr="00363AF6" w:rsidRDefault="00363AF6" w:rsidP="00714810">
      <w:pPr>
        <w:spacing w:line="480" w:lineRule="auto"/>
        <w:jc w:val="both"/>
      </w:pPr>
      <w:proofErr w:type="gramStart"/>
      <w:r>
        <w:rPr>
          <w:rFonts w:eastAsiaTheme="minorEastAsia"/>
        </w:rPr>
        <w:t>where</w:t>
      </w:r>
      <w:proofErr w:type="gramEnd"/>
      <w:r>
        <w:rPr>
          <w:rFonts w:eastAsiaTheme="minorEastAsia"/>
        </w:rPr>
        <w:t xml:space="preserve"> </w:t>
      </w:r>
      <w:r>
        <w:rPr>
          <w:rFonts w:eastAsiaTheme="minorEastAsia"/>
          <w:i/>
        </w:rPr>
        <w:t>p(</w:t>
      </w:r>
      <w:proofErr w:type="spellStart"/>
      <w:r>
        <w:rPr>
          <w:rFonts w:eastAsiaTheme="minorEastAsia"/>
        </w:rPr>
        <w:t>θ</w:t>
      </w:r>
      <w:r>
        <w:rPr>
          <w:rFonts w:eastAsiaTheme="minorEastAsia"/>
          <w:vertAlign w:val="superscript"/>
        </w:rPr>
        <w:t>i</w:t>
      </w:r>
      <w:r>
        <w:rPr>
          <w:rFonts w:eastAsiaTheme="minorEastAsia"/>
          <w:vertAlign w:val="subscript"/>
        </w:rPr>
        <w:t>k</w:t>
      </w:r>
      <w:proofErr w:type="spellEnd"/>
      <w:r>
        <w:rPr>
          <w:rFonts w:eastAsiaTheme="minorEastAsia"/>
        </w:rPr>
        <w:t xml:space="preserve">) is the prior for parameter </w:t>
      </w:r>
      <w:proofErr w:type="spellStart"/>
      <w:r w:rsidR="00A47003">
        <w:rPr>
          <w:rFonts w:eastAsiaTheme="minorEastAsia"/>
          <w:i/>
        </w:rPr>
        <w:t>i</w:t>
      </w:r>
      <w:proofErr w:type="spellEnd"/>
      <w:r>
        <w:rPr>
          <w:rFonts w:eastAsiaTheme="minorEastAsia"/>
        </w:rPr>
        <w:t xml:space="preserve"> </w:t>
      </w:r>
      <w:r w:rsidR="00A47003">
        <w:rPr>
          <w:rFonts w:eastAsiaTheme="minorEastAsia"/>
        </w:rPr>
        <w:t>(</w:t>
      </w:r>
      <w:proofErr w:type="spellStart"/>
      <w:r w:rsidR="00A47003">
        <w:rPr>
          <w:rFonts w:eastAsiaTheme="minorEastAsia"/>
        </w:rPr>
        <w:t>i</w:t>
      </w:r>
      <w:proofErr w:type="spellEnd"/>
      <w:r w:rsidR="00A47003">
        <w:rPr>
          <w:rFonts w:eastAsiaTheme="minorEastAsia"/>
        </w:rPr>
        <w:t xml:space="preserve"> = 1, 2, 3, …, </w:t>
      </w:r>
      <w:r w:rsidR="00A47003" w:rsidRPr="00A47003">
        <w:rPr>
          <w:rFonts w:eastAsiaTheme="minorEastAsia"/>
        </w:rPr>
        <w:t>S</w:t>
      </w:r>
      <w:r w:rsidR="00A47003">
        <w:rPr>
          <w:rFonts w:eastAsiaTheme="minorEastAsia"/>
        </w:rPr>
        <w:t xml:space="preserve">; where </w:t>
      </w:r>
      <w:r w:rsidR="00A47003">
        <w:rPr>
          <w:rFonts w:eastAsiaTheme="minorEastAsia"/>
          <w:i/>
        </w:rPr>
        <w:t>S</w:t>
      </w:r>
      <w:r w:rsidR="00A47003">
        <w:rPr>
          <w:rFonts w:eastAsiaTheme="minorEastAsia"/>
        </w:rPr>
        <w:t xml:space="preserve"> is the number of parameters in model </w:t>
      </w:r>
      <w:r w:rsidR="00A47003">
        <w:rPr>
          <w:rFonts w:eastAsiaTheme="minorEastAsia"/>
          <w:i/>
        </w:rPr>
        <w:t>k</w:t>
      </w:r>
      <w:r w:rsidR="00A47003">
        <w:rPr>
          <w:rFonts w:eastAsiaTheme="minorEastAsia"/>
        </w:rPr>
        <w:t xml:space="preserve">) </w:t>
      </w:r>
      <w:r w:rsidRPr="00A47003">
        <w:rPr>
          <w:rFonts w:eastAsiaTheme="minorEastAsia"/>
        </w:rPr>
        <w:t>in</w:t>
      </w:r>
      <w:r>
        <w:rPr>
          <w:rFonts w:eastAsiaTheme="minorEastAsia"/>
        </w:rPr>
        <w:t xml:space="preserve"> the vector </w:t>
      </w:r>
      <w:proofErr w:type="spellStart"/>
      <w:r>
        <w:rPr>
          <w:rFonts w:eastAsiaTheme="minorEastAsia"/>
        </w:rPr>
        <w:t>θ</w:t>
      </w:r>
      <w:r>
        <w:rPr>
          <w:rFonts w:eastAsiaTheme="minorEastAsia"/>
          <w:vertAlign w:val="subscript"/>
        </w:rPr>
        <w:t>k</w:t>
      </w:r>
      <w:proofErr w:type="spellEnd"/>
      <w:r>
        <w:rPr>
          <w:rFonts w:eastAsiaTheme="minorEastAsia"/>
        </w:rPr>
        <w:t>.</w:t>
      </w:r>
    </w:p>
    <w:p w14:paraId="0DBE3B63" w14:textId="77777777" w:rsidR="000C4D1E" w:rsidRPr="000C4D1E" w:rsidRDefault="000C4D1E" w:rsidP="00714810">
      <w:pPr>
        <w:spacing w:line="480" w:lineRule="auto"/>
        <w:jc w:val="both"/>
        <w:rPr>
          <w:b/>
        </w:rPr>
      </w:pPr>
      <w:r w:rsidRPr="000C4D1E">
        <w:rPr>
          <w:b/>
        </w:rPr>
        <w:t>Estimation</w:t>
      </w:r>
    </w:p>
    <w:p w14:paraId="55F90CAC" w14:textId="77777777" w:rsidR="009878D6" w:rsidRDefault="009878D6" w:rsidP="00714810">
      <w:pPr>
        <w:spacing w:line="480" w:lineRule="auto"/>
        <w:jc w:val="both"/>
        <w:rPr>
          <w:rFonts w:eastAsiaTheme="minorEastAsia"/>
        </w:rPr>
      </w:pPr>
      <w:r>
        <w:t>The probability that a given hypothesis is true (</w:t>
      </w:r>
      <w:proofErr w:type="spellStart"/>
      <w:r>
        <w:rPr>
          <w:rFonts w:eastAsiaTheme="minorEastAsia"/>
        </w:rPr>
        <w:t>θ</w:t>
      </w:r>
      <w:r>
        <w:rPr>
          <w:rFonts w:eastAsiaTheme="minorEastAsia"/>
          <w:vertAlign w:val="subscript"/>
        </w:rPr>
        <w:t>i</w:t>
      </w:r>
      <w:proofErr w:type="spellEnd"/>
      <w:r>
        <w:rPr>
          <w:rFonts w:eastAsiaTheme="minorEastAsia"/>
        </w:rPr>
        <w:t>) is conditioned on the data, (</w:t>
      </w:r>
      <w:proofErr w:type="spellStart"/>
      <w:r>
        <w:rPr>
          <w:rFonts w:eastAsiaTheme="minorEastAsia"/>
        </w:rPr>
        <w:t>θ</w:t>
      </w:r>
      <w:r>
        <w:rPr>
          <w:rFonts w:eastAsiaTheme="minorEastAsia"/>
          <w:vertAlign w:val="subscript"/>
        </w:rPr>
        <w:t>i</w:t>
      </w:r>
      <w:r>
        <w:rPr>
          <w:rFonts w:eastAsiaTheme="minorEastAsia"/>
        </w:rPr>
        <w:t>|data</w:t>
      </w:r>
      <w:proofErr w:type="spellEnd"/>
      <w:r>
        <w:rPr>
          <w:rFonts w:eastAsiaTheme="minorEastAsia"/>
        </w:rPr>
        <w:t xml:space="preserve">), </w:t>
      </w:r>
      <w:r w:rsidR="00DE1FA1">
        <w:rPr>
          <w:rFonts w:eastAsiaTheme="minorEastAsia"/>
        </w:rPr>
        <w:t xml:space="preserve">and </w:t>
      </w:r>
      <w:r>
        <w:rPr>
          <w:rFonts w:eastAsiaTheme="minorEastAsia"/>
        </w:rPr>
        <w:t>is given by</w:t>
      </w:r>
    </w:p>
    <w:p w14:paraId="4E67F5CE" w14:textId="77777777" w:rsidR="009878D6" w:rsidRDefault="009878D6" w:rsidP="00714810">
      <w:pPr>
        <w:spacing w:line="480" w:lineRule="auto"/>
        <w:jc w:val="right"/>
        <w:rPr>
          <w:rFonts w:eastAsiaTheme="minorEastAsia"/>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data</m:t>
                </m:r>
              </m:e>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)dθ</m:t>
            </m:r>
          </m:num>
          <m:den>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data</m:t>
                    </m:r>
                  </m:e>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dθ</m:t>
                </m:r>
              </m:e>
            </m:nary>
          </m:den>
        </m:f>
      </m:oMath>
      <w:r w:rsidR="00DE1FA1">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14:paraId="054DB914" w14:textId="77777777" w:rsidR="009878D6" w:rsidRDefault="009878D6" w:rsidP="00714810">
      <w:pPr>
        <w:spacing w:line="480" w:lineRule="auto"/>
        <w:jc w:val="both"/>
        <w:rPr>
          <w:rFonts w:eastAsiaTheme="minorEastAsia"/>
        </w:rPr>
      </w:pPr>
      <w:proofErr w:type="gramStart"/>
      <w:r>
        <w:rPr>
          <w:rFonts w:eastAsiaTheme="minorEastAsia"/>
        </w:rPr>
        <w:t>where</w:t>
      </w:r>
      <w:proofErr w:type="gramEnd"/>
      <w:r>
        <w:rPr>
          <w:rFonts w:eastAsiaTheme="minorEastAsia"/>
        </w:rPr>
        <w:t xml:space="preserve"> </w:t>
      </w:r>
      <w:r w:rsidRPr="009878D6">
        <w:rPr>
          <w:rFonts w:eastAsiaTheme="minorEastAsia"/>
          <w:i/>
        </w:rPr>
        <w:t>p</w:t>
      </w:r>
      <w:r>
        <w:rPr>
          <w:rFonts w:eastAsiaTheme="minorEastAsia"/>
        </w:rPr>
        <w:t>(</w:t>
      </w:r>
      <w:proofErr w:type="spellStart"/>
      <w:r>
        <w:rPr>
          <w:rFonts w:eastAsiaTheme="minorEastAsia"/>
        </w:rPr>
        <w:t>θ</w:t>
      </w:r>
      <w:r>
        <w:rPr>
          <w:rFonts w:eastAsiaTheme="minorEastAsia"/>
          <w:vertAlign w:val="subscript"/>
        </w:rPr>
        <w:t>i</w:t>
      </w:r>
      <w:proofErr w:type="spellEnd"/>
      <w:r>
        <w:rPr>
          <w:rFonts w:eastAsiaTheme="minorEastAsia"/>
        </w:rPr>
        <w:t xml:space="preserve">) is the prior probability density for the hypothesis </w:t>
      </w:r>
      <w:proofErr w:type="spellStart"/>
      <w:r w:rsidR="00DE1FA1">
        <w:rPr>
          <w:rFonts w:eastAsiaTheme="minorEastAsia"/>
          <w:i/>
        </w:rPr>
        <w:t>i</w:t>
      </w:r>
      <w:proofErr w:type="spellEnd"/>
      <w:r>
        <w:rPr>
          <w:rFonts w:eastAsiaTheme="minorEastAsia"/>
        </w:rPr>
        <w:t xml:space="preserve"> and </w:t>
      </w:r>
      <w:r>
        <w:rPr>
          <w:rFonts w:eastAsiaTheme="minorEastAsia"/>
          <w:i/>
        </w:rPr>
        <w:t>L(</w:t>
      </w:r>
      <w:proofErr w:type="spellStart"/>
      <w:r>
        <w:rPr>
          <w:rFonts w:eastAsiaTheme="minorEastAsia"/>
          <w:i/>
        </w:rPr>
        <w:t>data|</w:t>
      </w:r>
      <w:r>
        <w:rPr>
          <w:rFonts w:eastAsiaTheme="minorEastAsia"/>
        </w:rPr>
        <w:t>θ</w:t>
      </w:r>
      <w:r>
        <w:rPr>
          <w:rFonts w:eastAsiaTheme="minorEastAsia"/>
          <w:i/>
          <w:vertAlign w:val="subscript"/>
        </w:rPr>
        <w:t>i</w:t>
      </w:r>
      <w:proofErr w:type="spellEnd"/>
      <w:r>
        <w:rPr>
          <w:rFonts w:eastAsiaTheme="minorEastAsia"/>
        </w:rPr>
        <w:t xml:space="preserve">) is the likelihood function for the data evaluated at </w:t>
      </w:r>
      <w:proofErr w:type="spellStart"/>
      <w:r>
        <w:rPr>
          <w:rFonts w:eastAsiaTheme="minorEastAsia"/>
        </w:rPr>
        <w:t>θ</w:t>
      </w:r>
      <w:r>
        <w:rPr>
          <w:rFonts w:eastAsiaTheme="minorEastAsia"/>
          <w:i/>
          <w:vertAlign w:val="subscript"/>
        </w:rPr>
        <w:t>i</w:t>
      </w:r>
      <w:proofErr w:type="spellEnd"/>
      <w:r>
        <w:rPr>
          <w:rFonts w:eastAsiaTheme="minorEastAsia"/>
        </w:rPr>
        <w:t>. Given the problem at hand, the likelihood function was evaluated as:</w:t>
      </w:r>
    </w:p>
    <w:p w14:paraId="11C1F48F" w14:textId="77777777" w:rsidR="009878D6" w:rsidRPr="009878D6" w:rsidRDefault="009878D6" w:rsidP="00714810">
      <w:pPr>
        <w:spacing w:line="480" w:lineRule="auto"/>
        <w:jc w:val="right"/>
      </w:pPr>
      <w:commentRangeStart w:id="2"/>
      <m:oMath>
        <m:r>
          <w:rPr>
            <w:rFonts w:ascii="Cambria Math" w:hAnsi="Cambria Math"/>
          </w:rPr>
          <m:t>L</m:t>
        </m:r>
        <m:d>
          <m:dPr>
            <m:ctrlPr>
              <w:rPr>
                <w:rFonts w:ascii="Cambria Math" w:hAnsi="Cambria Math"/>
                <w:i/>
              </w:rPr>
            </m:ctrlPr>
          </m:dPr>
          <m:e>
            <m:r>
              <w:rPr>
                <w:rFonts w:ascii="Cambria Math" w:hAnsi="Cambria Math"/>
              </w:rPr>
              <m:t>data</m:t>
            </m:r>
          </m:e>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(Y-</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2</m:t>
                </m:r>
              </m:sup>
            </m:sSup>
          </m:num>
          <m:den>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R</m:t>
                    </m:r>
                  </m:sub>
                </m:sSub>
              </m:e>
              <m:sup>
                <m:r>
                  <w:rPr>
                    <w:rFonts w:ascii="Cambria Math" w:hAnsi="Cambria Math"/>
                  </w:rPr>
                  <m:t>2</m:t>
                </m:r>
              </m:sup>
            </m:sSup>
          </m:den>
        </m:f>
      </m:oMath>
      <w:r w:rsidR="00131D4A">
        <w:rPr>
          <w:rFonts w:eastAsiaTheme="minorEastAsia"/>
        </w:rPr>
        <w:tab/>
      </w:r>
      <w:r w:rsidR="00131D4A">
        <w:rPr>
          <w:rFonts w:eastAsiaTheme="minorEastAsia"/>
        </w:rPr>
        <w:tab/>
      </w:r>
      <w:commentRangeEnd w:id="2"/>
      <w:r w:rsidR="00131D4A">
        <w:rPr>
          <w:rStyle w:val="CommentReference"/>
        </w:rPr>
        <w:commentReference w:id="2"/>
      </w:r>
      <w:r w:rsidR="00131D4A">
        <w:rPr>
          <w:rFonts w:eastAsiaTheme="minorEastAsia"/>
        </w:rPr>
        <w:tab/>
      </w:r>
      <w:r w:rsidR="00131D4A">
        <w:rPr>
          <w:rFonts w:eastAsiaTheme="minorEastAsia"/>
        </w:rPr>
        <w:tab/>
      </w:r>
      <w:r w:rsidR="00131D4A">
        <w:rPr>
          <w:rFonts w:eastAsiaTheme="minorEastAsia"/>
        </w:rPr>
        <w:tab/>
      </w:r>
      <w:r w:rsidR="00131D4A">
        <w:rPr>
          <w:rFonts w:eastAsiaTheme="minorEastAsia"/>
        </w:rPr>
        <w:tab/>
        <w:t>(7)</w:t>
      </w:r>
    </w:p>
    <w:p w14:paraId="58CFBF94" w14:textId="77777777" w:rsidR="009878D6" w:rsidRPr="009878D6" w:rsidRDefault="00131D4A" w:rsidP="00714810">
      <w:pPr>
        <w:spacing w:line="480" w:lineRule="auto"/>
        <w:jc w:val="both"/>
      </w:pPr>
      <w:proofErr w:type="gramStart"/>
      <w:r>
        <w:t>also</w:t>
      </w:r>
      <w:proofErr w:type="gramEnd"/>
      <w:r>
        <w:t xml:space="preserve"> known as the normal density function minus parameters that remain constant.</w:t>
      </w:r>
    </w:p>
    <w:p w14:paraId="34F5825C" w14:textId="77777777" w:rsidR="009878D6" w:rsidRPr="00131D4A" w:rsidRDefault="00131D4A" w:rsidP="00714810">
      <w:pPr>
        <w:spacing w:line="480" w:lineRule="auto"/>
        <w:jc w:val="both"/>
        <w:rPr>
          <w:b/>
        </w:rPr>
      </w:pPr>
      <w:r>
        <w:rPr>
          <w:b/>
        </w:rPr>
        <w:t>Sampling from the posterior</w:t>
      </w:r>
    </w:p>
    <w:p w14:paraId="4996C4FC" w14:textId="77777777" w:rsidR="008C3F5F" w:rsidRDefault="00DE1FA1" w:rsidP="00714810">
      <w:pPr>
        <w:spacing w:line="480" w:lineRule="auto"/>
        <w:jc w:val="both"/>
      </w:pPr>
      <w:r>
        <w:t xml:space="preserve">It can be extremely difficult if not impossible to obtain an analytical solution of (6), thus numerical procedures are often necessary. To overcome this limitation most analyses use either Markov Chain methods (Gibbs sampler or Markov Chain Monte Carlo) or importance sampling. </w:t>
      </w:r>
    </w:p>
    <w:p w14:paraId="380FCEEA" w14:textId="77777777" w:rsidR="008C3F5F" w:rsidRDefault="00DE1FA1" w:rsidP="00714810">
      <w:pPr>
        <w:spacing w:line="480" w:lineRule="auto"/>
        <w:ind w:firstLine="720"/>
        <w:jc w:val="both"/>
      </w:pPr>
      <w:r>
        <w:t>With importance sampling or sampling importance resampling (SIR) one defines some density that closely approximates the posterior</w:t>
      </w:r>
      <w:r w:rsidR="008C3F5F">
        <w:t xml:space="preserve"> (often the prior). An importance function, </w:t>
      </w:r>
    </w:p>
    <w:p w14:paraId="5181B8E7" w14:textId="77777777" w:rsidR="008C3F5F" w:rsidRDefault="008C3F5F" w:rsidP="00714810">
      <w:pPr>
        <w:spacing w:line="480" w:lineRule="auto"/>
        <w:jc w:val="right"/>
      </w:pPr>
      <m:oMath>
        <m:r>
          <w:rPr>
            <w:rFonts w:ascii="Cambria Math" w:hAnsi="Cambria Math"/>
          </w:rPr>
          <w:lastRenderedPageBreak/>
          <m:t>I</m:t>
        </m:r>
        <m:d>
          <m:dPr>
            <m:ctrlPr>
              <w:rPr>
                <w:rFonts w:ascii="Cambria Math" w:hAnsi="Cambria Math"/>
                <w:i/>
              </w:rPr>
            </m:ctrlPr>
          </m:dPr>
          <m:e>
            <m:r>
              <w:rPr>
                <w:rFonts w:ascii="Cambria Math" w:hAnsi="Cambria Math"/>
              </w:rPr>
              <m:t>θ</m:t>
            </m:r>
          </m:e>
        </m:d>
        <m:r>
          <w:rPr>
            <w:rFonts w:ascii="Cambria Math" w:hAnsi="Cambria Math"/>
          </w:rPr>
          <m:t>=L</m:t>
        </m:r>
        <m:d>
          <m:dPr>
            <m:ctrlPr>
              <w:rPr>
                <w:rFonts w:ascii="Cambria Math" w:hAnsi="Cambria Math"/>
                <w:i/>
              </w:rPr>
            </m:ctrlPr>
          </m:dPr>
          <m:e>
            <m:r>
              <w:rPr>
                <w:rFonts w:ascii="Cambria Math" w:hAnsi="Cambria Math"/>
              </w:rPr>
              <m:t>data</m:t>
            </m:r>
          </m:e>
          <m:e>
            <m:r>
              <w:rPr>
                <w:rFonts w:ascii="Cambria Math" w:hAnsi="Cambria Math"/>
              </w:rPr>
              <m:t>θ</m:t>
            </m:r>
          </m:e>
        </m:d>
        <m:r>
          <w:rPr>
            <w:rFonts w:ascii="Cambria Math" w:hAnsi="Cambria Math"/>
          </w:rPr>
          <m:t>p(θ)/p</m:t>
        </m:r>
        <m:d>
          <m:dPr>
            <m:ctrlPr>
              <w:rPr>
                <w:rFonts w:ascii="Cambria Math" w:hAnsi="Cambria Math"/>
                <w:i/>
              </w:rPr>
            </m:ctrlPr>
          </m:dPr>
          <m:e>
            <m:r>
              <w:rPr>
                <w:rFonts w:ascii="Cambria Math" w:hAnsi="Cambria Math"/>
              </w:rPr>
              <m:t>θ</m:t>
            </m:r>
          </m:e>
        </m:d>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t>(8)</w:t>
      </w:r>
    </w:p>
    <w:p w14:paraId="789F6436" w14:textId="77777777" w:rsidR="00286669" w:rsidRDefault="008C3F5F" w:rsidP="00714810">
      <w:pPr>
        <w:spacing w:line="480" w:lineRule="auto"/>
        <w:jc w:val="both"/>
      </w:pPr>
      <w:proofErr w:type="gramStart"/>
      <w:r>
        <w:t>is</w:t>
      </w:r>
      <w:proofErr w:type="gramEnd"/>
      <w:r>
        <w:t xml:space="preserve"> then used to weight the samples so that the approximation becomes as accurate as possible with the least amount of samples. Here, t</w:t>
      </w:r>
      <w:r w:rsidR="00E65574">
        <w:t xml:space="preserve">he importance function was set </w:t>
      </w:r>
      <w:r w:rsidR="006F1073">
        <w:t xml:space="preserve">as samples from the joint prior distribution, thus the importance </w:t>
      </w:r>
      <w:r>
        <w:t xml:space="preserve">ratio becomes </w:t>
      </w:r>
      <w:r w:rsidR="006F1073">
        <w:t>the likelihood of the data given the parameters</w:t>
      </w:r>
      <w:r w:rsidR="00714810">
        <w:t>.</w:t>
      </w:r>
    </w:p>
    <w:p w14:paraId="15D453D8" w14:textId="77777777" w:rsidR="009500CC" w:rsidRDefault="009500CC" w:rsidP="00714810">
      <w:pPr>
        <w:spacing w:line="480" w:lineRule="auto"/>
        <w:jc w:val="both"/>
      </w:pPr>
      <w:r>
        <w:tab/>
        <w:t>With Markov Chain sampling the posterior is …</w:t>
      </w:r>
    </w:p>
    <w:p w14:paraId="0DA1526C" w14:textId="77777777" w:rsidR="009500CC" w:rsidRDefault="009500CC" w:rsidP="00714810">
      <w:pPr>
        <w:spacing w:line="480" w:lineRule="auto"/>
        <w:jc w:val="both"/>
      </w:pPr>
      <w:r>
        <w:rPr>
          <w:b/>
        </w:rPr>
        <w:t>Model fitting</w:t>
      </w:r>
    </w:p>
    <w:p w14:paraId="00E3C19F" w14:textId="77777777" w:rsidR="009500CC" w:rsidRPr="009500CC" w:rsidRDefault="009500CC" w:rsidP="00714810">
      <w:pPr>
        <w:spacing w:line="480" w:lineRule="auto"/>
        <w:jc w:val="both"/>
      </w:pPr>
      <w:r>
        <w:t xml:space="preserve">All models were fit with three chains with each chain having a final sample size of 1000 iterations. Convergence of the algorithms was checked using trace plots of the parameters, plots showing correlations between parameters, and </w:t>
      </w:r>
      <w:proofErr w:type="spellStart"/>
      <w:r>
        <w:t>Gweke</w:t>
      </w:r>
      <w:proofErr w:type="spellEnd"/>
      <w:r>
        <w:t xml:space="preserve"> statistics for convergence (</w:t>
      </w:r>
      <w:r w:rsidRPr="009500CC">
        <w:rPr>
          <w:highlight w:val="yellow"/>
        </w:rPr>
        <w:t>CITATION</w:t>
      </w:r>
      <w:r>
        <w:t>).</w:t>
      </w:r>
    </w:p>
    <w:p w14:paraId="3C878FB5" w14:textId="77777777" w:rsidR="000C4D1E" w:rsidRPr="000C4D1E" w:rsidRDefault="00131D4A" w:rsidP="00714810">
      <w:pPr>
        <w:spacing w:line="480" w:lineRule="auto"/>
        <w:jc w:val="both"/>
        <w:rPr>
          <w:b/>
        </w:rPr>
      </w:pPr>
      <w:r>
        <w:rPr>
          <w:b/>
        </w:rPr>
        <w:t>Model selection</w:t>
      </w:r>
    </w:p>
    <w:p w14:paraId="37A0ED45" w14:textId="77777777" w:rsidR="009500CC" w:rsidRDefault="00131D4A" w:rsidP="00714810">
      <w:pPr>
        <w:spacing w:line="480" w:lineRule="auto"/>
        <w:jc w:val="both"/>
      </w:pPr>
      <w:r>
        <w:t>Bayes Factor</w:t>
      </w:r>
      <w:r w:rsidR="0027103F">
        <w:t>, or the probability of alternative models, provides an estimate of the posterior probability for a given hypothesis (</w:t>
      </w:r>
      <w:r w:rsidR="0027103F" w:rsidRPr="0027103F">
        <w:rPr>
          <w:highlight w:val="yellow"/>
        </w:rPr>
        <w:t>CITATION</w:t>
      </w:r>
      <w:r w:rsidR="0027103F">
        <w:t>).</w:t>
      </w:r>
    </w:p>
    <w:p w14:paraId="33BB3F31" w14:textId="77777777" w:rsidR="0027103F" w:rsidRDefault="0027103F" w:rsidP="0027103F">
      <w:pPr>
        <w:spacing w:line="480" w:lineRule="auto"/>
        <w:ind w:left="2160" w:firstLine="720"/>
        <w:jc w:val="righ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data</m:t>
            </m:r>
          </m:e>
        </m:d>
        <m:r>
          <w:rPr>
            <w:rFonts w:ascii="Cambria Math" w:hAnsi="Cambria Math"/>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data</m:t>
                    </m:r>
                  </m:e>
                  <m:e>
                    <m:sSub>
                      <m:sSubPr>
                        <m:ctrlPr>
                          <w:rPr>
                            <w:rFonts w:ascii="Cambria Math" w:hAnsi="Cambria Math"/>
                            <w:i/>
                          </w:rPr>
                        </m:ctrlPr>
                      </m:sSubPr>
                      <m:e>
                        <m:r>
                          <w:rPr>
                            <w:rFonts w:ascii="Cambria Math" w:hAnsi="Cambria Math"/>
                          </w:rPr>
                          <m:t>θ</m:t>
                        </m:r>
                      </m:e>
                      <m:sub>
                        <m:r>
                          <w:rPr>
                            <w:rFonts w:ascii="Cambria Math" w:hAnsi="Cambria Math"/>
                          </w:rPr>
                          <m:t>k</m:t>
                        </m:r>
                      </m:sub>
                    </m:sSub>
                  </m:e>
                </m:d>
              </m:e>
            </m:func>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data</m:t>
                        </m:r>
                      </m:e>
                      <m:e>
                        <m:sSub>
                          <m:sSubPr>
                            <m:ctrlPr>
                              <w:rPr>
                                <w:rFonts w:ascii="Cambria Math" w:hAnsi="Cambria Math"/>
                                <w:i/>
                              </w:rPr>
                            </m:ctrlPr>
                          </m:sSubPr>
                          <m:e>
                            <m:r>
                              <w:rPr>
                                <w:rFonts w:ascii="Cambria Math" w:hAnsi="Cambria Math"/>
                              </w:rPr>
                              <m:t>θ</m:t>
                            </m:r>
                          </m:e>
                          <m:sub>
                            <m:r>
                              <w:rPr>
                                <w:rFonts w:ascii="Cambria Math" w:hAnsi="Cambria Math"/>
                              </w:rPr>
                              <m:t>k</m:t>
                            </m:r>
                          </m:sub>
                        </m:sSub>
                      </m:e>
                    </m:d>
                  </m:e>
                </m:func>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e>
            </m:nary>
          </m:den>
        </m:f>
      </m:oMath>
      <w:r>
        <w:rPr>
          <w:rFonts w:eastAsiaTheme="minorEastAsia"/>
        </w:rPr>
        <w:tab/>
      </w:r>
      <w:r>
        <w:rPr>
          <w:rFonts w:eastAsiaTheme="minorEastAsia"/>
        </w:rPr>
        <w:tab/>
      </w:r>
      <w:r>
        <w:rPr>
          <w:rFonts w:eastAsiaTheme="minorEastAsia"/>
        </w:rPr>
        <w:tab/>
      </w:r>
      <w:r>
        <w:rPr>
          <w:rFonts w:eastAsiaTheme="minorEastAsia"/>
        </w:rPr>
        <w:tab/>
      </w:r>
      <w:r>
        <w:t>(9)</w:t>
      </w:r>
    </w:p>
    <w:p w14:paraId="31740D73" w14:textId="77777777" w:rsidR="000C4D1E" w:rsidRDefault="0027103F" w:rsidP="0027103F">
      <w:pPr>
        <w:spacing w:line="480" w:lineRule="auto"/>
        <w:ind w:firstLine="720"/>
        <w:jc w:val="both"/>
      </w:pPr>
      <w:r>
        <w:t xml:space="preserve">Deviance information criterion (DIC) is useful in Bayesian model selection when the posterior distribution is approximately multivariate normal and results were obtained using MCMC sampling. The formula is as shown, </w:t>
      </w:r>
    </w:p>
    <w:p w14:paraId="4C34B5AA" w14:textId="77777777" w:rsidR="0027103F" w:rsidRDefault="0027103F" w:rsidP="0027103F">
      <w:pPr>
        <w:spacing w:line="480" w:lineRule="auto"/>
        <w:jc w:val="right"/>
        <w:rPr>
          <w:rFonts w:eastAsiaTheme="minorEastAsia"/>
        </w:rPr>
      </w:pPr>
      <m:oMath>
        <m:r>
          <w:rPr>
            <w:rFonts w:ascii="Cambria Math" w:hAnsi="Cambria Math"/>
          </w:rPr>
          <m:t xml:space="preserve">DIC= </m:t>
        </m:r>
        <m:acc>
          <m:accPr>
            <m:chr m:val="̅"/>
            <m:ctrlPr>
              <w:rPr>
                <w:rFonts w:ascii="Cambria Math" w:hAnsi="Cambria Math"/>
                <w:i/>
              </w:rPr>
            </m:ctrlPr>
          </m:accPr>
          <m:e>
            <m:r>
              <w:rPr>
                <w:rFonts w:ascii="Cambria Math" w:hAnsi="Cambria Math"/>
              </w:rPr>
              <m:t>D</m:t>
            </m:r>
          </m:e>
        </m:acc>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 xml:space="preserve">+ </m:t>
        </m:r>
        <m:acc>
          <m:accPr>
            <m:chr m:val="̅"/>
            <m:ctrlPr>
              <w:rPr>
                <w:rFonts w:ascii="Cambria Math" w:hAnsi="Cambria Math"/>
                <w:i/>
              </w:rPr>
            </m:ctrlPr>
          </m:accPr>
          <m:e>
            <m:r>
              <w:rPr>
                <w:rFonts w:ascii="Cambria Math" w:hAnsi="Cambria Math"/>
              </w:rPr>
              <m:t>D</m:t>
            </m:r>
          </m:e>
        </m:acc>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(10)</w:t>
      </w:r>
    </w:p>
    <w:p w14:paraId="1D2A2023" w14:textId="77777777" w:rsidR="0027103F" w:rsidRDefault="0027103F" w:rsidP="0027103F">
      <w:pPr>
        <w:spacing w:line="480" w:lineRule="auto"/>
        <w:jc w:val="both"/>
      </w:pPr>
      <w:proofErr w:type="gramStart"/>
      <w:r>
        <w:rPr>
          <w:rFonts w:eastAsiaTheme="minorEastAsia"/>
        </w:rPr>
        <w:t>where</w:t>
      </w:r>
      <w:proofErr w:type="gramEnd"/>
      <w:r>
        <w:rPr>
          <w:rFonts w:eastAsiaTheme="minorEastAsia"/>
        </w:rPr>
        <w:t xml:space="preserve"> smaller values indicate a better fit of the model to the data.</w:t>
      </w:r>
    </w:p>
    <w:p w14:paraId="741FAF56" w14:textId="77777777" w:rsidR="000C4D1E" w:rsidRPr="00A524A3" w:rsidRDefault="000C4D1E" w:rsidP="00714810">
      <w:pPr>
        <w:pStyle w:val="Heading1"/>
        <w:spacing w:before="240" w:line="480" w:lineRule="auto"/>
      </w:pPr>
      <w:r>
        <w:t>Results</w:t>
      </w:r>
    </w:p>
    <w:p w14:paraId="7E966129" w14:textId="77777777" w:rsidR="000C4D1E" w:rsidRDefault="009500CC" w:rsidP="00714810">
      <w:pPr>
        <w:spacing w:line="480" w:lineRule="auto"/>
        <w:jc w:val="both"/>
        <w:rPr>
          <w:rFonts w:cs="Times New Roman"/>
        </w:rPr>
      </w:pPr>
      <w:r>
        <w:rPr>
          <w:rFonts w:cs="Times New Roman"/>
        </w:rPr>
        <w:t>Growth rates between Pacific cod in the inner and outer slope regions appears to be similar, with both regions centered at log ze</w:t>
      </w:r>
      <w:r w:rsidR="002A30A5">
        <w:rPr>
          <w:rFonts w:cs="Times New Roman"/>
        </w:rPr>
        <w:t>ro indicating a lack of any annual trend in their</w:t>
      </w:r>
      <w:r>
        <w:rPr>
          <w:rFonts w:cs="Times New Roman"/>
        </w:rPr>
        <w:t xml:space="preserve"> </w:t>
      </w:r>
      <w:r>
        <w:rPr>
          <w:rFonts w:cs="Times New Roman"/>
        </w:rPr>
        <w:lastRenderedPageBreak/>
        <w:t xml:space="preserve">respective abundances (Figure 2). </w:t>
      </w:r>
      <w:r w:rsidR="00D81FA8">
        <w:rPr>
          <w:rFonts w:cs="Times New Roman"/>
        </w:rPr>
        <w:t>The more interesting result</w:t>
      </w:r>
      <w:r>
        <w:rPr>
          <w:rFonts w:cs="Times New Roman"/>
        </w:rPr>
        <w:t xml:space="preserve"> </w:t>
      </w:r>
      <w:r w:rsidR="00D81FA8">
        <w:rPr>
          <w:rFonts w:cs="Times New Roman"/>
        </w:rPr>
        <w:t>appears</w:t>
      </w:r>
      <w:r>
        <w:rPr>
          <w:rFonts w:cs="Times New Roman"/>
        </w:rPr>
        <w:t xml:space="preserve"> in the differentiation </w:t>
      </w:r>
      <w:r w:rsidR="00D81FA8">
        <w:rPr>
          <w:rFonts w:cs="Times New Roman"/>
        </w:rPr>
        <w:t>of</w:t>
      </w:r>
      <w:r>
        <w:rPr>
          <w:rFonts w:cs="Times New Roman"/>
        </w:rPr>
        <w:t xml:space="preserve"> process </w:t>
      </w:r>
      <w:r w:rsidR="00D81FA8">
        <w:rPr>
          <w:rFonts w:cs="Times New Roman"/>
        </w:rPr>
        <w:t>errors</w:t>
      </w:r>
      <w:r>
        <w:rPr>
          <w:rFonts w:cs="Times New Roman"/>
        </w:rPr>
        <w:t xml:space="preserve"> </w:t>
      </w:r>
      <w:r w:rsidR="00D81FA8">
        <w:rPr>
          <w:rFonts w:cs="Times New Roman"/>
        </w:rPr>
        <w:t>between</w:t>
      </w:r>
      <w:r>
        <w:rPr>
          <w:rFonts w:cs="Times New Roman"/>
        </w:rPr>
        <w:t xml:space="preserve"> the two regions. Pacific cod in the inner slope appear to be subject to higher variation in recruitment than Pacific cod located on the outer slope (Figure 2).</w:t>
      </w:r>
    </w:p>
    <w:p w14:paraId="6A1A69E3" w14:textId="77777777" w:rsidR="009500CC" w:rsidRDefault="009500CC" w:rsidP="00714810">
      <w:pPr>
        <w:spacing w:line="480" w:lineRule="auto"/>
        <w:jc w:val="both"/>
        <w:rPr>
          <w:rFonts w:cs="Times New Roman"/>
        </w:rPr>
      </w:pPr>
      <w:r>
        <w:rPr>
          <w:rFonts w:cs="Times New Roman"/>
        </w:rPr>
        <w:tab/>
        <w:t xml:space="preserve">Observation error was quite high for all three models and degenerate, or </w:t>
      </w:r>
      <w:proofErr w:type="spellStart"/>
      <w:r>
        <w:rPr>
          <w:rFonts w:cs="Times New Roman"/>
        </w:rPr>
        <w:t>unestimable</w:t>
      </w:r>
      <w:proofErr w:type="spellEnd"/>
      <w:r>
        <w:rPr>
          <w:rFonts w:cs="Times New Roman"/>
        </w:rPr>
        <w:t xml:space="preserve">, for the model hypothesizing Pacific cod on the outer shelf act independently from the two inner shelf regions, with each area displaying unique process variance (Figure not shown). </w:t>
      </w:r>
      <w:r w:rsidR="0027103F" w:rsidRPr="0027103F">
        <w:rPr>
          <w:rFonts w:cs="Times New Roman"/>
          <w:highlight w:val="yellow"/>
        </w:rPr>
        <w:t>PERHAPS TALK ABOUT OVERALL CONVERGENCE.</w:t>
      </w:r>
      <w:r w:rsidR="00D81FA8">
        <w:rPr>
          <w:rFonts w:cs="Times New Roman"/>
        </w:rPr>
        <w:t xml:space="preserve"> Results were similar between MCMC and SIR samplers, though only results from the MCMC routine are shown.</w:t>
      </w:r>
    </w:p>
    <w:p w14:paraId="125D1D62" w14:textId="77777777" w:rsidR="000C4D1E" w:rsidRDefault="0027103F" w:rsidP="00714810">
      <w:pPr>
        <w:spacing w:line="480" w:lineRule="auto"/>
        <w:jc w:val="both"/>
        <w:rPr>
          <w:rFonts w:cs="Times New Roman"/>
        </w:rPr>
      </w:pPr>
      <w:r>
        <w:rPr>
          <w:rFonts w:cs="Times New Roman"/>
        </w:rPr>
        <w:tab/>
      </w:r>
      <w:r w:rsidR="00D81FA8">
        <w:rPr>
          <w:rFonts w:cs="Times New Roman"/>
        </w:rPr>
        <w:t>The model with the most support from the data was one that grouped the middle and outer shelf areas as a single subpopulation with a unique process variance compared to the inner slope.</w:t>
      </w:r>
    </w:p>
    <w:p w14:paraId="193CEC01" w14:textId="77777777" w:rsidR="000C4D1E" w:rsidRDefault="000C4D1E" w:rsidP="00714810">
      <w:pPr>
        <w:pStyle w:val="Heading1"/>
        <w:spacing w:before="240" w:line="480" w:lineRule="auto"/>
      </w:pPr>
      <w:r>
        <w:t>Discussion</w:t>
      </w:r>
    </w:p>
    <w:p w14:paraId="5136AD11" w14:textId="77777777" w:rsidR="00D81FA8" w:rsidRPr="00D81FA8" w:rsidRDefault="00D81FA8" w:rsidP="00D81FA8">
      <w:r>
        <w:t>ANDRÉ – I obviously have not had time to properly think about the results, let alone a discussion section. My apologies. Thusly, I have bulleted a few ideas to think about in the future, which are written below.</w:t>
      </w:r>
    </w:p>
    <w:p w14:paraId="399A42B0" w14:textId="77777777" w:rsidR="000C4D1E" w:rsidRPr="00D81FA8" w:rsidRDefault="004D041F" w:rsidP="00D81FA8">
      <w:pPr>
        <w:pStyle w:val="ListParagraph"/>
        <w:numPr>
          <w:ilvl w:val="0"/>
          <w:numId w:val="1"/>
        </w:numPr>
        <w:spacing w:line="480" w:lineRule="auto"/>
        <w:jc w:val="both"/>
        <w:rPr>
          <w:rFonts w:cs="Times New Roman"/>
        </w:rPr>
      </w:pPr>
      <w:r w:rsidRPr="00D81FA8">
        <w:rPr>
          <w:rFonts w:cs="Times New Roman"/>
        </w:rPr>
        <w:t>The models were able to capture the mean log CPUE for each time series but failed to track the trends in temporal variation of Pacific cod in the EBS.</w:t>
      </w:r>
    </w:p>
    <w:p w14:paraId="6DFD27C9" w14:textId="77777777" w:rsidR="00D81FA8" w:rsidRDefault="00D81FA8" w:rsidP="00D81FA8">
      <w:pPr>
        <w:pStyle w:val="ListParagraph"/>
        <w:numPr>
          <w:ilvl w:val="0"/>
          <w:numId w:val="1"/>
        </w:numPr>
        <w:spacing w:line="480" w:lineRule="auto"/>
        <w:jc w:val="both"/>
        <w:rPr>
          <w:rFonts w:cs="Times New Roman"/>
        </w:rPr>
      </w:pPr>
      <w:r w:rsidRPr="00D81FA8">
        <w:rPr>
          <w:rFonts w:cs="Times New Roman"/>
        </w:rPr>
        <w:t>Higher variation in recruitment could perhaps be due to the tendency of Pacific cod to lay their eggs in waters less than 100 m and the timing of the surveys.</w:t>
      </w:r>
    </w:p>
    <w:p w14:paraId="23EC3FA9" w14:textId="77777777" w:rsidR="00D81FA8" w:rsidRDefault="00D81FA8" w:rsidP="00D81FA8">
      <w:pPr>
        <w:pStyle w:val="ListParagraph"/>
        <w:numPr>
          <w:ilvl w:val="0"/>
          <w:numId w:val="1"/>
        </w:numPr>
        <w:spacing w:line="480" w:lineRule="auto"/>
        <w:jc w:val="both"/>
        <w:rPr>
          <w:rFonts w:cs="Times New Roman"/>
        </w:rPr>
      </w:pPr>
      <w:r>
        <w:rPr>
          <w:rFonts w:cs="Times New Roman"/>
        </w:rPr>
        <w:t>Cope and Punt (2009) was unable to differentiate between the middle – inner and middle – outer grouping.</w:t>
      </w:r>
    </w:p>
    <w:p w14:paraId="3952F0C4" w14:textId="77777777" w:rsidR="00D81FA8" w:rsidRDefault="00D81FA8" w:rsidP="00D81FA8">
      <w:pPr>
        <w:pStyle w:val="ListParagraph"/>
        <w:numPr>
          <w:ilvl w:val="0"/>
          <w:numId w:val="1"/>
        </w:numPr>
        <w:spacing w:line="480" w:lineRule="auto"/>
        <w:jc w:val="both"/>
        <w:rPr>
          <w:rFonts w:cs="Times New Roman"/>
        </w:rPr>
      </w:pPr>
      <w:r>
        <w:rPr>
          <w:rFonts w:cs="Times New Roman"/>
        </w:rPr>
        <w:t>A stronger current arising from Unimak pass flows along the 50 m isobaths the current along the 100 m isobaths inconsistently located between years.</w:t>
      </w:r>
    </w:p>
    <w:p w14:paraId="3DEB55C9" w14:textId="77777777" w:rsidR="000C4D1E" w:rsidRPr="00D81FA8" w:rsidRDefault="00400568" w:rsidP="00D81FA8">
      <w:pPr>
        <w:pStyle w:val="ListParagraph"/>
        <w:numPr>
          <w:ilvl w:val="0"/>
          <w:numId w:val="1"/>
        </w:numPr>
        <w:spacing w:line="480" w:lineRule="auto"/>
        <w:jc w:val="both"/>
        <w:rPr>
          <w:rFonts w:cs="Times New Roman"/>
        </w:rPr>
      </w:pPr>
      <w:r w:rsidRPr="00D81FA8">
        <w:rPr>
          <w:rFonts w:cs="Times New Roman"/>
        </w:rPr>
        <w:lastRenderedPageBreak/>
        <w:t xml:space="preserve">Survey strata are designed to minimize the variances of population and biomass estimates for </w:t>
      </w:r>
      <w:proofErr w:type="spellStart"/>
      <w:r w:rsidRPr="00D81FA8">
        <w:rPr>
          <w:rFonts w:cs="Times New Roman"/>
        </w:rPr>
        <w:t>groundfishes</w:t>
      </w:r>
      <w:proofErr w:type="spellEnd"/>
      <w:r w:rsidRPr="00D81FA8">
        <w:rPr>
          <w:rFonts w:cs="Times New Roman"/>
        </w:rPr>
        <w:t xml:space="preserve"> across the different oceanographic domains encompassed in the EBS (</w:t>
      </w:r>
      <w:proofErr w:type="spellStart"/>
      <w:r w:rsidRPr="00D81FA8">
        <w:rPr>
          <w:rFonts w:cs="Times New Roman"/>
        </w:rPr>
        <w:t>Bakkala</w:t>
      </w:r>
      <w:proofErr w:type="spellEnd"/>
      <w:r w:rsidRPr="00D81FA8">
        <w:rPr>
          <w:rFonts w:cs="Times New Roman"/>
        </w:rPr>
        <w:t>, 1993).</w:t>
      </w:r>
    </w:p>
    <w:p w14:paraId="0846DDE9" w14:textId="77777777" w:rsidR="000C4D1E" w:rsidRPr="00A524A3" w:rsidRDefault="000C4D1E" w:rsidP="00714810">
      <w:pPr>
        <w:pStyle w:val="Heading1"/>
        <w:spacing w:before="240" w:line="480" w:lineRule="auto"/>
      </w:pPr>
      <w:r>
        <w:t>Acknowledgements</w:t>
      </w:r>
    </w:p>
    <w:p w14:paraId="21BBD79D" w14:textId="77777777" w:rsidR="000C4D1E" w:rsidRDefault="000C4D1E" w:rsidP="00714810">
      <w:pPr>
        <w:spacing w:line="480" w:lineRule="auto"/>
        <w:jc w:val="both"/>
        <w:rPr>
          <w:rFonts w:cs="Times New Roman"/>
        </w:rPr>
      </w:pPr>
      <w:r>
        <w:rPr>
          <w:rFonts w:cs="Times New Roman"/>
        </w:rPr>
        <w:t>We would like to thank Eric J. Ward, Elizabeth E. Holmes, and Mark</w:t>
      </w:r>
      <w:r w:rsidRPr="000C4D1E">
        <w:rPr>
          <w:rFonts w:cs="Times New Roman"/>
        </w:rPr>
        <w:t xml:space="preserve"> D. </w:t>
      </w:r>
      <w:proofErr w:type="spellStart"/>
      <w:r w:rsidRPr="000C4D1E">
        <w:rPr>
          <w:rFonts w:cs="Times New Roman"/>
        </w:rPr>
        <w:t>Scheuerell</w:t>
      </w:r>
      <w:proofErr w:type="spellEnd"/>
      <w:r>
        <w:rPr>
          <w:rFonts w:cs="Times New Roman"/>
        </w:rPr>
        <w:t xml:space="preserve"> for teaching </w:t>
      </w:r>
      <w:r w:rsidR="00EC6B51">
        <w:rPr>
          <w:rFonts w:cs="Times New Roman"/>
        </w:rPr>
        <w:t>their applied time-series class at the University of Washington, which this paper originated from.</w:t>
      </w:r>
    </w:p>
    <w:p w14:paraId="3E4B5CB4" w14:textId="77777777" w:rsidR="000C4D1E" w:rsidRPr="00A524A3" w:rsidRDefault="000C4D1E" w:rsidP="00714810">
      <w:pPr>
        <w:pStyle w:val="Heading1"/>
        <w:spacing w:before="240" w:line="480" w:lineRule="auto"/>
      </w:pPr>
      <w:r>
        <w:t>References</w:t>
      </w:r>
    </w:p>
    <w:p w14:paraId="6C3047D8" w14:textId="77777777" w:rsidR="00400568" w:rsidRDefault="00400568" w:rsidP="00714810">
      <w:pPr>
        <w:spacing w:line="480" w:lineRule="auto"/>
        <w:ind w:left="720" w:hanging="720"/>
        <w:jc w:val="both"/>
      </w:pPr>
      <w:proofErr w:type="spellStart"/>
      <w:r>
        <w:t>Bakkala</w:t>
      </w:r>
      <w:proofErr w:type="spellEnd"/>
      <w:r>
        <w:t xml:space="preserve">, R.G. 1993. Structure and historical changes in the </w:t>
      </w:r>
      <w:proofErr w:type="spellStart"/>
      <w:r>
        <w:t>groundfish</w:t>
      </w:r>
      <w:proofErr w:type="spellEnd"/>
      <w:r>
        <w:t xml:space="preserve"> complex of the eastern Bering Sea. U.S. Dep. </w:t>
      </w:r>
      <w:proofErr w:type="spellStart"/>
      <w:r>
        <w:t>Commer</w:t>
      </w:r>
      <w:proofErr w:type="spellEnd"/>
      <w:r>
        <w:t>., NOAA Tech. Rep. NMFS 114, 91 p.</w:t>
      </w:r>
    </w:p>
    <w:p w14:paraId="13411D3C" w14:textId="77777777" w:rsidR="008D6C8A" w:rsidRDefault="008D6C8A" w:rsidP="00714810">
      <w:pPr>
        <w:spacing w:line="480" w:lineRule="auto"/>
        <w:ind w:left="720" w:hanging="720"/>
        <w:jc w:val="both"/>
      </w:pPr>
      <w:r>
        <w:t xml:space="preserve">Dennis, B., </w:t>
      </w:r>
      <w:proofErr w:type="spellStart"/>
      <w:r>
        <w:t>Munholland</w:t>
      </w:r>
      <w:proofErr w:type="spellEnd"/>
      <w:r>
        <w:t xml:space="preserve">, P.L., </w:t>
      </w:r>
      <w:r w:rsidR="00C13F18">
        <w:t xml:space="preserve">and </w:t>
      </w:r>
      <w:r>
        <w:t>Scott, J.M. 1991. Estimation of growth and extinction parameters for endangered species. Ecological Monographs 61:115-143.</w:t>
      </w:r>
    </w:p>
    <w:p w14:paraId="440B52B3" w14:textId="77777777" w:rsidR="00C13F18" w:rsidRDefault="00C13F18" w:rsidP="00714810">
      <w:pPr>
        <w:spacing w:line="480" w:lineRule="auto"/>
        <w:ind w:left="720" w:hanging="720"/>
        <w:jc w:val="both"/>
      </w:pPr>
      <w:r>
        <w:t xml:space="preserve">Dennis, B., </w:t>
      </w:r>
      <w:proofErr w:type="spellStart"/>
      <w:r>
        <w:t>Ponciano</w:t>
      </w:r>
      <w:proofErr w:type="spellEnd"/>
      <w:r>
        <w:t xml:space="preserve">, J.M., </w:t>
      </w:r>
      <w:proofErr w:type="spellStart"/>
      <w:r>
        <w:t>Lele</w:t>
      </w:r>
      <w:proofErr w:type="spellEnd"/>
      <w:r>
        <w:t>, S.R., Taper, M.L, and Staples, D.F. 2006. Estimating density dependence, process noise, and observation error. Ecological Monographs 76:323-341.</w:t>
      </w:r>
    </w:p>
    <w:p w14:paraId="017076F2" w14:textId="77777777" w:rsidR="00F83076" w:rsidRDefault="00F83076" w:rsidP="00714810">
      <w:pPr>
        <w:spacing w:line="480" w:lineRule="auto"/>
        <w:ind w:left="720" w:hanging="720"/>
        <w:jc w:val="both"/>
      </w:pPr>
      <w:r>
        <w:t xml:space="preserve">Hoff, G.R. 2013. Results of the 2012 eastern Bering Sea upper continental slope survey of </w:t>
      </w:r>
      <w:proofErr w:type="spellStart"/>
      <w:r>
        <w:t>groundfish</w:t>
      </w:r>
      <w:proofErr w:type="spellEnd"/>
      <w:r>
        <w:t xml:space="preserve"> and invertebrate resources. U.S. Dep. </w:t>
      </w:r>
      <w:proofErr w:type="spellStart"/>
      <w:r>
        <w:t>Commer</w:t>
      </w:r>
      <w:proofErr w:type="spellEnd"/>
      <w:r>
        <w:t>., NOAA Tech. Memo. NMFS-AFSC-258, 268 p.</w:t>
      </w:r>
    </w:p>
    <w:p w14:paraId="528FD431" w14:textId="77777777" w:rsidR="00C13F18" w:rsidRDefault="00C13F18" w:rsidP="00714810">
      <w:pPr>
        <w:spacing w:line="480" w:lineRule="auto"/>
        <w:ind w:left="720" w:hanging="720"/>
        <w:jc w:val="both"/>
      </w:pPr>
      <w:proofErr w:type="spellStart"/>
      <w:r>
        <w:t>Jonsen</w:t>
      </w:r>
      <w:proofErr w:type="spellEnd"/>
      <w:r>
        <w:t xml:space="preserve">, I.D., Myers, R.A., and </w:t>
      </w:r>
      <w:proofErr w:type="spellStart"/>
      <w:r>
        <w:t>Flemming</w:t>
      </w:r>
      <w:proofErr w:type="spellEnd"/>
      <w:r>
        <w:t>, J.M. 2003. Meta-analysis of animal movement using state space models. Ecology 84:3055-3063.</w:t>
      </w:r>
    </w:p>
    <w:p w14:paraId="72CC3111" w14:textId="77777777" w:rsidR="00C26CD4" w:rsidRDefault="00C26CD4" w:rsidP="00714810">
      <w:pPr>
        <w:spacing w:line="480" w:lineRule="auto"/>
        <w:ind w:left="720" w:hanging="720"/>
        <w:jc w:val="both"/>
      </w:pPr>
      <w:proofErr w:type="spellStart"/>
      <w:r>
        <w:t>Kollo</w:t>
      </w:r>
      <w:proofErr w:type="spellEnd"/>
      <w:r>
        <w:t xml:space="preserve">, T., and </w:t>
      </w:r>
      <w:proofErr w:type="spellStart"/>
      <w:r>
        <w:t>Ruul</w:t>
      </w:r>
      <w:proofErr w:type="spellEnd"/>
      <w:r>
        <w:t>, K. 2003. Approx</w:t>
      </w:r>
      <w:r w:rsidR="00A67C4F">
        <w:t>imations to the distribution of the sample correlation matrix. Journal of Multivariate Analysis 85(2):318-334.</w:t>
      </w:r>
    </w:p>
    <w:p w14:paraId="1E83599B" w14:textId="77777777" w:rsidR="00F06AE4" w:rsidRDefault="00EF4617" w:rsidP="00714810">
      <w:pPr>
        <w:spacing w:line="480" w:lineRule="auto"/>
        <w:ind w:left="720" w:hanging="720"/>
        <w:jc w:val="both"/>
      </w:pPr>
      <w:r>
        <w:lastRenderedPageBreak/>
        <w:t xml:space="preserve">Reed, R.K. 1998. Confirmation of a convoluted flow over the southeastern </w:t>
      </w:r>
      <w:proofErr w:type="spellStart"/>
      <w:proofErr w:type="gramStart"/>
      <w:r>
        <w:t>bering</w:t>
      </w:r>
      <w:proofErr w:type="spellEnd"/>
      <w:r>
        <w:t xml:space="preserve"> sea</w:t>
      </w:r>
      <w:proofErr w:type="gramEnd"/>
      <w:r>
        <w:t xml:space="preserve"> shelf. Continental Shelf Research 18(1):99-103</w:t>
      </w:r>
      <w:r w:rsidR="00F06AE4">
        <w:t>.</w:t>
      </w:r>
      <w:bookmarkStart w:id="3" w:name="_GoBack"/>
      <w:bookmarkEnd w:id="3"/>
    </w:p>
    <w:p w14:paraId="30114FAC" w14:textId="77777777" w:rsidR="00EF4617" w:rsidRDefault="00EF4617" w:rsidP="00714810">
      <w:pPr>
        <w:spacing w:line="480" w:lineRule="auto"/>
        <w:ind w:left="720" w:hanging="720"/>
        <w:jc w:val="both"/>
      </w:pPr>
      <w:proofErr w:type="spellStart"/>
      <w:r>
        <w:t>Stabeno</w:t>
      </w:r>
      <w:proofErr w:type="spellEnd"/>
      <w:r>
        <w:t xml:space="preserve">, P.J., Reed, R.K., and </w:t>
      </w:r>
      <w:proofErr w:type="spellStart"/>
      <w:r>
        <w:t>Napp</w:t>
      </w:r>
      <w:proofErr w:type="spellEnd"/>
      <w:r>
        <w:t>, J.M. 2002. Transport through Unimak Pass, Alaska. Deep Sea Research Part II: Topical Studies in Oceanography 49(26):5919-5930.</w:t>
      </w:r>
    </w:p>
    <w:p w14:paraId="232A5473" w14:textId="77777777" w:rsidR="00C13F18" w:rsidRDefault="00C13F18" w:rsidP="00714810">
      <w:pPr>
        <w:spacing w:line="480" w:lineRule="auto"/>
        <w:ind w:left="720" w:hanging="720"/>
        <w:jc w:val="both"/>
      </w:pPr>
      <w:r>
        <w:t>Staples, D.F., Taper, M.L., and Dennis, B. 2004. Estimating population trend and process variation for PVA in the presence of sampling error. Ecology 85:923-929.</w:t>
      </w:r>
    </w:p>
    <w:p w14:paraId="29F686E3" w14:textId="77777777" w:rsidR="00960ABD" w:rsidRDefault="00960ABD" w:rsidP="00714810">
      <w:pPr>
        <w:spacing w:line="480" w:lineRule="auto"/>
        <w:ind w:left="720" w:hanging="720"/>
        <w:jc w:val="both"/>
      </w:pPr>
      <w:r>
        <w:t>Spies, I. 2012. Landscape genetics reveals population subdivision in Bering Sea and Aleutian Islands Pacific Cod. Transactions of the American Fisheries Society 141:1557-1573.</w:t>
      </w:r>
    </w:p>
    <w:p w14:paraId="71A17466" w14:textId="77777777" w:rsidR="004D041F" w:rsidRPr="00D81FA8" w:rsidRDefault="000C4D1E" w:rsidP="00D81FA8">
      <w:pPr>
        <w:spacing w:line="480" w:lineRule="auto"/>
        <w:ind w:left="720" w:hanging="720"/>
        <w:jc w:val="both"/>
      </w:pPr>
      <w:r>
        <w:t xml:space="preserve">Ward, E. J., </w:t>
      </w:r>
      <w:proofErr w:type="spellStart"/>
      <w:r>
        <w:t>Chirakkal</w:t>
      </w:r>
      <w:proofErr w:type="spellEnd"/>
      <w:r>
        <w:t>, H., González-</w:t>
      </w:r>
      <w:proofErr w:type="spellStart"/>
      <w:r>
        <w:t>Suárez</w:t>
      </w:r>
      <w:proofErr w:type="spellEnd"/>
      <w:r>
        <w:t xml:space="preserve">, M., </w:t>
      </w:r>
      <w:proofErr w:type="spellStart"/>
      <w:r>
        <w:t>Aurioles-Gamboa</w:t>
      </w:r>
      <w:proofErr w:type="spellEnd"/>
      <w:r>
        <w:t xml:space="preserve">, D., Holmes, E. E., and Gerber, L. 2010. Inferring spatial structure from time-series data: Using multivariate state-space models to detect </w:t>
      </w:r>
      <w:proofErr w:type="spellStart"/>
      <w:r>
        <w:t>metapopulation</w:t>
      </w:r>
      <w:proofErr w:type="spellEnd"/>
      <w:r>
        <w:t xml:space="preserve"> structure of California sea lions in the Gulf of California, Mexico. Journal of Applied Ecology 47:47-56.</w:t>
      </w:r>
      <w:r w:rsidR="00F06AE4">
        <w:t xml:space="preserve"> </w:t>
      </w:r>
      <w:r w:rsidR="004D041F">
        <w:br w:type="page"/>
      </w:r>
    </w:p>
    <w:p w14:paraId="59FB6743" w14:textId="77777777" w:rsidR="003764BF" w:rsidRDefault="003764BF" w:rsidP="00714810">
      <w:pPr>
        <w:pStyle w:val="Heading1"/>
        <w:spacing w:before="240" w:line="480" w:lineRule="auto"/>
      </w:pPr>
      <w:r>
        <w:lastRenderedPageBreak/>
        <w:t>Tables</w:t>
      </w:r>
    </w:p>
    <w:p w14:paraId="1CB55912" w14:textId="77777777" w:rsidR="00F06AE4" w:rsidRDefault="00EF124F" w:rsidP="00714810">
      <w:pPr>
        <w:spacing w:line="480" w:lineRule="auto"/>
        <w:rPr>
          <w:sz w:val="22"/>
          <w:szCs w:val="22"/>
          <w:lang w:val="en-GB"/>
        </w:rPr>
      </w:pPr>
      <w:r>
        <w:t xml:space="preserve">Table 1. </w:t>
      </w:r>
      <w:r w:rsidR="00503B0B">
        <w:t>Prior distributions for model parameters.</w:t>
      </w:r>
      <w:r>
        <w:fldChar w:fldCharType="begin"/>
      </w:r>
      <w:r>
        <w:instrText xml:space="preserve"> LINK </w:instrText>
      </w:r>
      <w:r w:rsidR="00F06AE4">
        <w:instrText xml:space="preserve">Excel.Sheet.12 C:\\Users\\kelli\\Dropbox\\ai\\ai_bayesian_priors.xlsx Sheet1!R1C1:R8C3 </w:instrText>
      </w:r>
      <w:r>
        <w:instrText xml:space="preserve">\a \f 4 \h </w:instrText>
      </w:r>
      <w:r w:rsidR="00714810">
        <w:instrText xml:space="preserve"> \* MERGEFORMAT </w:instrText>
      </w:r>
      <w:r w:rsidR="00F06AE4">
        <w:fldChar w:fldCharType="separate"/>
      </w:r>
    </w:p>
    <w:tbl>
      <w:tblPr>
        <w:tblW w:w="6500" w:type="dxa"/>
        <w:tblInd w:w="93" w:type="dxa"/>
        <w:tblLook w:val="04A0" w:firstRow="1" w:lastRow="0" w:firstColumn="1" w:lastColumn="0" w:noHBand="0" w:noVBand="1"/>
      </w:tblPr>
      <w:tblGrid>
        <w:gridCol w:w="1163"/>
        <w:gridCol w:w="2700"/>
        <w:gridCol w:w="2720"/>
      </w:tblGrid>
      <w:tr w:rsidR="00F06AE4" w:rsidRPr="00F06AE4" w14:paraId="3AE761D5" w14:textId="77777777" w:rsidTr="00F06AE4">
        <w:trPr>
          <w:divId w:val="1662392330"/>
          <w:trHeight w:val="300"/>
        </w:trPr>
        <w:tc>
          <w:tcPr>
            <w:tcW w:w="1080" w:type="dxa"/>
            <w:tcBorders>
              <w:top w:val="single" w:sz="4" w:space="0" w:color="auto"/>
              <w:left w:val="nil"/>
              <w:bottom w:val="single" w:sz="4" w:space="0" w:color="auto"/>
              <w:right w:val="nil"/>
            </w:tcBorders>
            <w:shd w:val="clear" w:color="auto" w:fill="auto"/>
            <w:noWrap/>
            <w:vAlign w:val="bottom"/>
            <w:hideMark/>
          </w:tcPr>
          <w:p w14:paraId="7426D84F"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Parameter</w:t>
            </w:r>
          </w:p>
        </w:tc>
        <w:tc>
          <w:tcPr>
            <w:tcW w:w="2700" w:type="dxa"/>
            <w:tcBorders>
              <w:top w:val="single" w:sz="4" w:space="0" w:color="auto"/>
              <w:left w:val="nil"/>
              <w:bottom w:val="single" w:sz="4" w:space="0" w:color="auto"/>
              <w:right w:val="nil"/>
            </w:tcBorders>
            <w:shd w:val="clear" w:color="auto" w:fill="auto"/>
            <w:noWrap/>
            <w:vAlign w:val="bottom"/>
            <w:hideMark/>
          </w:tcPr>
          <w:p w14:paraId="11454790"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Process error structure</w:t>
            </w:r>
          </w:p>
        </w:tc>
        <w:tc>
          <w:tcPr>
            <w:tcW w:w="2720" w:type="dxa"/>
            <w:tcBorders>
              <w:top w:val="single" w:sz="4" w:space="0" w:color="auto"/>
              <w:left w:val="nil"/>
              <w:bottom w:val="single" w:sz="4" w:space="0" w:color="auto"/>
              <w:right w:val="nil"/>
            </w:tcBorders>
            <w:shd w:val="clear" w:color="auto" w:fill="auto"/>
            <w:noWrap/>
            <w:vAlign w:val="bottom"/>
            <w:hideMark/>
          </w:tcPr>
          <w:p w14:paraId="29D71257"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Prior distribution</w:t>
            </w:r>
          </w:p>
        </w:tc>
      </w:tr>
      <w:tr w:rsidR="00F06AE4" w:rsidRPr="00F06AE4" w14:paraId="682B2092" w14:textId="77777777" w:rsidTr="00F06AE4">
        <w:trPr>
          <w:divId w:val="1662392330"/>
          <w:trHeight w:val="360"/>
        </w:trPr>
        <w:tc>
          <w:tcPr>
            <w:tcW w:w="1080" w:type="dxa"/>
            <w:tcBorders>
              <w:top w:val="nil"/>
              <w:left w:val="nil"/>
              <w:bottom w:val="nil"/>
              <w:right w:val="nil"/>
            </w:tcBorders>
            <w:shd w:val="clear" w:color="auto" w:fill="auto"/>
            <w:noWrap/>
            <w:vAlign w:val="bottom"/>
            <w:hideMark/>
          </w:tcPr>
          <w:p w14:paraId="59A0F421"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Um</w:t>
            </w:r>
          </w:p>
        </w:tc>
        <w:tc>
          <w:tcPr>
            <w:tcW w:w="2700" w:type="dxa"/>
            <w:tcBorders>
              <w:top w:val="nil"/>
              <w:left w:val="nil"/>
              <w:bottom w:val="nil"/>
              <w:right w:val="nil"/>
            </w:tcBorders>
            <w:shd w:val="clear" w:color="auto" w:fill="auto"/>
            <w:noWrap/>
            <w:vAlign w:val="bottom"/>
            <w:hideMark/>
          </w:tcPr>
          <w:p w14:paraId="0EC28855"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p>
        </w:tc>
        <w:tc>
          <w:tcPr>
            <w:tcW w:w="2720" w:type="dxa"/>
            <w:tcBorders>
              <w:top w:val="nil"/>
              <w:left w:val="nil"/>
              <w:bottom w:val="nil"/>
              <w:right w:val="nil"/>
            </w:tcBorders>
            <w:shd w:val="clear" w:color="auto" w:fill="auto"/>
            <w:noWrap/>
            <w:vAlign w:val="bottom"/>
            <w:hideMark/>
          </w:tcPr>
          <w:p w14:paraId="57F4DF66"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Normal (0,0.2)</w:t>
            </w:r>
          </w:p>
        </w:tc>
      </w:tr>
      <w:tr w:rsidR="00F06AE4" w:rsidRPr="00F06AE4" w14:paraId="5851A674" w14:textId="77777777" w:rsidTr="00F06AE4">
        <w:trPr>
          <w:divId w:val="1662392330"/>
          <w:trHeight w:val="360"/>
        </w:trPr>
        <w:tc>
          <w:tcPr>
            <w:tcW w:w="1080" w:type="dxa"/>
            <w:tcBorders>
              <w:top w:val="nil"/>
              <w:left w:val="nil"/>
              <w:bottom w:val="nil"/>
              <w:right w:val="nil"/>
            </w:tcBorders>
            <w:shd w:val="clear" w:color="auto" w:fill="auto"/>
            <w:noWrap/>
            <w:vAlign w:val="bottom"/>
            <w:hideMark/>
          </w:tcPr>
          <w:p w14:paraId="598D7D0B"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An</w:t>
            </w:r>
          </w:p>
        </w:tc>
        <w:tc>
          <w:tcPr>
            <w:tcW w:w="2700" w:type="dxa"/>
            <w:tcBorders>
              <w:top w:val="nil"/>
              <w:left w:val="nil"/>
              <w:bottom w:val="nil"/>
              <w:right w:val="nil"/>
            </w:tcBorders>
            <w:shd w:val="clear" w:color="auto" w:fill="auto"/>
            <w:noWrap/>
            <w:vAlign w:val="bottom"/>
            <w:hideMark/>
          </w:tcPr>
          <w:p w14:paraId="24030071"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p>
        </w:tc>
        <w:tc>
          <w:tcPr>
            <w:tcW w:w="2720" w:type="dxa"/>
            <w:tcBorders>
              <w:top w:val="nil"/>
              <w:left w:val="nil"/>
              <w:bottom w:val="nil"/>
              <w:right w:val="nil"/>
            </w:tcBorders>
            <w:shd w:val="clear" w:color="auto" w:fill="auto"/>
            <w:noWrap/>
            <w:vAlign w:val="bottom"/>
            <w:hideMark/>
          </w:tcPr>
          <w:p w14:paraId="2234A2AE"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Normal (0,1)</w:t>
            </w:r>
          </w:p>
        </w:tc>
      </w:tr>
      <w:tr w:rsidR="00F06AE4" w:rsidRPr="00F06AE4" w14:paraId="7F0015DF" w14:textId="77777777" w:rsidTr="00F06AE4">
        <w:trPr>
          <w:divId w:val="1662392330"/>
          <w:trHeight w:val="360"/>
        </w:trPr>
        <w:tc>
          <w:tcPr>
            <w:tcW w:w="1080" w:type="dxa"/>
            <w:tcBorders>
              <w:top w:val="nil"/>
              <w:left w:val="nil"/>
              <w:bottom w:val="nil"/>
              <w:right w:val="nil"/>
            </w:tcBorders>
            <w:shd w:val="clear" w:color="auto" w:fill="auto"/>
            <w:noWrap/>
            <w:vAlign w:val="bottom"/>
            <w:hideMark/>
          </w:tcPr>
          <w:p w14:paraId="4F6BA7A7"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X1</w:t>
            </w:r>
          </w:p>
        </w:tc>
        <w:tc>
          <w:tcPr>
            <w:tcW w:w="2700" w:type="dxa"/>
            <w:tcBorders>
              <w:top w:val="nil"/>
              <w:left w:val="nil"/>
              <w:bottom w:val="nil"/>
              <w:right w:val="nil"/>
            </w:tcBorders>
            <w:shd w:val="clear" w:color="auto" w:fill="auto"/>
            <w:noWrap/>
            <w:vAlign w:val="bottom"/>
            <w:hideMark/>
          </w:tcPr>
          <w:p w14:paraId="700B80A4"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p>
        </w:tc>
        <w:tc>
          <w:tcPr>
            <w:tcW w:w="2720" w:type="dxa"/>
            <w:tcBorders>
              <w:top w:val="nil"/>
              <w:left w:val="nil"/>
              <w:bottom w:val="nil"/>
              <w:right w:val="nil"/>
            </w:tcBorders>
            <w:shd w:val="clear" w:color="auto" w:fill="auto"/>
            <w:noWrap/>
            <w:vAlign w:val="bottom"/>
            <w:hideMark/>
          </w:tcPr>
          <w:p w14:paraId="0452FEA8"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Normal (0,0.01)</w:t>
            </w:r>
          </w:p>
        </w:tc>
      </w:tr>
      <w:tr w:rsidR="00F06AE4" w:rsidRPr="00F06AE4" w14:paraId="60B748E9" w14:textId="77777777" w:rsidTr="00F06AE4">
        <w:trPr>
          <w:divId w:val="1662392330"/>
          <w:trHeight w:val="300"/>
        </w:trPr>
        <w:tc>
          <w:tcPr>
            <w:tcW w:w="1080" w:type="dxa"/>
            <w:tcBorders>
              <w:top w:val="nil"/>
              <w:left w:val="nil"/>
              <w:bottom w:val="nil"/>
              <w:right w:val="nil"/>
            </w:tcBorders>
            <w:shd w:val="clear" w:color="auto" w:fill="auto"/>
            <w:noWrap/>
            <w:vAlign w:val="bottom"/>
            <w:hideMark/>
          </w:tcPr>
          <w:p w14:paraId="4153F79C"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R</w:t>
            </w:r>
          </w:p>
        </w:tc>
        <w:tc>
          <w:tcPr>
            <w:tcW w:w="2700" w:type="dxa"/>
            <w:tcBorders>
              <w:top w:val="nil"/>
              <w:left w:val="nil"/>
              <w:bottom w:val="nil"/>
              <w:right w:val="nil"/>
            </w:tcBorders>
            <w:shd w:val="clear" w:color="auto" w:fill="auto"/>
            <w:noWrap/>
            <w:vAlign w:val="bottom"/>
            <w:hideMark/>
          </w:tcPr>
          <w:p w14:paraId="4D4EEF37"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p>
        </w:tc>
        <w:tc>
          <w:tcPr>
            <w:tcW w:w="2720" w:type="dxa"/>
            <w:tcBorders>
              <w:top w:val="nil"/>
              <w:left w:val="nil"/>
              <w:bottom w:val="nil"/>
              <w:right w:val="nil"/>
            </w:tcBorders>
            <w:shd w:val="clear" w:color="auto" w:fill="auto"/>
            <w:noWrap/>
            <w:vAlign w:val="bottom"/>
            <w:hideMark/>
          </w:tcPr>
          <w:p w14:paraId="683BFF1F"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Gamma (0.01, 0.01)</w:t>
            </w:r>
          </w:p>
        </w:tc>
      </w:tr>
      <w:tr w:rsidR="00F06AE4" w:rsidRPr="00F06AE4" w14:paraId="6E4644EF" w14:textId="77777777" w:rsidTr="00F06AE4">
        <w:trPr>
          <w:divId w:val="1662392330"/>
          <w:trHeight w:val="300"/>
        </w:trPr>
        <w:tc>
          <w:tcPr>
            <w:tcW w:w="1080" w:type="dxa"/>
            <w:tcBorders>
              <w:top w:val="nil"/>
              <w:left w:val="nil"/>
              <w:bottom w:val="nil"/>
              <w:right w:val="nil"/>
            </w:tcBorders>
            <w:shd w:val="clear" w:color="auto" w:fill="auto"/>
            <w:noWrap/>
            <w:vAlign w:val="bottom"/>
            <w:hideMark/>
          </w:tcPr>
          <w:p w14:paraId="72750E20"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Q</w:t>
            </w:r>
          </w:p>
        </w:tc>
        <w:tc>
          <w:tcPr>
            <w:tcW w:w="2700" w:type="dxa"/>
            <w:tcBorders>
              <w:top w:val="nil"/>
              <w:left w:val="nil"/>
              <w:bottom w:val="nil"/>
              <w:right w:val="nil"/>
            </w:tcBorders>
            <w:shd w:val="clear" w:color="auto" w:fill="auto"/>
            <w:noWrap/>
            <w:vAlign w:val="bottom"/>
            <w:hideMark/>
          </w:tcPr>
          <w:p w14:paraId="0FABC8A8"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constant</w:t>
            </w:r>
          </w:p>
        </w:tc>
        <w:tc>
          <w:tcPr>
            <w:tcW w:w="2720" w:type="dxa"/>
            <w:tcBorders>
              <w:top w:val="nil"/>
              <w:left w:val="nil"/>
              <w:bottom w:val="nil"/>
              <w:right w:val="nil"/>
            </w:tcBorders>
            <w:shd w:val="clear" w:color="auto" w:fill="auto"/>
            <w:noWrap/>
            <w:vAlign w:val="bottom"/>
            <w:hideMark/>
          </w:tcPr>
          <w:p w14:paraId="4C3D7F37"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Gamma (0.01, 0.01)</w:t>
            </w:r>
          </w:p>
        </w:tc>
      </w:tr>
      <w:tr w:rsidR="00F06AE4" w:rsidRPr="00F06AE4" w14:paraId="49ACCED9" w14:textId="77777777" w:rsidTr="00F06AE4">
        <w:trPr>
          <w:divId w:val="1662392330"/>
          <w:trHeight w:val="360"/>
        </w:trPr>
        <w:tc>
          <w:tcPr>
            <w:tcW w:w="1080" w:type="dxa"/>
            <w:tcBorders>
              <w:top w:val="nil"/>
              <w:left w:val="nil"/>
              <w:bottom w:val="nil"/>
              <w:right w:val="nil"/>
            </w:tcBorders>
            <w:shd w:val="clear" w:color="auto" w:fill="auto"/>
            <w:noWrap/>
            <w:vAlign w:val="bottom"/>
            <w:hideMark/>
          </w:tcPr>
          <w:p w14:paraId="18CF6A81" w14:textId="77777777" w:rsidR="00F06AE4" w:rsidRPr="00F06AE4" w:rsidRDefault="00F06AE4" w:rsidP="00F06AE4">
            <w:pPr>
              <w:spacing w:line="480" w:lineRule="auto"/>
              <w:rPr>
                <w:rFonts w:ascii="Calibri" w:eastAsia="Times New Roman" w:hAnsi="Calibri" w:cs="Times New Roman"/>
                <w:b/>
                <w:bCs/>
                <w:color w:val="000000"/>
                <w:sz w:val="22"/>
                <w:szCs w:val="22"/>
                <w:lang w:val="en-GB" w:eastAsia="en-GB"/>
              </w:rPr>
            </w:pPr>
            <w:r w:rsidRPr="00F06AE4">
              <w:rPr>
                <w:rFonts w:ascii="Calibri" w:eastAsia="Times New Roman" w:hAnsi="Calibri" w:cs="Times New Roman"/>
                <w:b/>
                <w:bCs/>
                <w:color w:val="000000"/>
                <w:sz w:val="22"/>
                <w:szCs w:val="22"/>
                <w:lang w:val="en-GB" w:eastAsia="en-GB"/>
              </w:rPr>
              <w:t>Q</w:t>
            </w:r>
            <w:r w:rsidRPr="00F06AE4">
              <w:rPr>
                <w:rFonts w:ascii="Calibri" w:eastAsia="Times New Roman" w:hAnsi="Calibri" w:cs="Times New Roman"/>
                <w:b/>
                <w:bCs/>
                <w:color w:val="000000"/>
                <w:sz w:val="22"/>
                <w:szCs w:val="22"/>
                <w:vertAlign w:val="subscript"/>
                <w:lang w:val="en-GB" w:eastAsia="en-GB"/>
              </w:rPr>
              <w:t>(</w:t>
            </w:r>
            <w:proofErr w:type="spellStart"/>
            <w:r w:rsidRPr="00F06AE4">
              <w:rPr>
                <w:rFonts w:ascii="Calibri" w:eastAsia="Times New Roman" w:hAnsi="Calibri" w:cs="Times New Roman"/>
                <w:b/>
                <w:bCs/>
                <w:color w:val="000000"/>
                <w:sz w:val="22"/>
                <w:szCs w:val="22"/>
                <w:vertAlign w:val="subscript"/>
                <w:lang w:val="en-GB" w:eastAsia="en-GB"/>
              </w:rPr>
              <w:t>m,m</w:t>
            </w:r>
            <w:proofErr w:type="spellEnd"/>
            <w:r w:rsidRPr="00F06AE4">
              <w:rPr>
                <w:rFonts w:ascii="Calibri" w:eastAsia="Times New Roman" w:hAnsi="Calibri" w:cs="Times New Roman"/>
                <w:b/>
                <w:bCs/>
                <w:color w:val="000000"/>
                <w:sz w:val="22"/>
                <w:szCs w:val="22"/>
                <w:vertAlign w:val="subscript"/>
                <w:lang w:val="en-GB" w:eastAsia="en-GB"/>
              </w:rPr>
              <w:t>)</w:t>
            </w:r>
          </w:p>
        </w:tc>
        <w:tc>
          <w:tcPr>
            <w:tcW w:w="2700" w:type="dxa"/>
            <w:tcBorders>
              <w:top w:val="nil"/>
              <w:left w:val="nil"/>
              <w:bottom w:val="nil"/>
              <w:right w:val="nil"/>
            </w:tcBorders>
            <w:shd w:val="clear" w:color="auto" w:fill="auto"/>
            <w:noWrap/>
            <w:vAlign w:val="bottom"/>
            <w:hideMark/>
          </w:tcPr>
          <w:p w14:paraId="68359D12"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diagonal &amp; uncorrelated</w:t>
            </w:r>
          </w:p>
        </w:tc>
        <w:tc>
          <w:tcPr>
            <w:tcW w:w="2720" w:type="dxa"/>
            <w:tcBorders>
              <w:top w:val="nil"/>
              <w:left w:val="nil"/>
              <w:bottom w:val="nil"/>
              <w:right w:val="nil"/>
            </w:tcBorders>
            <w:shd w:val="clear" w:color="auto" w:fill="auto"/>
            <w:noWrap/>
            <w:vAlign w:val="bottom"/>
            <w:hideMark/>
          </w:tcPr>
          <w:p w14:paraId="6BD79CF2"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Gamma (0.01, 0.01)</w:t>
            </w:r>
          </w:p>
        </w:tc>
      </w:tr>
      <w:tr w:rsidR="00F06AE4" w:rsidRPr="00F06AE4" w14:paraId="4237318F" w14:textId="77777777" w:rsidTr="00F06AE4">
        <w:trPr>
          <w:divId w:val="1662392330"/>
          <w:trHeight w:val="300"/>
        </w:trPr>
        <w:tc>
          <w:tcPr>
            <w:tcW w:w="1080" w:type="dxa"/>
            <w:tcBorders>
              <w:top w:val="nil"/>
              <w:left w:val="nil"/>
              <w:bottom w:val="single" w:sz="4" w:space="0" w:color="auto"/>
              <w:right w:val="nil"/>
            </w:tcBorders>
            <w:shd w:val="clear" w:color="auto" w:fill="auto"/>
            <w:noWrap/>
            <w:vAlign w:val="bottom"/>
            <w:hideMark/>
          </w:tcPr>
          <w:p w14:paraId="05883A12" w14:textId="77777777" w:rsidR="00F06AE4" w:rsidRPr="00F06AE4" w:rsidRDefault="00F06AE4" w:rsidP="00F06AE4">
            <w:pPr>
              <w:spacing w:line="480" w:lineRule="auto"/>
              <w:rPr>
                <w:rFonts w:ascii="Calibri" w:eastAsia="Times New Roman" w:hAnsi="Calibri" w:cs="Times New Roman"/>
                <w:b/>
                <w:bCs/>
                <w:color w:val="000000"/>
                <w:sz w:val="22"/>
                <w:szCs w:val="22"/>
                <w:lang w:val="en-GB" w:eastAsia="en-GB"/>
              </w:rPr>
            </w:pPr>
            <w:r w:rsidRPr="00F06AE4">
              <w:rPr>
                <w:rFonts w:ascii="Calibri" w:eastAsia="Times New Roman" w:hAnsi="Calibri" w:cs="Times New Roman"/>
                <w:b/>
                <w:bCs/>
                <w:color w:val="000000"/>
                <w:sz w:val="22"/>
                <w:szCs w:val="22"/>
                <w:lang w:val="en-GB" w:eastAsia="en-GB"/>
              </w:rPr>
              <w:t>Q</w:t>
            </w:r>
          </w:p>
        </w:tc>
        <w:tc>
          <w:tcPr>
            <w:tcW w:w="2700" w:type="dxa"/>
            <w:tcBorders>
              <w:top w:val="nil"/>
              <w:left w:val="nil"/>
              <w:bottom w:val="single" w:sz="4" w:space="0" w:color="auto"/>
              <w:right w:val="nil"/>
            </w:tcBorders>
            <w:shd w:val="clear" w:color="auto" w:fill="auto"/>
            <w:noWrap/>
            <w:vAlign w:val="bottom"/>
            <w:hideMark/>
          </w:tcPr>
          <w:p w14:paraId="562872D8"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r w:rsidRPr="00F06AE4">
              <w:rPr>
                <w:rFonts w:ascii="Calibri" w:eastAsia="Times New Roman" w:hAnsi="Calibri" w:cs="Times New Roman"/>
                <w:color w:val="000000"/>
                <w:sz w:val="22"/>
                <w:szCs w:val="22"/>
                <w:lang w:val="en-GB" w:eastAsia="en-GB"/>
              </w:rPr>
              <w:t>diagonal &amp; correlated</w:t>
            </w:r>
          </w:p>
        </w:tc>
        <w:tc>
          <w:tcPr>
            <w:tcW w:w="2720" w:type="dxa"/>
            <w:tcBorders>
              <w:top w:val="nil"/>
              <w:left w:val="nil"/>
              <w:bottom w:val="single" w:sz="4" w:space="0" w:color="auto"/>
              <w:right w:val="nil"/>
            </w:tcBorders>
            <w:shd w:val="clear" w:color="auto" w:fill="auto"/>
            <w:noWrap/>
            <w:vAlign w:val="bottom"/>
            <w:hideMark/>
          </w:tcPr>
          <w:p w14:paraId="68CAAC0C" w14:textId="77777777" w:rsidR="00F06AE4" w:rsidRPr="00F06AE4" w:rsidRDefault="00F06AE4" w:rsidP="00F06AE4">
            <w:pPr>
              <w:spacing w:line="480" w:lineRule="auto"/>
              <w:rPr>
                <w:rFonts w:ascii="Calibri" w:eastAsia="Times New Roman" w:hAnsi="Calibri" w:cs="Times New Roman"/>
                <w:color w:val="000000"/>
                <w:sz w:val="22"/>
                <w:szCs w:val="22"/>
                <w:lang w:val="en-GB" w:eastAsia="en-GB"/>
              </w:rPr>
            </w:pPr>
            <w:proofErr w:type="spellStart"/>
            <w:r w:rsidRPr="00F06AE4">
              <w:rPr>
                <w:rFonts w:ascii="Calibri" w:eastAsia="Times New Roman" w:hAnsi="Calibri" w:cs="Times New Roman"/>
                <w:color w:val="000000"/>
                <w:sz w:val="22"/>
                <w:szCs w:val="22"/>
                <w:lang w:val="en-GB" w:eastAsia="en-GB"/>
              </w:rPr>
              <w:t>Wishart</w:t>
            </w:r>
            <w:proofErr w:type="spellEnd"/>
            <w:r w:rsidRPr="00F06AE4">
              <w:rPr>
                <w:rFonts w:ascii="Calibri" w:eastAsia="Times New Roman" w:hAnsi="Calibri" w:cs="Times New Roman"/>
                <w:color w:val="000000"/>
                <w:sz w:val="22"/>
                <w:szCs w:val="22"/>
                <w:lang w:val="en-GB" w:eastAsia="en-GB"/>
              </w:rPr>
              <w:t xml:space="preserve"> (m + 1, </w:t>
            </w:r>
            <w:proofErr w:type="spellStart"/>
            <w:r w:rsidRPr="00F06AE4">
              <w:rPr>
                <w:rFonts w:ascii="Calibri" w:eastAsia="Times New Roman" w:hAnsi="Calibri" w:cs="Times New Roman"/>
                <w:color w:val="000000"/>
                <w:sz w:val="22"/>
                <w:szCs w:val="22"/>
                <w:lang w:val="en-GB" w:eastAsia="en-GB"/>
              </w:rPr>
              <w:t>diag</w:t>
            </w:r>
            <w:proofErr w:type="spellEnd"/>
            <w:r w:rsidRPr="00F06AE4">
              <w:rPr>
                <w:rFonts w:ascii="Calibri" w:eastAsia="Times New Roman" w:hAnsi="Calibri" w:cs="Times New Roman"/>
                <w:color w:val="000000"/>
                <w:sz w:val="22"/>
                <w:szCs w:val="22"/>
                <w:lang w:val="en-GB" w:eastAsia="en-GB"/>
              </w:rPr>
              <w:t>(0.01))</w:t>
            </w:r>
          </w:p>
        </w:tc>
      </w:tr>
    </w:tbl>
    <w:p w14:paraId="5A7515B0" w14:textId="77777777" w:rsidR="003764BF" w:rsidRDefault="00EF124F" w:rsidP="00714810">
      <w:pPr>
        <w:spacing w:line="480" w:lineRule="auto"/>
      </w:pPr>
      <w:r>
        <w:fldChar w:fldCharType="end"/>
      </w:r>
    </w:p>
    <w:p w14:paraId="58CDD980" w14:textId="77777777" w:rsidR="00FF6E57" w:rsidRDefault="00FF6E57" w:rsidP="00714810">
      <w:pPr>
        <w:spacing w:line="480" w:lineRule="auto"/>
      </w:pPr>
      <w:r>
        <w:t>Table 2. Deviance information criteria (DIC) for the candidate model set. The model in bold signifies the model with the lowest DIC.</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1164"/>
        <w:gridCol w:w="1176"/>
        <w:gridCol w:w="1350"/>
        <w:gridCol w:w="990"/>
      </w:tblGrid>
      <w:tr w:rsidR="00FF6E57" w14:paraId="671BAEE3" w14:textId="77777777" w:rsidTr="00D81FA8">
        <w:tc>
          <w:tcPr>
            <w:tcW w:w="2718" w:type="dxa"/>
            <w:tcBorders>
              <w:top w:val="single" w:sz="4" w:space="0" w:color="auto"/>
              <w:bottom w:val="nil"/>
            </w:tcBorders>
          </w:tcPr>
          <w:p w14:paraId="6C1DF829" w14:textId="77777777" w:rsidR="00FF6E57" w:rsidRDefault="00FF6E57" w:rsidP="00FF6E57">
            <w:pPr>
              <w:spacing w:line="480" w:lineRule="auto"/>
              <w:jc w:val="center"/>
            </w:pPr>
            <w:r>
              <w:t>Model</w:t>
            </w:r>
          </w:p>
        </w:tc>
        <w:tc>
          <w:tcPr>
            <w:tcW w:w="2340" w:type="dxa"/>
            <w:gridSpan w:val="2"/>
            <w:tcBorders>
              <w:top w:val="single" w:sz="4" w:space="0" w:color="auto"/>
              <w:bottom w:val="single" w:sz="4" w:space="0" w:color="auto"/>
            </w:tcBorders>
          </w:tcPr>
          <w:p w14:paraId="54C635FA" w14:textId="77777777" w:rsidR="00FF6E57" w:rsidRDefault="00FF6E57" w:rsidP="00FF6E57">
            <w:pPr>
              <w:spacing w:line="480" w:lineRule="auto"/>
              <w:jc w:val="center"/>
            </w:pPr>
            <w:r>
              <w:t>DIC</w:t>
            </w:r>
          </w:p>
        </w:tc>
        <w:tc>
          <w:tcPr>
            <w:tcW w:w="2340" w:type="dxa"/>
            <w:gridSpan w:val="2"/>
            <w:tcBorders>
              <w:top w:val="single" w:sz="4" w:space="0" w:color="auto"/>
              <w:bottom w:val="single" w:sz="4" w:space="0" w:color="auto"/>
            </w:tcBorders>
          </w:tcPr>
          <w:p w14:paraId="5311A60A" w14:textId="77777777" w:rsidR="00FF6E57" w:rsidRDefault="00FF6E57" w:rsidP="00FF6E57">
            <w:pPr>
              <w:spacing w:line="480" w:lineRule="auto"/>
              <w:jc w:val="center"/>
            </w:pPr>
            <w:r>
              <w:t>Bayes Factor</w:t>
            </w:r>
          </w:p>
        </w:tc>
      </w:tr>
      <w:tr w:rsidR="00FF6E57" w14:paraId="3C81C219" w14:textId="77777777" w:rsidTr="00D81FA8">
        <w:tc>
          <w:tcPr>
            <w:tcW w:w="2718" w:type="dxa"/>
            <w:tcBorders>
              <w:top w:val="nil"/>
              <w:bottom w:val="single" w:sz="4" w:space="0" w:color="auto"/>
            </w:tcBorders>
          </w:tcPr>
          <w:p w14:paraId="2C1131D4" w14:textId="77777777" w:rsidR="00FF6E57" w:rsidRDefault="00FF6E57" w:rsidP="00714810">
            <w:pPr>
              <w:spacing w:line="480" w:lineRule="auto"/>
            </w:pPr>
          </w:p>
        </w:tc>
        <w:tc>
          <w:tcPr>
            <w:tcW w:w="1164" w:type="dxa"/>
            <w:tcBorders>
              <w:top w:val="single" w:sz="4" w:space="0" w:color="auto"/>
              <w:bottom w:val="single" w:sz="4" w:space="0" w:color="auto"/>
            </w:tcBorders>
          </w:tcPr>
          <w:p w14:paraId="2AB1530E" w14:textId="77777777" w:rsidR="00FF6E57" w:rsidRDefault="00FF6E57" w:rsidP="00714810">
            <w:pPr>
              <w:spacing w:line="480" w:lineRule="auto"/>
            </w:pPr>
            <w:r>
              <w:t>MCMC</w:t>
            </w:r>
          </w:p>
        </w:tc>
        <w:tc>
          <w:tcPr>
            <w:tcW w:w="1176" w:type="dxa"/>
            <w:tcBorders>
              <w:top w:val="single" w:sz="4" w:space="0" w:color="auto"/>
              <w:bottom w:val="single" w:sz="4" w:space="0" w:color="auto"/>
            </w:tcBorders>
          </w:tcPr>
          <w:p w14:paraId="6FCC0D09" w14:textId="77777777" w:rsidR="00FF6E57" w:rsidRDefault="00FF6E57" w:rsidP="00714810">
            <w:pPr>
              <w:spacing w:line="480" w:lineRule="auto"/>
            </w:pPr>
            <w:r>
              <w:t>SIR</w:t>
            </w:r>
          </w:p>
        </w:tc>
        <w:tc>
          <w:tcPr>
            <w:tcW w:w="1350" w:type="dxa"/>
            <w:tcBorders>
              <w:top w:val="single" w:sz="4" w:space="0" w:color="auto"/>
              <w:bottom w:val="single" w:sz="4" w:space="0" w:color="auto"/>
            </w:tcBorders>
          </w:tcPr>
          <w:p w14:paraId="021D0105" w14:textId="77777777" w:rsidR="00FF6E57" w:rsidRDefault="00FF6E57" w:rsidP="00714810">
            <w:pPr>
              <w:spacing w:line="480" w:lineRule="auto"/>
            </w:pPr>
            <w:r>
              <w:t>MCMC</w:t>
            </w:r>
          </w:p>
        </w:tc>
        <w:tc>
          <w:tcPr>
            <w:tcW w:w="990" w:type="dxa"/>
            <w:tcBorders>
              <w:top w:val="single" w:sz="4" w:space="0" w:color="auto"/>
              <w:bottom w:val="single" w:sz="4" w:space="0" w:color="auto"/>
            </w:tcBorders>
          </w:tcPr>
          <w:p w14:paraId="2DBCBBEA" w14:textId="77777777" w:rsidR="00FF6E57" w:rsidRDefault="00FF6E57" w:rsidP="00714810">
            <w:pPr>
              <w:spacing w:line="480" w:lineRule="auto"/>
            </w:pPr>
            <w:r>
              <w:t>SIR</w:t>
            </w:r>
          </w:p>
        </w:tc>
      </w:tr>
      <w:tr w:rsidR="00FF6E57" w14:paraId="75BBBD88" w14:textId="77777777" w:rsidTr="00D81FA8">
        <w:tc>
          <w:tcPr>
            <w:tcW w:w="2718" w:type="dxa"/>
            <w:tcBorders>
              <w:top w:val="single" w:sz="4" w:space="0" w:color="auto"/>
            </w:tcBorders>
          </w:tcPr>
          <w:p w14:paraId="59000B80" w14:textId="77777777" w:rsidR="00FF6E57" w:rsidRDefault="00FF6E57" w:rsidP="00714810">
            <w:pPr>
              <w:spacing w:line="480" w:lineRule="auto"/>
            </w:pPr>
            <w:r>
              <w:t>Outer slope – equal Q</w:t>
            </w:r>
          </w:p>
        </w:tc>
        <w:tc>
          <w:tcPr>
            <w:tcW w:w="1164" w:type="dxa"/>
            <w:tcBorders>
              <w:top w:val="single" w:sz="4" w:space="0" w:color="auto"/>
            </w:tcBorders>
          </w:tcPr>
          <w:p w14:paraId="71C62635" w14:textId="77777777" w:rsidR="00FF6E57" w:rsidRDefault="00FF6E57" w:rsidP="00714810">
            <w:pPr>
              <w:spacing w:line="480" w:lineRule="auto"/>
            </w:pPr>
            <w:r>
              <w:t>39154.12</w:t>
            </w:r>
          </w:p>
        </w:tc>
        <w:tc>
          <w:tcPr>
            <w:tcW w:w="1176" w:type="dxa"/>
            <w:tcBorders>
              <w:top w:val="single" w:sz="4" w:space="0" w:color="auto"/>
            </w:tcBorders>
          </w:tcPr>
          <w:p w14:paraId="59B4B0FE" w14:textId="77777777" w:rsidR="00FF6E57" w:rsidRDefault="00FF6E57" w:rsidP="00714810">
            <w:pPr>
              <w:spacing w:line="480" w:lineRule="auto"/>
            </w:pPr>
          </w:p>
        </w:tc>
        <w:tc>
          <w:tcPr>
            <w:tcW w:w="1350" w:type="dxa"/>
            <w:tcBorders>
              <w:top w:val="single" w:sz="4" w:space="0" w:color="auto"/>
            </w:tcBorders>
          </w:tcPr>
          <w:p w14:paraId="03F6F64A" w14:textId="77777777" w:rsidR="00FF6E57" w:rsidRDefault="00FF6E57" w:rsidP="00714810">
            <w:pPr>
              <w:spacing w:line="480" w:lineRule="auto"/>
            </w:pPr>
          </w:p>
        </w:tc>
        <w:tc>
          <w:tcPr>
            <w:tcW w:w="990" w:type="dxa"/>
            <w:tcBorders>
              <w:top w:val="single" w:sz="4" w:space="0" w:color="auto"/>
            </w:tcBorders>
          </w:tcPr>
          <w:p w14:paraId="34532B95" w14:textId="77777777" w:rsidR="00FF6E57" w:rsidRDefault="00D81FA8" w:rsidP="00714810">
            <w:pPr>
              <w:spacing w:line="480" w:lineRule="auto"/>
            </w:pPr>
            <w:r>
              <w:t>0.30</w:t>
            </w:r>
          </w:p>
        </w:tc>
      </w:tr>
      <w:tr w:rsidR="00FF6E57" w14:paraId="3065C06E" w14:textId="77777777" w:rsidTr="00D81FA8">
        <w:tc>
          <w:tcPr>
            <w:tcW w:w="2718" w:type="dxa"/>
          </w:tcPr>
          <w:p w14:paraId="3E62F268" w14:textId="77777777" w:rsidR="00FF6E57" w:rsidRDefault="00FF6E57" w:rsidP="00714810">
            <w:pPr>
              <w:spacing w:line="480" w:lineRule="auto"/>
            </w:pPr>
            <w:r>
              <w:t>Outer slope – unequal Q</w:t>
            </w:r>
          </w:p>
        </w:tc>
        <w:tc>
          <w:tcPr>
            <w:tcW w:w="1164" w:type="dxa"/>
          </w:tcPr>
          <w:p w14:paraId="74FA5E1D" w14:textId="77777777" w:rsidR="00FF6E57" w:rsidRDefault="00FF6E57" w:rsidP="00714810">
            <w:pPr>
              <w:spacing w:line="480" w:lineRule="auto"/>
            </w:pPr>
            <w:r>
              <w:t>39151.62</w:t>
            </w:r>
          </w:p>
        </w:tc>
        <w:tc>
          <w:tcPr>
            <w:tcW w:w="1176" w:type="dxa"/>
          </w:tcPr>
          <w:p w14:paraId="43F972AD" w14:textId="77777777" w:rsidR="00FF6E57" w:rsidRDefault="00FF6E57" w:rsidP="00714810">
            <w:pPr>
              <w:spacing w:line="480" w:lineRule="auto"/>
            </w:pPr>
          </w:p>
        </w:tc>
        <w:tc>
          <w:tcPr>
            <w:tcW w:w="1350" w:type="dxa"/>
          </w:tcPr>
          <w:p w14:paraId="53B11F4D" w14:textId="77777777" w:rsidR="00FF6E57" w:rsidRDefault="00FF6E57" w:rsidP="00714810">
            <w:pPr>
              <w:spacing w:line="480" w:lineRule="auto"/>
            </w:pPr>
          </w:p>
        </w:tc>
        <w:tc>
          <w:tcPr>
            <w:tcW w:w="990" w:type="dxa"/>
          </w:tcPr>
          <w:p w14:paraId="4D0ABF9D" w14:textId="77777777" w:rsidR="00FF6E57" w:rsidRDefault="00D81FA8" w:rsidP="00714810">
            <w:pPr>
              <w:spacing w:line="480" w:lineRule="auto"/>
            </w:pPr>
            <w:r>
              <w:t>0.31</w:t>
            </w:r>
          </w:p>
        </w:tc>
      </w:tr>
      <w:tr w:rsidR="00FF6E57" w:rsidRPr="00FF6E57" w14:paraId="3A8EA204" w14:textId="77777777" w:rsidTr="00D81FA8">
        <w:tc>
          <w:tcPr>
            <w:tcW w:w="2718" w:type="dxa"/>
          </w:tcPr>
          <w:p w14:paraId="4A93FFFF" w14:textId="77777777" w:rsidR="00FF6E57" w:rsidRPr="00FF6E57" w:rsidRDefault="00FF6E57" w:rsidP="00714810">
            <w:pPr>
              <w:spacing w:line="480" w:lineRule="auto"/>
              <w:rPr>
                <w:b/>
              </w:rPr>
            </w:pPr>
            <w:r w:rsidRPr="00FF6E57">
              <w:rPr>
                <w:b/>
              </w:rPr>
              <w:t>Inner slope – equal Q</w:t>
            </w:r>
          </w:p>
        </w:tc>
        <w:tc>
          <w:tcPr>
            <w:tcW w:w="1164" w:type="dxa"/>
          </w:tcPr>
          <w:p w14:paraId="2AD0B0C8" w14:textId="77777777" w:rsidR="00FF6E57" w:rsidRPr="00FF6E57" w:rsidRDefault="00FF6E57" w:rsidP="00714810">
            <w:pPr>
              <w:spacing w:line="480" w:lineRule="auto"/>
              <w:rPr>
                <w:b/>
              </w:rPr>
            </w:pPr>
            <w:r w:rsidRPr="00FF6E57">
              <w:rPr>
                <w:b/>
              </w:rPr>
              <w:t>38857.88</w:t>
            </w:r>
          </w:p>
        </w:tc>
        <w:tc>
          <w:tcPr>
            <w:tcW w:w="1176" w:type="dxa"/>
          </w:tcPr>
          <w:p w14:paraId="231AA5A6" w14:textId="77777777" w:rsidR="00FF6E57" w:rsidRPr="00FF6E57" w:rsidRDefault="00FF6E57" w:rsidP="00714810">
            <w:pPr>
              <w:spacing w:line="480" w:lineRule="auto"/>
              <w:rPr>
                <w:b/>
              </w:rPr>
            </w:pPr>
          </w:p>
        </w:tc>
        <w:tc>
          <w:tcPr>
            <w:tcW w:w="1350" w:type="dxa"/>
          </w:tcPr>
          <w:p w14:paraId="5051A599" w14:textId="77777777" w:rsidR="00FF6E57" w:rsidRPr="00FF6E57" w:rsidRDefault="00FF6E57" w:rsidP="00714810">
            <w:pPr>
              <w:spacing w:line="480" w:lineRule="auto"/>
              <w:rPr>
                <w:b/>
              </w:rPr>
            </w:pPr>
          </w:p>
        </w:tc>
        <w:tc>
          <w:tcPr>
            <w:tcW w:w="990" w:type="dxa"/>
          </w:tcPr>
          <w:p w14:paraId="674AC5AE" w14:textId="77777777" w:rsidR="00FF6E57" w:rsidRPr="00FF6E57" w:rsidRDefault="00D81FA8" w:rsidP="00714810">
            <w:pPr>
              <w:spacing w:line="480" w:lineRule="auto"/>
              <w:rPr>
                <w:b/>
              </w:rPr>
            </w:pPr>
            <w:r>
              <w:rPr>
                <w:b/>
              </w:rPr>
              <w:t>0.4</w:t>
            </w:r>
          </w:p>
        </w:tc>
      </w:tr>
      <w:tr w:rsidR="00FF6E57" w14:paraId="49D41186" w14:textId="77777777" w:rsidTr="00D81FA8">
        <w:tc>
          <w:tcPr>
            <w:tcW w:w="2718" w:type="dxa"/>
          </w:tcPr>
          <w:p w14:paraId="0CEA4C52" w14:textId="77777777" w:rsidR="00FF6E57" w:rsidRDefault="00FF6E57" w:rsidP="00714810">
            <w:pPr>
              <w:spacing w:line="480" w:lineRule="auto"/>
            </w:pPr>
            <w:r>
              <w:t>Inner slope – unequal Q</w:t>
            </w:r>
          </w:p>
        </w:tc>
        <w:tc>
          <w:tcPr>
            <w:tcW w:w="1164" w:type="dxa"/>
          </w:tcPr>
          <w:p w14:paraId="137EA99A" w14:textId="77777777" w:rsidR="00FF6E57" w:rsidRDefault="00FF6E57" w:rsidP="00714810">
            <w:pPr>
              <w:spacing w:line="480" w:lineRule="auto"/>
            </w:pPr>
            <w:r>
              <w:t>38854.88</w:t>
            </w:r>
          </w:p>
        </w:tc>
        <w:tc>
          <w:tcPr>
            <w:tcW w:w="1176" w:type="dxa"/>
          </w:tcPr>
          <w:p w14:paraId="7D3D3B2E" w14:textId="77777777" w:rsidR="00FF6E57" w:rsidRDefault="00FF6E57" w:rsidP="00714810">
            <w:pPr>
              <w:spacing w:line="480" w:lineRule="auto"/>
            </w:pPr>
          </w:p>
        </w:tc>
        <w:tc>
          <w:tcPr>
            <w:tcW w:w="1350" w:type="dxa"/>
          </w:tcPr>
          <w:p w14:paraId="3114436E" w14:textId="77777777" w:rsidR="00FF6E57" w:rsidRDefault="00FF6E57" w:rsidP="00714810">
            <w:pPr>
              <w:spacing w:line="480" w:lineRule="auto"/>
            </w:pPr>
          </w:p>
        </w:tc>
        <w:tc>
          <w:tcPr>
            <w:tcW w:w="990" w:type="dxa"/>
          </w:tcPr>
          <w:p w14:paraId="716BA634" w14:textId="77777777" w:rsidR="00FF6E57" w:rsidRDefault="00D81FA8" w:rsidP="00714810">
            <w:pPr>
              <w:spacing w:line="480" w:lineRule="auto"/>
            </w:pPr>
            <w:r>
              <w:t>0.3</w:t>
            </w:r>
          </w:p>
        </w:tc>
      </w:tr>
    </w:tbl>
    <w:p w14:paraId="67B12C9A" w14:textId="77777777" w:rsidR="00FF6E57" w:rsidRPr="003764BF" w:rsidRDefault="00FF6E57" w:rsidP="00714810">
      <w:pPr>
        <w:spacing w:line="480" w:lineRule="auto"/>
      </w:pPr>
    </w:p>
    <w:p w14:paraId="1308F181" w14:textId="77777777" w:rsidR="00587426" w:rsidRDefault="00587426" w:rsidP="00714810">
      <w:pPr>
        <w:pStyle w:val="Heading1"/>
        <w:spacing w:before="240" w:line="480" w:lineRule="auto"/>
      </w:pPr>
      <w:r>
        <w:lastRenderedPageBreak/>
        <w:t>Figures</w:t>
      </w:r>
    </w:p>
    <w:p w14:paraId="5925A85F" w14:textId="77777777" w:rsidR="00587426" w:rsidRDefault="00587426" w:rsidP="00714810">
      <w:pPr>
        <w:spacing w:line="480" w:lineRule="auto"/>
        <w:jc w:val="both"/>
        <w:rPr>
          <w:b/>
        </w:rPr>
      </w:pPr>
      <w:r>
        <w:rPr>
          <w:b/>
          <w:noProof/>
        </w:rPr>
        <w:drawing>
          <wp:inline distT="0" distB="0" distL="0" distR="0" wp14:anchorId="49713B43" wp14:editId="17FB46D2">
            <wp:extent cx="5143500" cy="5011922"/>
            <wp:effectExtent l="0" t="0" r="0" b="0"/>
            <wp:docPr id="1" name="Picture 1" descr="C:\Users\kelli\Dropbox\ai\plots\stock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li\Dropbox\ai\plots\stockAreas.png"/>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t="12708" r="10417"/>
                    <a:stretch/>
                  </pic:blipFill>
                  <pic:spPr bwMode="auto">
                    <a:xfrm>
                      <a:off x="0" y="0"/>
                      <a:ext cx="5143500" cy="5011922"/>
                    </a:xfrm>
                    <a:prstGeom prst="rect">
                      <a:avLst/>
                    </a:prstGeom>
                    <a:noFill/>
                    <a:ln>
                      <a:noFill/>
                    </a:ln>
                    <a:extLst>
                      <a:ext uri="{53640926-AAD7-44D8-BBD7-CCE9431645EC}">
                        <a14:shadowObscured xmlns:a14="http://schemas.microsoft.com/office/drawing/2010/main"/>
                      </a:ext>
                    </a:extLst>
                  </pic:spPr>
                </pic:pic>
              </a:graphicData>
            </a:graphic>
          </wp:inline>
        </w:drawing>
      </w:r>
    </w:p>
    <w:p w14:paraId="14B91B6E" w14:textId="77777777" w:rsidR="00587426" w:rsidRDefault="00587426" w:rsidP="00714810">
      <w:pPr>
        <w:spacing w:line="480" w:lineRule="auto"/>
        <w:jc w:val="both"/>
      </w:pPr>
      <w:r w:rsidRPr="00C754D7">
        <w:t>Figure 1. Eastern Bering Sea bottom trawl geographic strata, divided by the 50, 100, and 200 m isobaths (blue, black, and purple, respectively). Circles represent mean yearly CPUE per station, where the size of the circle is proportional to the magnitude of the CPUE.</w:t>
      </w:r>
      <w:r w:rsidR="00C754D7">
        <w:t xml:space="preserve"> </w:t>
      </w:r>
      <w:commentRangeStart w:id="4"/>
      <w:r w:rsidR="006A5EF7">
        <w:t xml:space="preserve">The east west delineation of the three </w:t>
      </w:r>
      <w:proofErr w:type="spellStart"/>
      <w:r w:rsidR="006A5EF7">
        <w:t>isopleths</w:t>
      </w:r>
      <w:proofErr w:type="spellEnd"/>
      <w:r w:rsidR="006A5EF7">
        <w:t xml:space="preserve"> indicate the Pacific Management Council strata and have no relevance in the study at hand.</w:t>
      </w:r>
      <w:commentRangeEnd w:id="4"/>
      <w:r w:rsidR="006A5EF7">
        <w:rPr>
          <w:rStyle w:val="CommentReference"/>
        </w:rPr>
        <w:commentReference w:id="4"/>
      </w:r>
    </w:p>
    <w:p w14:paraId="1C5E196A" w14:textId="77777777" w:rsidR="00D96BA0" w:rsidRDefault="00D96BA0" w:rsidP="00714810">
      <w:pPr>
        <w:spacing w:line="480" w:lineRule="auto"/>
        <w:jc w:val="both"/>
      </w:pPr>
      <w:r>
        <w:rPr>
          <w:noProof/>
        </w:rPr>
        <w:lastRenderedPageBreak/>
        <w:drawing>
          <wp:inline distT="0" distB="0" distL="0" distR="0" wp14:anchorId="1DD89E30" wp14:editId="1A395E3F">
            <wp:extent cx="5379522" cy="54270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ModelPars.jpeg"/>
                    <pic:cNvPicPr/>
                  </pic:nvPicPr>
                  <pic:blipFill rotWithShape="1">
                    <a:blip r:embed="rId9">
                      <a:extLst>
                        <a:ext uri="{28A0092B-C50C-407E-A947-70E740481C1C}">
                          <a14:useLocalDpi xmlns:a14="http://schemas.microsoft.com/office/drawing/2010/main" val="0"/>
                        </a:ext>
                      </a:extLst>
                    </a:blip>
                    <a:srcRect l="2072" t="3735" r="3942" b="1312"/>
                    <a:stretch/>
                  </pic:blipFill>
                  <pic:spPr bwMode="auto">
                    <a:xfrm>
                      <a:off x="0" y="0"/>
                      <a:ext cx="5386832" cy="5434398"/>
                    </a:xfrm>
                    <a:prstGeom prst="rect">
                      <a:avLst/>
                    </a:prstGeom>
                    <a:ln>
                      <a:noFill/>
                    </a:ln>
                    <a:extLst>
                      <a:ext uri="{53640926-AAD7-44D8-BBD7-CCE9431645EC}">
                        <a14:shadowObscured xmlns:a14="http://schemas.microsoft.com/office/drawing/2010/main"/>
                      </a:ext>
                    </a:extLst>
                  </pic:spPr>
                </pic:pic>
              </a:graphicData>
            </a:graphic>
          </wp:inline>
        </w:drawing>
      </w:r>
    </w:p>
    <w:p w14:paraId="6101B1CD" w14:textId="77777777" w:rsidR="00D96BA0" w:rsidRDefault="00D96BA0" w:rsidP="00714810">
      <w:pPr>
        <w:spacing w:line="480" w:lineRule="auto"/>
        <w:jc w:val="both"/>
      </w:pPr>
      <w:r>
        <w:t xml:space="preserve">Figure 2. Posterior distributions for the five parameters in the best model, determined using DIC. </w:t>
      </w:r>
      <w:proofErr w:type="spellStart"/>
      <w:r>
        <w:t>Colours</w:t>
      </w:r>
      <w:proofErr w:type="spellEnd"/>
      <w:r>
        <w:t xml:space="preserve"> represent individual chains from the MCMC output, with each chain containing 1000 iterations.</w:t>
      </w:r>
    </w:p>
    <w:p w14:paraId="190EEB74" w14:textId="77777777" w:rsidR="004D041F" w:rsidRDefault="004D041F" w:rsidP="00714810">
      <w:pPr>
        <w:spacing w:line="480" w:lineRule="auto"/>
        <w:jc w:val="both"/>
      </w:pPr>
      <w:r>
        <w:rPr>
          <w:noProof/>
        </w:rPr>
        <w:lastRenderedPageBreak/>
        <w:drawing>
          <wp:inline distT="0" distB="0" distL="0" distR="0" wp14:anchorId="25E16351" wp14:editId="52ABD864">
            <wp:extent cx="5177641" cy="4773881"/>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Traj.png"/>
                    <pic:cNvPicPr/>
                  </pic:nvPicPr>
                  <pic:blipFill rotWithShape="1">
                    <a:blip r:embed="rId10">
                      <a:extLst>
                        <a:ext uri="{28A0092B-C50C-407E-A947-70E740481C1C}">
                          <a14:useLocalDpi xmlns:a14="http://schemas.microsoft.com/office/drawing/2010/main" val="0"/>
                        </a:ext>
                      </a:extLst>
                    </a:blip>
                    <a:srcRect l="-1573" t="7416" r="3596" b="2247"/>
                    <a:stretch/>
                  </pic:blipFill>
                  <pic:spPr bwMode="auto">
                    <a:xfrm>
                      <a:off x="0" y="0"/>
                      <a:ext cx="5177641" cy="4773881"/>
                    </a:xfrm>
                    <a:prstGeom prst="rect">
                      <a:avLst/>
                    </a:prstGeom>
                    <a:ln>
                      <a:noFill/>
                    </a:ln>
                    <a:extLst>
                      <a:ext uri="{53640926-AAD7-44D8-BBD7-CCE9431645EC}">
                        <a14:shadowObscured xmlns:a14="http://schemas.microsoft.com/office/drawing/2010/main"/>
                      </a:ext>
                    </a:extLst>
                  </pic:spPr>
                </pic:pic>
              </a:graphicData>
            </a:graphic>
          </wp:inline>
        </w:drawing>
      </w:r>
    </w:p>
    <w:p w14:paraId="6C6B7CC8" w14:textId="77777777" w:rsidR="004D041F" w:rsidRPr="00C754D7" w:rsidRDefault="004D041F" w:rsidP="00714810">
      <w:pPr>
        <w:spacing w:line="480" w:lineRule="auto"/>
        <w:jc w:val="both"/>
      </w:pPr>
      <w:r>
        <w:t xml:space="preserve">Figure 3. Posterior predictive plots from the best fitting model as determined by DIC. Dark gray polygons indicate the 5% and 95% credibility intervals, while the light gray polygons display the 5% and 95% </w:t>
      </w:r>
      <w:proofErr w:type="spellStart"/>
      <w:r>
        <w:t>quantiles</w:t>
      </w:r>
      <w:proofErr w:type="spellEnd"/>
      <w:r>
        <w:t xml:space="preserve"> for the observed log CPUE in the inner and outer shelves, respectively. White and black dots display the median trajectories for the posterior predictive and observed time series in the two areas.</w:t>
      </w:r>
    </w:p>
    <w:p w14:paraId="729EF4F9" w14:textId="77777777" w:rsidR="00EF4B56" w:rsidRDefault="00EF4B56" w:rsidP="00714810">
      <w:pPr>
        <w:pStyle w:val="Heading1"/>
        <w:spacing w:before="240" w:line="480" w:lineRule="auto"/>
      </w:pPr>
      <w:r>
        <w:t>Extra text</w:t>
      </w:r>
    </w:p>
    <w:p w14:paraId="5728D916" w14:textId="77777777" w:rsidR="00EF4B56" w:rsidRPr="00EF4B56" w:rsidRDefault="00EF4B56" w:rsidP="00714810">
      <w:pPr>
        <w:spacing w:line="480" w:lineRule="auto"/>
        <w:jc w:val="both"/>
        <w:rPr>
          <w:b/>
        </w:rPr>
      </w:pPr>
      <w:r>
        <w:rPr>
          <w:b/>
        </w:rPr>
        <w:t>Potential hypotheses to test</w:t>
      </w:r>
    </w:p>
    <w:p w14:paraId="551CF8BB" w14:textId="77777777" w:rsidR="00EF4B56" w:rsidRDefault="00EF4B56" w:rsidP="00714810">
      <w:pPr>
        <w:spacing w:line="480" w:lineRule="auto"/>
        <w:jc w:val="both"/>
        <w:rPr>
          <w:rFonts w:cs="Times New Roman"/>
        </w:rPr>
      </w:pPr>
      <w:proofErr w:type="spellStart"/>
      <w:r>
        <w:rPr>
          <w:rFonts w:cs="Times New Roman"/>
        </w:rPr>
        <w:t>Panmictic</w:t>
      </w:r>
      <w:proofErr w:type="spellEnd"/>
      <w:r>
        <w:rPr>
          <w:rFonts w:cs="Times New Roman"/>
        </w:rPr>
        <w:t xml:space="preserve"> (</w:t>
      </w:r>
      <w:r w:rsidRPr="009D377D">
        <w:rPr>
          <w:rFonts w:cs="Times New Roman"/>
          <w:i/>
        </w:rPr>
        <w:t>m</w:t>
      </w:r>
      <w:r>
        <w:rPr>
          <w:rFonts w:cs="Times New Roman"/>
        </w:rPr>
        <w:t xml:space="preserve"> = 1): all sites were part of one single large </w:t>
      </w:r>
      <w:proofErr w:type="spellStart"/>
      <w:r>
        <w:rPr>
          <w:rFonts w:cs="Times New Roman"/>
        </w:rPr>
        <w:t>metapopulation</w:t>
      </w:r>
      <w:proofErr w:type="spellEnd"/>
      <w:r>
        <w:rPr>
          <w:rFonts w:cs="Times New Roman"/>
        </w:rPr>
        <w:t>, where each sites is an independent observations of a single population trajectory.</w:t>
      </w:r>
    </w:p>
    <w:p w14:paraId="537F12AC" w14:textId="77777777" w:rsidR="00EF4B56" w:rsidRDefault="00EF4B56" w:rsidP="00714810">
      <w:pPr>
        <w:spacing w:line="480" w:lineRule="auto"/>
        <w:jc w:val="both"/>
        <w:rPr>
          <w:rFonts w:cs="Times New Roman"/>
        </w:rPr>
      </w:pPr>
      <w:r>
        <w:rPr>
          <w:rFonts w:cs="Times New Roman"/>
        </w:rPr>
        <w:lastRenderedPageBreak/>
        <w:t>Inner slope (</w:t>
      </w:r>
      <w:r>
        <w:rPr>
          <w:rFonts w:cs="Times New Roman"/>
          <w:i/>
        </w:rPr>
        <w:t>m</w:t>
      </w:r>
      <w:r>
        <w:rPr>
          <w:rFonts w:cs="Times New Roman"/>
        </w:rPr>
        <w:t xml:space="preserve"> = 2): sites along the inner continental shelf (&lt; 50 m) represent a single </w:t>
      </w:r>
      <w:proofErr w:type="spellStart"/>
      <w:r>
        <w:rPr>
          <w:rFonts w:cs="Times New Roman"/>
        </w:rPr>
        <w:t>metapopluation</w:t>
      </w:r>
      <w:proofErr w:type="spellEnd"/>
      <w:r>
        <w:rPr>
          <w:rFonts w:cs="Times New Roman"/>
        </w:rPr>
        <w:t xml:space="preserve">, while sites in waters deeper than 50 m represent an additional </w:t>
      </w:r>
      <w:proofErr w:type="spellStart"/>
      <w:r>
        <w:rPr>
          <w:rFonts w:cs="Times New Roman"/>
        </w:rPr>
        <w:t>metapopulation</w:t>
      </w:r>
      <w:proofErr w:type="spellEnd"/>
      <w:r>
        <w:rPr>
          <w:rFonts w:cs="Times New Roman"/>
        </w:rPr>
        <w:t>.</w:t>
      </w:r>
    </w:p>
    <w:p w14:paraId="4CFC2A2C" w14:textId="77777777" w:rsidR="00EF4B56" w:rsidRDefault="00EF4B56" w:rsidP="00714810">
      <w:pPr>
        <w:spacing w:line="480" w:lineRule="auto"/>
        <w:jc w:val="both"/>
        <w:rPr>
          <w:rFonts w:cs="Times New Roman"/>
        </w:rPr>
      </w:pPr>
      <w:r>
        <w:rPr>
          <w:rFonts w:cs="Times New Roman"/>
        </w:rPr>
        <w:t>Middle slope (</w:t>
      </w:r>
      <w:r>
        <w:rPr>
          <w:rFonts w:cs="Times New Roman"/>
          <w:i/>
        </w:rPr>
        <w:t>m</w:t>
      </w:r>
      <w:r>
        <w:rPr>
          <w:rFonts w:cs="Times New Roman"/>
        </w:rPr>
        <w:t xml:space="preserve"> = 3): sites were grouped according to the inner, middle, and outer continental shelf zones, corresponding to depths of &lt; 50 m, 50 – 100 m, and 101 – 200 m respectively.</w:t>
      </w:r>
    </w:p>
    <w:p w14:paraId="00EAC416" w14:textId="77777777" w:rsidR="00EF4B56" w:rsidRDefault="00EF4B56" w:rsidP="00714810">
      <w:pPr>
        <w:spacing w:line="480" w:lineRule="auto"/>
        <w:ind w:left="720" w:hanging="720"/>
        <w:jc w:val="both"/>
      </w:pPr>
    </w:p>
    <w:sectPr w:rsidR="00EF4B56" w:rsidSect="00131D4A">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lli Johnson" w:date="2013-12-13T23:17:00Z" w:initials="KFJ">
    <w:p w14:paraId="03859581" w14:textId="77777777" w:rsidR="006A5EF7" w:rsidRDefault="006A5EF7">
      <w:pPr>
        <w:pStyle w:val="CommentText"/>
      </w:pPr>
      <w:r>
        <w:rPr>
          <w:rStyle w:val="CommentReference"/>
        </w:rPr>
        <w:annotationRef/>
      </w:r>
      <w:r>
        <w:t xml:space="preserve"> ADD RELEVANT INFO but don’t make it too long.</w:t>
      </w:r>
    </w:p>
  </w:comment>
  <w:comment w:id="1" w:author="Kelli Johnson" w:date="2013-12-13T15:12:00Z" w:initials="KFJ">
    <w:p w14:paraId="36C520F3" w14:textId="77777777" w:rsidR="00960ABD" w:rsidRDefault="00960ABD">
      <w:pPr>
        <w:pStyle w:val="CommentText"/>
      </w:pPr>
      <w:r>
        <w:rPr>
          <w:rStyle w:val="CommentReference"/>
        </w:rPr>
        <w:annotationRef/>
      </w:r>
      <w:r>
        <w:t>Yet to be done, though I included it in the methods for ease of editing later.</w:t>
      </w:r>
    </w:p>
  </w:comment>
  <w:comment w:id="2" w:author="Kelli Johnson" w:date="2013-12-13T17:15:00Z" w:initials="KFJ">
    <w:p w14:paraId="438DCEC3" w14:textId="77777777" w:rsidR="00960ABD" w:rsidRDefault="00960ABD">
      <w:pPr>
        <w:pStyle w:val="CommentText"/>
      </w:pPr>
      <w:r>
        <w:rPr>
          <w:rStyle w:val="CommentReference"/>
        </w:rPr>
        <w:annotationRef/>
      </w:r>
      <w:r>
        <w:t>Need to add proper subscripts for this formula.</w:t>
      </w:r>
    </w:p>
  </w:comment>
  <w:comment w:id="4" w:author="Kelli Johnson" w:date="2013-12-13T23:19:00Z" w:initials="KFJ">
    <w:p w14:paraId="3241E96E" w14:textId="77777777" w:rsidR="006A5EF7" w:rsidRDefault="006A5EF7">
      <w:pPr>
        <w:pStyle w:val="CommentText"/>
      </w:pPr>
      <w:r>
        <w:rPr>
          <w:rStyle w:val="CommentReference"/>
        </w:rPr>
        <w:annotationRef/>
      </w:r>
      <w:r>
        <w:t>Get rid of the line in the middle and add a legend to the plot. Perhaps with arrows showing major currents.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859581" w15:done="0"/>
  <w15:commentEx w15:paraId="36C520F3" w15:done="0"/>
  <w15:commentEx w15:paraId="438DCEC3" w15:done="0"/>
  <w15:commentEx w15:paraId="3241E9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8594F"/>
    <w:multiLevelType w:val="hybridMultilevel"/>
    <w:tmpl w:val="F8764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D93"/>
    <w:rsid w:val="00083D13"/>
    <w:rsid w:val="00085160"/>
    <w:rsid w:val="000A438F"/>
    <w:rsid w:val="000C4D1E"/>
    <w:rsid w:val="00131D4A"/>
    <w:rsid w:val="001C4464"/>
    <w:rsid w:val="001F0C37"/>
    <w:rsid w:val="00257409"/>
    <w:rsid w:val="00266BD8"/>
    <w:rsid w:val="0027103F"/>
    <w:rsid w:val="00286669"/>
    <w:rsid w:val="0029479B"/>
    <w:rsid w:val="002A30A5"/>
    <w:rsid w:val="002E0394"/>
    <w:rsid w:val="0033494A"/>
    <w:rsid w:val="00352931"/>
    <w:rsid w:val="00363AF6"/>
    <w:rsid w:val="003764BF"/>
    <w:rsid w:val="00385B62"/>
    <w:rsid w:val="003E21E0"/>
    <w:rsid w:val="003E63E2"/>
    <w:rsid w:val="00400568"/>
    <w:rsid w:val="00412C7F"/>
    <w:rsid w:val="00477745"/>
    <w:rsid w:val="0048383B"/>
    <w:rsid w:val="00495780"/>
    <w:rsid w:val="004B4FC5"/>
    <w:rsid w:val="004D041F"/>
    <w:rsid w:val="004D252C"/>
    <w:rsid w:val="004E4F70"/>
    <w:rsid w:val="00503B0B"/>
    <w:rsid w:val="00503CEC"/>
    <w:rsid w:val="00504642"/>
    <w:rsid w:val="00587426"/>
    <w:rsid w:val="006A5EF7"/>
    <w:rsid w:val="006F1073"/>
    <w:rsid w:val="00714810"/>
    <w:rsid w:val="00780758"/>
    <w:rsid w:val="007D76A7"/>
    <w:rsid w:val="00813638"/>
    <w:rsid w:val="00814818"/>
    <w:rsid w:val="0085142C"/>
    <w:rsid w:val="008C3F5F"/>
    <w:rsid w:val="008C5F57"/>
    <w:rsid w:val="008D6C8A"/>
    <w:rsid w:val="008E4453"/>
    <w:rsid w:val="009500CC"/>
    <w:rsid w:val="00960ABD"/>
    <w:rsid w:val="00964E4C"/>
    <w:rsid w:val="009878D6"/>
    <w:rsid w:val="009D377D"/>
    <w:rsid w:val="009F0F5E"/>
    <w:rsid w:val="00A47003"/>
    <w:rsid w:val="00A51EE9"/>
    <w:rsid w:val="00A67C4F"/>
    <w:rsid w:val="00B61445"/>
    <w:rsid w:val="00BC47DF"/>
    <w:rsid w:val="00C13F18"/>
    <w:rsid w:val="00C26CD4"/>
    <w:rsid w:val="00C43D93"/>
    <w:rsid w:val="00C754D7"/>
    <w:rsid w:val="00D61822"/>
    <w:rsid w:val="00D81FA8"/>
    <w:rsid w:val="00D8665E"/>
    <w:rsid w:val="00D96BA0"/>
    <w:rsid w:val="00DE1FA1"/>
    <w:rsid w:val="00E125DB"/>
    <w:rsid w:val="00E65574"/>
    <w:rsid w:val="00EC6B51"/>
    <w:rsid w:val="00EF124F"/>
    <w:rsid w:val="00EF4617"/>
    <w:rsid w:val="00EF4B56"/>
    <w:rsid w:val="00F06AE4"/>
    <w:rsid w:val="00F76284"/>
    <w:rsid w:val="00F83076"/>
    <w:rsid w:val="00FC2401"/>
    <w:rsid w:val="00FE6E98"/>
    <w:rsid w:val="00FF6E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D906"/>
  <w15:docId w15:val="{CED53314-F4A7-40FD-BF03-5FFE0014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394"/>
    <w:pPr>
      <w:spacing w:after="0" w:line="240" w:lineRule="auto"/>
    </w:pPr>
    <w:rPr>
      <w:sz w:val="24"/>
      <w:szCs w:val="24"/>
      <w:lang w:val="en-US"/>
    </w:rPr>
  </w:style>
  <w:style w:type="paragraph" w:styleId="Heading1">
    <w:name w:val="heading 1"/>
    <w:basedOn w:val="Normal"/>
    <w:next w:val="Normal"/>
    <w:link w:val="Heading1Char"/>
    <w:uiPriority w:val="9"/>
    <w:qFormat/>
    <w:rsid w:val="002E0394"/>
    <w:pPr>
      <w:keepNext/>
      <w:keepLines/>
      <w:spacing w:before="480"/>
      <w:jc w:val="both"/>
      <w:outlineLvl w:val="0"/>
    </w:pPr>
    <w:rPr>
      <w:rFonts w:asciiTheme="majorHAnsi" w:eastAsiaTheme="majorEastAsia" w:hAnsiTheme="majorHAnsi"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394"/>
    <w:rPr>
      <w:rFonts w:asciiTheme="majorHAnsi" w:eastAsiaTheme="majorEastAsia" w:hAnsiTheme="majorHAnsi" w:cs="Times New Roman"/>
      <w:b/>
      <w:bCs/>
      <w:sz w:val="28"/>
      <w:szCs w:val="36"/>
      <w:lang w:val="en-US"/>
    </w:rPr>
  </w:style>
  <w:style w:type="paragraph" w:styleId="Title">
    <w:name w:val="Title"/>
    <w:basedOn w:val="Normal"/>
    <w:next w:val="Normal"/>
    <w:link w:val="TitleChar"/>
    <w:qFormat/>
    <w:rsid w:val="002E039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2E0394"/>
    <w:rPr>
      <w:rFonts w:asciiTheme="majorHAnsi" w:eastAsiaTheme="majorEastAsia" w:hAnsiTheme="majorHAnsi" w:cstheme="majorBidi"/>
      <w:b/>
      <w:bCs/>
      <w:color w:val="345A8A" w:themeColor="accent1" w:themeShade="B5"/>
      <w:sz w:val="36"/>
      <w:szCs w:val="36"/>
      <w:lang w:val="en-US"/>
    </w:rPr>
  </w:style>
  <w:style w:type="paragraph" w:customStyle="1" w:styleId="Authors">
    <w:name w:val="Authors"/>
    <w:next w:val="Normal"/>
    <w:qFormat/>
    <w:rsid w:val="002E0394"/>
    <w:pPr>
      <w:keepNext/>
      <w:keepLines/>
      <w:spacing w:after="0" w:line="240" w:lineRule="auto"/>
      <w:jc w:val="center"/>
    </w:pPr>
    <w:rPr>
      <w:sz w:val="24"/>
      <w:szCs w:val="24"/>
      <w:lang w:val="en-US"/>
    </w:rPr>
  </w:style>
  <w:style w:type="paragraph" w:customStyle="1" w:styleId="BlockQuote">
    <w:name w:val="Block Quote"/>
    <w:basedOn w:val="Normal"/>
    <w:next w:val="Normal"/>
    <w:uiPriority w:val="9"/>
    <w:unhideWhenUsed/>
    <w:qFormat/>
    <w:rsid w:val="002E0394"/>
    <w:pPr>
      <w:spacing w:before="100" w:after="100"/>
    </w:pPr>
    <w:rPr>
      <w:rFonts w:asciiTheme="majorHAnsi" w:eastAsiaTheme="majorEastAsia" w:hAnsiTheme="majorHAnsi" w:cstheme="majorBidi"/>
      <w:bCs/>
      <w:sz w:val="20"/>
      <w:szCs w:val="20"/>
    </w:rPr>
  </w:style>
  <w:style w:type="character" w:styleId="PlaceholderText">
    <w:name w:val="Placeholder Text"/>
    <w:basedOn w:val="DefaultParagraphFont"/>
    <w:uiPriority w:val="99"/>
    <w:semiHidden/>
    <w:rsid w:val="0033494A"/>
    <w:rPr>
      <w:color w:val="808080"/>
    </w:rPr>
  </w:style>
  <w:style w:type="paragraph" w:styleId="BalloonText">
    <w:name w:val="Balloon Text"/>
    <w:basedOn w:val="Normal"/>
    <w:link w:val="BalloonTextChar"/>
    <w:uiPriority w:val="99"/>
    <w:semiHidden/>
    <w:unhideWhenUsed/>
    <w:rsid w:val="0033494A"/>
    <w:rPr>
      <w:rFonts w:ascii="Tahoma" w:hAnsi="Tahoma" w:cs="Tahoma"/>
      <w:sz w:val="16"/>
      <w:szCs w:val="16"/>
    </w:rPr>
  </w:style>
  <w:style w:type="character" w:customStyle="1" w:styleId="BalloonTextChar">
    <w:name w:val="Balloon Text Char"/>
    <w:basedOn w:val="DefaultParagraphFont"/>
    <w:link w:val="BalloonText"/>
    <w:uiPriority w:val="99"/>
    <w:semiHidden/>
    <w:rsid w:val="0033494A"/>
    <w:rPr>
      <w:rFonts w:ascii="Tahoma" w:hAnsi="Tahoma" w:cs="Tahoma"/>
      <w:sz w:val="16"/>
      <w:szCs w:val="16"/>
      <w:lang w:val="en-US"/>
    </w:rPr>
  </w:style>
  <w:style w:type="character" w:styleId="CommentReference">
    <w:name w:val="annotation reference"/>
    <w:basedOn w:val="DefaultParagraphFont"/>
    <w:uiPriority w:val="99"/>
    <w:semiHidden/>
    <w:unhideWhenUsed/>
    <w:rsid w:val="00C754D7"/>
    <w:rPr>
      <w:sz w:val="16"/>
      <w:szCs w:val="16"/>
    </w:rPr>
  </w:style>
  <w:style w:type="paragraph" w:styleId="CommentText">
    <w:name w:val="annotation text"/>
    <w:basedOn w:val="Normal"/>
    <w:link w:val="CommentTextChar"/>
    <w:uiPriority w:val="99"/>
    <w:semiHidden/>
    <w:unhideWhenUsed/>
    <w:rsid w:val="00C754D7"/>
    <w:rPr>
      <w:sz w:val="20"/>
      <w:szCs w:val="20"/>
    </w:rPr>
  </w:style>
  <w:style w:type="character" w:customStyle="1" w:styleId="CommentTextChar">
    <w:name w:val="Comment Text Char"/>
    <w:basedOn w:val="DefaultParagraphFont"/>
    <w:link w:val="CommentText"/>
    <w:uiPriority w:val="99"/>
    <w:semiHidden/>
    <w:rsid w:val="00C754D7"/>
    <w:rPr>
      <w:sz w:val="20"/>
      <w:szCs w:val="20"/>
      <w:lang w:val="en-US"/>
    </w:rPr>
  </w:style>
  <w:style w:type="paragraph" w:styleId="CommentSubject">
    <w:name w:val="annotation subject"/>
    <w:basedOn w:val="CommentText"/>
    <w:next w:val="CommentText"/>
    <w:link w:val="CommentSubjectChar"/>
    <w:uiPriority w:val="99"/>
    <w:semiHidden/>
    <w:unhideWhenUsed/>
    <w:rsid w:val="00C754D7"/>
    <w:rPr>
      <w:b/>
      <w:bCs/>
    </w:rPr>
  </w:style>
  <w:style w:type="character" w:customStyle="1" w:styleId="CommentSubjectChar">
    <w:name w:val="Comment Subject Char"/>
    <w:basedOn w:val="CommentTextChar"/>
    <w:link w:val="CommentSubject"/>
    <w:uiPriority w:val="99"/>
    <w:semiHidden/>
    <w:rsid w:val="00C754D7"/>
    <w:rPr>
      <w:b/>
      <w:bCs/>
      <w:sz w:val="20"/>
      <w:szCs w:val="20"/>
      <w:lang w:val="en-US"/>
    </w:rPr>
  </w:style>
  <w:style w:type="character" w:styleId="LineNumber">
    <w:name w:val="line number"/>
    <w:basedOn w:val="DefaultParagraphFont"/>
    <w:uiPriority w:val="99"/>
    <w:semiHidden/>
    <w:unhideWhenUsed/>
    <w:rsid w:val="00131D4A"/>
  </w:style>
  <w:style w:type="table" w:styleId="TableGrid">
    <w:name w:val="Table Grid"/>
    <w:basedOn w:val="TableNormal"/>
    <w:uiPriority w:val="59"/>
    <w:rsid w:val="00FF6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1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889313">
      <w:bodyDiv w:val="1"/>
      <w:marLeft w:val="0"/>
      <w:marRight w:val="0"/>
      <w:marTop w:val="0"/>
      <w:marBottom w:val="0"/>
      <w:divBdr>
        <w:top w:val="none" w:sz="0" w:space="0" w:color="auto"/>
        <w:left w:val="none" w:sz="0" w:space="0" w:color="auto"/>
        <w:bottom w:val="none" w:sz="0" w:space="0" w:color="auto"/>
        <w:right w:val="none" w:sz="0" w:space="0" w:color="auto"/>
      </w:divBdr>
    </w:div>
    <w:div w:id="1662392330">
      <w:bodyDiv w:val="1"/>
      <w:marLeft w:val="0"/>
      <w:marRight w:val="0"/>
      <w:marTop w:val="0"/>
      <w:marBottom w:val="0"/>
      <w:divBdr>
        <w:top w:val="none" w:sz="0" w:space="0" w:color="auto"/>
        <w:left w:val="none" w:sz="0" w:space="0" w:color="auto"/>
        <w:bottom w:val="none" w:sz="0" w:space="0" w:color="auto"/>
        <w:right w:val="none" w:sz="0" w:space="0" w:color="auto"/>
      </w:divBdr>
    </w:div>
    <w:div w:id="20656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4885</TotalTime>
  <Pages>17</Pages>
  <Words>3033</Words>
  <Characters>17292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Johnson</dc:creator>
  <cp:keywords/>
  <dc:description/>
  <cp:lastModifiedBy>kelli</cp:lastModifiedBy>
  <cp:revision>13</cp:revision>
  <cp:lastPrinted>2013-12-31T16:41:00Z</cp:lastPrinted>
  <dcterms:created xsi:type="dcterms:W3CDTF">2013-12-06T05:32:00Z</dcterms:created>
  <dcterms:modified xsi:type="dcterms:W3CDTF">2013-12-31T16:41:00Z</dcterms:modified>
</cp:coreProperties>
</file>