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081B3" w14:textId="5791B9AE" w:rsidR="00776ADB" w:rsidRDefault="004D7B44" w:rsidP="00706AC6">
      <w:pPr>
        <w:pStyle w:val="Title"/>
        <w:spacing w:before="0" w:after="0"/>
      </w:pPr>
      <w:bookmarkStart w:id="0" w:name="_GoBack"/>
      <w:bookmarkEnd w:id="0"/>
      <w:r w:rsidRPr="004D7B44">
        <w:rPr>
          <w:b w:val="0"/>
          <w:sz w:val="20"/>
          <w:szCs w:val="20"/>
        </w:rPr>
        <w:t>Option 1)</w:t>
      </w:r>
      <w:r>
        <w:t xml:space="preserve"> </w:t>
      </w:r>
      <w:r w:rsidR="00EF76D7">
        <w:t>Using gradients in productivity to inform stock structure:</w:t>
      </w:r>
      <w:r>
        <w:t xml:space="preserve"> a case study in Alaskan waters</w:t>
      </w:r>
    </w:p>
    <w:p w14:paraId="28D95509" w14:textId="1B204CCD" w:rsidR="004D7B44" w:rsidRPr="004D7B44" w:rsidRDefault="004D7B44" w:rsidP="004D7B44">
      <w:pPr>
        <w:pStyle w:val="Title"/>
        <w:spacing w:before="0" w:after="0"/>
      </w:pPr>
      <w:r w:rsidRPr="004D7B44">
        <w:rPr>
          <w:b w:val="0"/>
          <w:sz w:val="20"/>
          <w:szCs w:val="20"/>
        </w:rPr>
        <w:t>Option 2)</w:t>
      </w:r>
      <w:r>
        <w:t xml:space="preserve"> </w:t>
      </w:r>
      <w:r w:rsidRPr="004D7B44">
        <w:t xml:space="preserve">Blurred boundaries: </w:t>
      </w:r>
      <w:r>
        <w:t xml:space="preserve">quantifying </w:t>
      </w:r>
      <w:r w:rsidRPr="004D7B44">
        <w:t>mismatch</w:t>
      </w:r>
      <w:r>
        <w:t>es</w:t>
      </w:r>
      <w:r w:rsidRPr="004D7B44">
        <w:t xml:space="preserve"> between stock productivity and management boundaries for three </w:t>
      </w:r>
      <w:proofErr w:type="spellStart"/>
      <w:r>
        <w:t>groundfish</w:t>
      </w:r>
      <w:proofErr w:type="spellEnd"/>
      <w:r>
        <w:t xml:space="preserve"> </w:t>
      </w:r>
      <w:r w:rsidRPr="004D7B44">
        <w:t xml:space="preserve">species </w:t>
      </w:r>
      <w:r>
        <w:t>in Alaskan</w:t>
      </w:r>
      <w:r w:rsidR="00B3792B">
        <w:t xml:space="preserve"> waters</w:t>
      </w:r>
    </w:p>
    <w:p w14:paraId="208CB075" w14:textId="77777777" w:rsidR="00601FBA" w:rsidRDefault="00601FBA" w:rsidP="00706AC6">
      <w:pPr>
        <w:spacing w:line="240" w:lineRule="auto"/>
      </w:pPr>
    </w:p>
    <w:p w14:paraId="505A38DE" w14:textId="77777777" w:rsidR="00601FBA" w:rsidRDefault="00EF76D7" w:rsidP="00706AC6">
      <w:pPr>
        <w:spacing w:line="240" w:lineRule="auto"/>
      </w:pPr>
      <w:r>
        <w:t>Kelli F. Johnson</w:t>
      </w:r>
      <w:r w:rsidR="00601FBA" w:rsidRPr="00601FBA">
        <w:rPr>
          <w:vertAlign w:val="superscript"/>
        </w:rPr>
        <w:t>1</w:t>
      </w:r>
      <w:r w:rsidR="008C7588">
        <w:rPr>
          <w:vertAlign w:val="superscript"/>
        </w:rPr>
        <w:t>*</w:t>
      </w:r>
      <w:r>
        <w:t>, André E. Punt</w:t>
      </w:r>
      <w:r w:rsidR="00601FBA" w:rsidRPr="00601FBA">
        <w:rPr>
          <w:vertAlign w:val="superscript"/>
        </w:rPr>
        <w:t>1</w:t>
      </w:r>
      <w:r>
        <w:t xml:space="preserve">, </w:t>
      </w:r>
      <w:r w:rsidR="008C7588">
        <w:t>James T. Thorson</w:t>
      </w:r>
      <w:r w:rsidR="008C7588">
        <w:rPr>
          <w:vertAlign w:val="superscript"/>
        </w:rPr>
        <w:t>2</w:t>
      </w:r>
      <w:r w:rsidR="008C7588">
        <w:t xml:space="preserve">, and </w:t>
      </w:r>
      <w:proofErr w:type="spellStart"/>
      <w:r w:rsidR="008C7588">
        <w:t>K</w:t>
      </w:r>
      <w:r>
        <w:t>erim</w:t>
      </w:r>
      <w:proofErr w:type="spellEnd"/>
      <w:r>
        <w:t xml:space="preserve"> A. Aydin</w:t>
      </w:r>
      <w:r w:rsidR="008C7588">
        <w:rPr>
          <w:vertAlign w:val="superscript"/>
        </w:rPr>
        <w:t>3</w:t>
      </w:r>
      <w:r>
        <w:t xml:space="preserve"> </w:t>
      </w:r>
      <w:r>
        <w:br/>
      </w:r>
    </w:p>
    <w:p w14:paraId="3044779D" w14:textId="77777777" w:rsidR="00601FBA" w:rsidRDefault="00601FBA" w:rsidP="00706AC6">
      <w:pPr>
        <w:spacing w:line="240" w:lineRule="auto"/>
      </w:pPr>
      <w:r w:rsidRPr="00601FBA">
        <w:rPr>
          <w:vertAlign w:val="superscript"/>
        </w:rPr>
        <w:t>1</w:t>
      </w:r>
      <w:r>
        <w:t>School of Aquatic and Fishery Sciences, University of Washington, Box 355020, Seattle, WA 98195-5020, USA</w:t>
      </w:r>
    </w:p>
    <w:p w14:paraId="4DAD8924" w14:textId="77777777" w:rsidR="008C7588" w:rsidRDefault="00601FBA" w:rsidP="00706AC6">
      <w:pPr>
        <w:spacing w:line="240" w:lineRule="auto"/>
      </w:pPr>
      <w:r w:rsidRPr="00601FBA">
        <w:rPr>
          <w:vertAlign w:val="superscript"/>
        </w:rPr>
        <w:t>2</w:t>
      </w:r>
      <w:r w:rsidR="008C7588">
        <w:t xml:space="preserve">Northwest Fisheries Science Center, National Marine Fisheries Service, NOAA, 2725 </w:t>
      </w:r>
      <w:proofErr w:type="spellStart"/>
      <w:r w:rsidR="008C7588">
        <w:t>Montlake</w:t>
      </w:r>
      <w:proofErr w:type="spellEnd"/>
      <w:r w:rsidR="008C7588">
        <w:t xml:space="preserve"> Blvd. East, Seattle, WA 98112-2097, USA</w:t>
      </w:r>
    </w:p>
    <w:p w14:paraId="15731262" w14:textId="77777777" w:rsidR="00601FBA" w:rsidRDefault="008C7588" w:rsidP="00706AC6">
      <w:pPr>
        <w:spacing w:line="240" w:lineRule="auto"/>
      </w:pPr>
      <w:r w:rsidRPr="00601FBA">
        <w:rPr>
          <w:vertAlign w:val="superscript"/>
        </w:rPr>
        <w:t>3</w:t>
      </w:r>
      <w:r w:rsidR="00601FBA">
        <w:t>Alaska Fisheries Science Center, National Marine Fisheries Service, NOAA, 7600 Sand Point Way N.E., Seattle, WA 98115-6349, USA</w:t>
      </w:r>
    </w:p>
    <w:p w14:paraId="7A94E714" w14:textId="77777777" w:rsidR="00776ADB" w:rsidRDefault="00601FBA" w:rsidP="00706AC6">
      <w:pPr>
        <w:spacing w:line="240" w:lineRule="auto"/>
        <w:jc w:val="left"/>
      </w:pPr>
      <w:r w:rsidRPr="00601FBA">
        <w:rPr>
          <w:vertAlign w:val="superscript"/>
        </w:rPr>
        <w:t>*</w:t>
      </w:r>
      <w:r>
        <w:t xml:space="preserve">Corresponding author: </w:t>
      </w:r>
      <w:proofErr w:type="spellStart"/>
      <w:r>
        <w:t>tel</w:t>
      </w:r>
      <w:proofErr w:type="spellEnd"/>
      <w:r>
        <w:t>: +1</w:t>
      </w:r>
      <w:r w:rsidR="003205B2">
        <w:t xml:space="preserve"> </w:t>
      </w:r>
      <w:r>
        <w:t>206</w:t>
      </w:r>
      <w:r w:rsidR="003205B2">
        <w:t xml:space="preserve"> </w:t>
      </w:r>
      <w:r>
        <w:t>543</w:t>
      </w:r>
      <w:r w:rsidR="003205B2">
        <w:t xml:space="preserve"> </w:t>
      </w:r>
      <w:r>
        <w:t>4270; fax: +1</w:t>
      </w:r>
      <w:r w:rsidR="003205B2">
        <w:t xml:space="preserve"> </w:t>
      </w:r>
      <w:r>
        <w:t>206</w:t>
      </w:r>
      <w:r w:rsidR="003205B2">
        <w:t xml:space="preserve"> </w:t>
      </w:r>
      <w:r>
        <w:t>685</w:t>
      </w:r>
      <w:r w:rsidR="003205B2">
        <w:t xml:space="preserve"> </w:t>
      </w:r>
      <w:r>
        <w:t>7471; email: kfjohns@uw.edu</w:t>
      </w:r>
    </w:p>
    <w:p w14:paraId="3D71F449" w14:textId="77777777" w:rsidR="008C7588" w:rsidRDefault="008C7588" w:rsidP="00706AC6">
      <w:pPr>
        <w:spacing w:line="240" w:lineRule="auto"/>
        <w:jc w:val="left"/>
      </w:pPr>
    </w:p>
    <w:p w14:paraId="57B55E79" w14:textId="77777777" w:rsidR="00776ADB" w:rsidRDefault="00601FBA" w:rsidP="00C06806">
      <w:pPr>
        <w:pStyle w:val="Heading1"/>
      </w:pPr>
      <w:r>
        <w:t>Abstract</w:t>
      </w:r>
    </w:p>
    <w:p w14:paraId="63F62C82" w14:textId="77777777" w:rsidR="00601FBA" w:rsidRDefault="00601FBA" w:rsidP="00706AC6">
      <w:pPr>
        <w:spacing w:line="240" w:lineRule="auto"/>
      </w:pPr>
      <w:proofErr w:type="spellStart"/>
      <w:r w:rsidRPr="00601FBA">
        <w:rPr>
          <w:highlight w:val="yellow"/>
        </w:rPr>
        <w:t>Todo</w:t>
      </w:r>
      <w:proofErr w:type="spellEnd"/>
      <w:r w:rsidRPr="00601FBA">
        <w:rPr>
          <w:highlight w:val="yellow"/>
        </w:rPr>
        <w:t>: write abstract</w:t>
      </w:r>
    </w:p>
    <w:p w14:paraId="76166E49" w14:textId="77777777" w:rsidR="00776ADB" w:rsidRDefault="00601FBA" w:rsidP="00C06806">
      <w:pPr>
        <w:pStyle w:val="Heading1"/>
      </w:pPr>
      <w:bookmarkStart w:id="1" w:name="keywords"/>
      <w:r>
        <w:t>K</w:t>
      </w:r>
      <w:r w:rsidR="00EF76D7">
        <w:t>eywords</w:t>
      </w:r>
    </w:p>
    <w:bookmarkEnd w:id="1"/>
    <w:p w14:paraId="5591D869" w14:textId="6B3DBE66" w:rsidR="00601FBA" w:rsidRDefault="00EF76D7" w:rsidP="00706AC6">
      <w:pPr>
        <w:spacing w:line="240" w:lineRule="auto"/>
        <w:rPr>
          <w:rFonts w:asciiTheme="majorHAnsi" w:eastAsiaTheme="majorEastAsia" w:hAnsiTheme="majorHAnsi" w:cstheme="majorBidi"/>
          <w:b/>
          <w:bCs/>
          <w:sz w:val="36"/>
          <w:szCs w:val="36"/>
        </w:rPr>
      </w:pPr>
      <w:r>
        <w:t>Al</w:t>
      </w:r>
      <w:r w:rsidR="00820806">
        <w:t>eutian Islands, Al</w:t>
      </w:r>
      <w:r>
        <w:t xml:space="preserve">aska, Atka mackerel, </w:t>
      </w:r>
      <w:r w:rsidR="00820806">
        <w:t xml:space="preserve">Gulf of Alaska, </w:t>
      </w:r>
      <w:proofErr w:type="spellStart"/>
      <w:r w:rsidR="00F875A6">
        <w:t>Gompertz</w:t>
      </w:r>
      <w:proofErr w:type="spellEnd"/>
      <w:r w:rsidR="00F875A6">
        <w:t xml:space="preserve"> model, </w:t>
      </w:r>
      <w:r>
        <w:t xml:space="preserve">Pacific cod, </w:t>
      </w:r>
      <w:r w:rsidR="00F875A6">
        <w:t xml:space="preserve">random field, stock structure, </w:t>
      </w:r>
      <w:r>
        <w:t xml:space="preserve">walleye </w:t>
      </w:r>
      <w:proofErr w:type="spellStart"/>
      <w:r>
        <w:t>pollock</w:t>
      </w:r>
      <w:bookmarkStart w:id="2" w:name="introduction"/>
      <w:proofErr w:type="spellEnd"/>
    </w:p>
    <w:p w14:paraId="57281194" w14:textId="77777777" w:rsidR="00601FBA" w:rsidRDefault="00601FBA" w:rsidP="00C06806">
      <w:pPr>
        <w:pStyle w:val="Heading1"/>
        <w:sectPr w:rsidR="00601FBA" w:rsidSect="00601FBA">
          <w:pgSz w:w="11906" w:h="16838"/>
          <w:pgMar w:top="1440" w:right="1440" w:bottom="1440" w:left="1440" w:header="720" w:footer="720" w:gutter="0"/>
          <w:lnNumType w:countBy="1" w:restart="continuous"/>
          <w:cols w:space="720"/>
          <w:docGrid w:linePitch="360"/>
        </w:sectPr>
      </w:pPr>
    </w:p>
    <w:p w14:paraId="37374803" w14:textId="77777777" w:rsidR="00776ADB" w:rsidRDefault="00EF76D7" w:rsidP="00C06806">
      <w:pPr>
        <w:pStyle w:val="Heading1"/>
      </w:pPr>
      <w:r>
        <w:lastRenderedPageBreak/>
        <w:t>Introduction</w:t>
      </w:r>
    </w:p>
    <w:bookmarkEnd w:id="2"/>
    <w:p w14:paraId="196A6782" w14:textId="646370D7" w:rsidR="00912832" w:rsidRDefault="00EF76D7" w:rsidP="00706AC6">
      <w:pPr>
        <w:spacing w:line="240" w:lineRule="auto"/>
      </w:pPr>
      <w:r>
        <w:t xml:space="preserve">The first step in the management of natural resources is to determine the management unit, which will depend on the management objectives. </w:t>
      </w:r>
      <w:r w:rsidR="00C63BB2">
        <w:t xml:space="preserve">Unfortunately, management objectives are not static, </w:t>
      </w:r>
      <w:r w:rsidR="00232106">
        <w:t>therefore</w:t>
      </w:r>
      <w:r w:rsidR="00C63BB2">
        <w:t xml:space="preserve"> it follows that management units should </w:t>
      </w:r>
      <w:r>
        <w:t xml:space="preserve">evolve in </w:t>
      </w:r>
      <w:r w:rsidR="00C63BB2">
        <w:t xml:space="preserve">tandem </w:t>
      </w:r>
      <w:r>
        <w:t>with changing management objectives (</w:t>
      </w:r>
      <w:proofErr w:type="spellStart"/>
      <w:r>
        <w:t>Begg</w:t>
      </w:r>
      <w:proofErr w:type="spellEnd"/>
      <w:r>
        <w:t xml:space="preserve"> and Waldman, 1999</w:t>
      </w:r>
      <w:r w:rsidR="008621EE">
        <w:t xml:space="preserve">; Reiss </w:t>
      </w:r>
      <w:r w:rsidR="008621EE">
        <w:rPr>
          <w:i/>
        </w:rPr>
        <w:t>et al.</w:t>
      </w:r>
      <w:r w:rsidR="008621EE">
        <w:t>, 2009</w:t>
      </w:r>
      <w:r>
        <w:t xml:space="preserve">). </w:t>
      </w:r>
      <w:r w:rsidR="00415A15">
        <w:t xml:space="preserve">Furthermore, </w:t>
      </w:r>
      <w:r w:rsidR="009A78A9">
        <w:t>environments are not static</w:t>
      </w:r>
      <w:r w:rsidR="00232106">
        <w:t>.</w:t>
      </w:r>
      <w:r w:rsidR="009A78A9">
        <w:t xml:space="preserve"> </w:t>
      </w:r>
      <w:r w:rsidR="00232106">
        <w:t>S</w:t>
      </w:r>
      <w:r w:rsidR="00415A15">
        <w:t xml:space="preserve">pecies ranges </w:t>
      </w:r>
      <w:r w:rsidR="00232106">
        <w:t xml:space="preserve">are </w:t>
      </w:r>
      <w:r w:rsidR="00415A15">
        <w:t xml:space="preserve">predicted to shift with respect to depth and latitude as oceans warm in response to climate change (Perry </w:t>
      </w:r>
      <w:r w:rsidR="00415A15">
        <w:rPr>
          <w:i/>
        </w:rPr>
        <w:t>et al</w:t>
      </w:r>
      <w:r w:rsidR="00415A15">
        <w:t xml:space="preserve">., 2005; </w:t>
      </w:r>
      <w:proofErr w:type="spellStart"/>
      <w:r w:rsidR="00415A15">
        <w:t>Dulvy</w:t>
      </w:r>
      <w:proofErr w:type="spellEnd"/>
      <w:r w:rsidR="00415A15">
        <w:t xml:space="preserve"> </w:t>
      </w:r>
      <w:r w:rsidR="00415A15">
        <w:rPr>
          <w:i/>
        </w:rPr>
        <w:t>et al</w:t>
      </w:r>
      <w:r w:rsidR="00415A15">
        <w:t xml:space="preserve">., 2008; Nye </w:t>
      </w:r>
      <w:r w:rsidR="00415A15">
        <w:rPr>
          <w:i/>
        </w:rPr>
        <w:t>et al</w:t>
      </w:r>
      <w:r w:rsidR="00415A15">
        <w:t>., 2009), potentially increasing the mismatch between default, often political, and biological stock boundaries.</w:t>
      </w:r>
    </w:p>
    <w:p w14:paraId="1373C30E" w14:textId="0005D2AD" w:rsidR="00A773A8" w:rsidRDefault="005B17A9" w:rsidP="003244A0">
      <w:pPr>
        <w:spacing w:line="240" w:lineRule="auto"/>
      </w:pPr>
      <w:r>
        <w:tab/>
      </w:r>
      <w:r w:rsidR="00A773A8">
        <w:t xml:space="preserve">Management objectives for commercially fished marine species typically </w:t>
      </w:r>
      <w:r w:rsidR="00410BBD">
        <w:t>prioritize</w:t>
      </w:r>
      <w:r w:rsidR="00A773A8">
        <w:t xml:space="preserve"> optimiz</w:t>
      </w:r>
      <w:r w:rsidR="00EC2C04">
        <w:t>ing</w:t>
      </w:r>
      <w:r w:rsidR="00A773A8">
        <w:t xml:space="preserve"> </w:t>
      </w:r>
      <w:r w:rsidR="0044143C">
        <w:t>long-term sustainable yield</w:t>
      </w:r>
      <w:r w:rsidR="00410BBD">
        <w:t>s</w:t>
      </w:r>
      <w:r w:rsidR="00A773A8">
        <w:t xml:space="preserve">, </w:t>
      </w:r>
      <w:r w:rsidR="0044143C">
        <w:t xml:space="preserve">while conserving biological characteristics that facilitate such optimal yields </w:t>
      </w:r>
      <w:r w:rsidR="00912832">
        <w:t>(</w:t>
      </w:r>
      <w:proofErr w:type="spellStart"/>
      <w:r w:rsidR="001617F9">
        <w:t>Hilborn</w:t>
      </w:r>
      <w:proofErr w:type="spellEnd"/>
      <w:r w:rsidR="001617F9">
        <w:t xml:space="preserve"> and Walters, 1992; </w:t>
      </w:r>
      <w:r w:rsidR="00912832">
        <w:t xml:space="preserve">Punt </w:t>
      </w:r>
      <w:r w:rsidR="00912832" w:rsidRPr="00415A15">
        <w:rPr>
          <w:i/>
        </w:rPr>
        <w:t>et al</w:t>
      </w:r>
      <w:r w:rsidR="00912832">
        <w:t>., 2006)</w:t>
      </w:r>
      <w:r w:rsidR="001617F9">
        <w:t>.</w:t>
      </w:r>
      <w:r w:rsidR="00E17804">
        <w:t xml:space="preserve"> </w:t>
      </w:r>
      <w:r w:rsidR="00702037">
        <w:t>To achieve the previous, fisheries managers must design, politically justify, and implement restraints on fishing activities. O</w:t>
      </w:r>
      <w:r w:rsidR="004F40A8">
        <w:t xml:space="preserve">utput from stock assessment models provides scientific advice </w:t>
      </w:r>
      <w:r w:rsidR="00702037">
        <w:t>to</w:t>
      </w:r>
      <w:r w:rsidR="004F40A8">
        <w:t xml:space="preserve"> fisheries managers </w:t>
      </w:r>
      <w:r w:rsidR="00702037">
        <w:t>regarding</w:t>
      </w:r>
      <w:r w:rsidR="00DF6A61">
        <w:t xml:space="preserve"> the current status of </w:t>
      </w:r>
      <w:r w:rsidR="00410BBD">
        <w:t>the</w:t>
      </w:r>
      <w:r w:rsidR="00DF6A61">
        <w:t xml:space="preserve"> </w:t>
      </w:r>
      <w:r w:rsidR="00410BBD">
        <w:t xml:space="preserve">management unit (stock) </w:t>
      </w:r>
      <w:r w:rsidR="00DF6A61">
        <w:t xml:space="preserve">and how </w:t>
      </w:r>
      <w:r w:rsidR="00410BBD">
        <w:t>it</w:t>
      </w:r>
      <w:r w:rsidR="00DF6A61">
        <w:t xml:space="preserve"> </w:t>
      </w:r>
      <w:r w:rsidR="00410BBD">
        <w:t>may potentially</w:t>
      </w:r>
      <w:r w:rsidR="00DF6A61">
        <w:t xml:space="preserve"> respond to future management measures. </w:t>
      </w:r>
      <w:r w:rsidR="00E06272">
        <w:t xml:space="preserve">A major assumption </w:t>
      </w:r>
      <w:r w:rsidR="003244A0">
        <w:t>of stock assessment</w:t>
      </w:r>
      <w:r w:rsidR="00E06272">
        <w:t xml:space="preserve"> models is that f</w:t>
      </w:r>
      <w:r w:rsidR="00410BBD">
        <w:t>ish within the stock</w:t>
      </w:r>
      <w:r w:rsidR="00E06272">
        <w:t xml:space="preserve"> are homogeneous (i.e., similar growth, natural mortality, risk of fishing, etc.)</w:t>
      </w:r>
      <w:r w:rsidR="00C940BD">
        <w:t xml:space="preserve"> (</w:t>
      </w:r>
      <w:r w:rsidR="00C940BD" w:rsidRPr="00A23714">
        <w:t>Waldman, 2005</w:t>
      </w:r>
      <w:r w:rsidR="00C66372">
        <w:t>; Rothschild and Jiao, 2011</w:t>
      </w:r>
      <w:r w:rsidR="00C940BD">
        <w:t>)</w:t>
      </w:r>
      <w:r w:rsidR="00E06272">
        <w:t xml:space="preserve">. </w:t>
      </w:r>
      <w:r w:rsidR="003244A0">
        <w:t xml:space="preserve">Thus, </w:t>
      </w:r>
      <w:r w:rsidR="007D48B2">
        <w:t xml:space="preserve">geographic boundaries of </w:t>
      </w:r>
      <w:r w:rsidR="003244A0">
        <w:t xml:space="preserve">fish stocks should be defined using a method based on </w:t>
      </w:r>
      <w:r w:rsidR="007D48B2">
        <w:t xml:space="preserve">population dynamics (life-history) </w:t>
      </w:r>
      <w:r w:rsidR="003244A0">
        <w:t>parameters (</w:t>
      </w:r>
      <w:proofErr w:type="spellStart"/>
      <w:r w:rsidR="003244A0">
        <w:t>Carvalho</w:t>
      </w:r>
      <w:proofErr w:type="spellEnd"/>
      <w:r w:rsidR="003244A0">
        <w:t xml:space="preserve"> and Hauser, 1995; </w:t>
      </w:r>
      <w:proofErr w:type="spellStart"/>
      <w:r w:rsidR="003244A0">
        <w:t>Begg</w:t>
      </w:r>
      <w:proofErr w:type="spellEnd"/>
      <w:r w:rsidR="003244A0">
        <w:t xml:space="preserve"> and Waldman, 1999; Quinn and </w:t>
      </w:r>
      <w:proofErr w:type="spellStart"/>
      <w:r w:rsidR="003244A0">
        <w:t>Deriso</w:t>
      </w:r>
      <w:proofErr w:type="spellEnd"/>
      <w:r w:rsidR="003244A0">
        <w:t xml:space="preserve">, 1999). </w:t>
      </w:r>
    </w:p>
    <w:p w14:paraId="4AFD643C" w14:textId="6AC9575A" w:rsidR="00FB681B" w:rsidRDefault="00D918DB" w:rsidP="005429F2">
      <w:pPr>
        <w:spacing w:line="240" w:lineRule="auto"/>
        <w:ind w:firstLine="720"/>
      </w:pPr>
      <w:r>
        <w:t>Life-history p</w:t>
      </w:r>
      <w:r w:rsidR="005429F2">
        <w:t xml:space="preserve">arameters </w:t>
      </w:r>
      <w:r w:rsidR="00230CFA">
        <w:t xml:space="preserve">(growth, survival, age-at-maturation, fecundity, distribution, and abundance) </w:t>
      </w:r>
      <w:r w:rsidR="00B5777F">
        <w:t>tend to r</w:t>
      </w:r>
      <w:r w:rsidR="005429F2">
        <w:t>eflect</w:t>
      </w:r>
      <w:r w:rsidR="007D48B2">
        <w:t xml:space="preserve"> the</w:t>
      </w:r>
      <w:r w:rsidR="005429F2">
        <w:t xml:space="preserve"> specific environment</w:t>
      </w:r>
      <w:r w:rsidR="00B5777F">
        <w:t xml:space="preserve"> inhabited by </w:t>
      </w:r>
      <w:r w:rsidR="005429F2">
        <w:t xml:space="preserve">a stock </w:t>
      </w:r>
      <w:r>
        <w:t>due to</w:t>
      </w:r>
      <w:r w:rsidR="005429F2">
        <w:t xml:space="preserve"> their sensitivity to </w:t>
      </w:r>
      <w:r>
        <w:t xml:space="preserve">both </w:t>
      </w:r>
      <w:r w:rsidR="00B5777F">
        <w:t>environmental and anthropocentric</w:t>
      </w:r>
      <w:r w:rsidR="005429F2">
        <w:t xml:space="preserve"> </w:t>
      </w:r>
      <w:r w:rsidR="00A94F0D">
        <w:t>influences</w:t>
      </w:r>
      <w:r w:rsidR="005429F2">
        <w:t xml:space="preserve"> (</w:t>
      </w:r>
      <w:proofErr w:type="spellStart"/>
      <w:r w:rsidR="00CE22C1">
        <w:t>Begg</w:t>
      </w:r>
      <w:proofErr w:type="spellEnd"/>
      <w:r w:rsidR="00CE22C1">
        <w:t xml:space="preserve"> </w:t>
      </w:r>
      <w:r w:rsidR="00CE22C1">
        <w:rPr>
          <w:i/>
        </w:rPr>
        <w:t>et al</w:t>
      </w:r>
      <w:r w:rsidR="00CE22C1">
        <w:t>., 1999</w:t>
      </w:r>
      <w:r w:rsidR="005429F2">
        <w:t>). Furthermore, even though life-history parameters do not provide direct information about the g</w:t>
      </w:r>
      <w:r>
        <w:t xml:space="preserve">enetic composition of the stock, phenotypic variation </w:t>
      </w:r>
      <w:r w:rsidR="00CE22C1">
        <w:t>results from</w:t>
      </w:r>
      <w:r w:rsidR="007D48B2">
        <w:t xml:space="preserve"> the</w:t>
      </w:r>
      <w:r>
        <w:t xml:space="preserve"> interaction between genotypes and their environment</w:t>
      </w:r>
      <w:r w:rsidR="00CE22C1">
        <w:t xml:space="preserve">, thus providing a proxy for genetic </w:t>
      </w:r>
      <w:r w:rsidR="00CE22C1" w:rsidRPr="006E743C">
        <w:t>structure (</w:t>
      </w:r>
      <w:proofErr w:type="spellStart"/>
      <w:r w:rsidR="00303172" w:rsidRPr="006E743C">
        <w:t>Campana</w:t>
      </w:r>
      <w:proofErr w:type="spellEnd"/>
      <w:r w:rsidR="00303172" w:rsidRPr="006E743C">
        <w:t xml:space="preserve"> </w:t>
      </w:r>
      <w:r w:rsidR="00303172" w:rsidRPr="006E743C">
        <w:rPr>
          <w:i/>
        </w:rPr>
        <w:t>et al</w:t>
      </w:r>
      <w:r w:rsidR="00303172" w:rsidRPr="006E743C">
        <w:t>., 1995</w:t>
      </w:r>
      <w:r w:rsidR="00CE22C1" w:rsidRPr="006E743C">
        <w:t>)</w:t>
      </w:r>
      <w:r w:rsidRPr="006E743C">
        <w:t xml:space="preserve">. </w:t>
      </w:r>
      <w:r w:rsidR="00FB681B" w:rsidRPr="006E743C">
        <w:t>In short</w:t>
      </w:r>
      <w:r w:rsidR="00FB681B">
        <w:t xml:space="preserve">, using </w:t>
      </w:r>
      <w:r w:rsidR="00A94F0D">
        <w:t xml:space="preserve">easy to measure </w:t>
      </w:r>
      <w:r w:rsidR="00FB681B">
        <w:t xml:space="preserve">life-history data to </w:t>
      </w:r>
      <w:r w:rsidR="00A94F0D">
        <w:t>delineate</w:t>
      </w:r>
      <w:r w:rsidR="00FB681B">
        <w:t xml:space="preserve"> stock</w:t>
      </w:r>
      <w:r w:rsidR="007D48B2">
        <w:t xml:space="preserve"> boundaries</w:t>
      </w:r>
      <w:r w:rsidR="00FB681B">
        <w:t xml:space="preserve"> can provide a good starting point for more advanced stock identification techniques (e.g. </w:t>
      </w:r>
      <w:proofErr w:type="spellStart"/>
      <w:r w:rsidR="00303172">
        <w:t>behavioural</w:t>
      </w:r>
      <w:proofErr w:type="spellEnd"/>
      <w:r w:rsidR="00303172">
        <w:t xml:space="preserve">, </w:t>
      </w:r>
      <w:r w:rsidR="00FB681B">
        <w:t xml:space="preserve">biochemical, </w:t>
      </w:r>
      <w:proofErr w:type="spellStart"/>
      <w:r w:rsidR="00303172">
        <w:t>cytogenetics</w:t>
      </w:r>
      <w:proofErr w:type="spellEnd"/>
      <w:r w:rsidR="00303172">
        <w:t xml:space="preserve">, </w:t>
      </w:r>
      <w:r w:rsidR="00FB681B">
        <w:t xml:space="preserve">immunological, </w:t>
      </w:r>
      <w:r w:rsidR="00303172">
        <w:t>m</w:t>
      </w:r>
      <w:r w:rsidR="007D48B2">
        <w:t>eristic, morphometric, parasitic</w:t>
      </w:r>
      <w:r w:rsidR="00303172">
        <w:t xml:space="preserve">, protein electrophoresis, scale morphology, </w:t>
      </w:r>
      <w:proofErr w:type="spellStart"/>
      <w:r w:rsidR="00303172">
        <w:t>otoliths</w:t>
      </w:r>
      <w:proofErr w:type="spellEnd"/>
      <w:r w:rsidR="00303172">
        <w:t xml:space="preserve">, </w:t>
      </w:r>
      <w:r w:rsidR="00FB681B">
        <w:t>serological,</w:t>
      </w:r>
      <w:r w:rsidR="00303172">
        <w:t xml:space="preserve"> stable isotopes,</w:t>
      </w:r>
      <w:r w:rsidR="00FB681B">
        <w:t xml:space="preserve"> </w:t>
      </w:r>
      <w:r w:rsidR="00303172">
        <w:t xml:space="preserve">tag-recovery, </w:t>
      </w:r>
      <w:r w:rsidR="00FB681B">
        <w:t>etc.), while being cost effective and efficient (</w:t>
      </w:r>
      <w:proofErr w:type="spellStart"/>
      <w:r w:rsidR="00FB681B">
        <w:t>Begg</w:t>
      </w:r>
      <w:proofErr w:type="spellEnd"/>
      <w:r w:rsidR="00FB681B">
        <w:t xml:space="preserve"> </w:t>
      </w:r>
      <w:r w:rsidR="00FB681B" w:rsidRPr="00FB681B">
        <w:rPr>
          <w:i/>
        </w:rPr>
        <w:t>et al</w:t>
      </w:r>
      <w:r w:rsidR="00FB681B">
        <w:t>., 1999</w:t>
      </w:r>
      <w:r w:rsidR="00DD6E57">
        <w:t xml:space="preserve">; </w:t>
      </w:r>
      <w:proofErr w:type="spellStart"/>
      <w:r w:rsidR="00DD6E57">
        <w:t>Smedbol</w:t>
      </w:r>
      <w:proofErr w:type="spellEnd"/>
      <w:r w:rsidR="00DD6E57">
        <w:t xml:space="preserve"> and Stephenson, 2001</w:t>
      </w:r>
      <w:r w:rsidR="00FB681B">
        <w:t xml:space="preserve">). </w:t>
      </w:r>
    </w:p>
    <w:p w14:paraId="2D2D81B7" w14:textId="0CB5F39C" w:rsidR="00F956A6" w:rsidRDefault="009D6D6A" w:rsidP="009D6D6A">
      <w:pPr>
        <w:spacing w:line="240" w:lineRule="auto"/>
        <w:ind w:firstLine="720"/>
      </w:pPr>
      <w:r>
        <w:t xml:space="preserve">Almost all fish species exhibit complex spatial structure in their population dynamics (Conover </w:t>
      </w:r>
      <w:r>
        <w:rPr>
          <w:i/>
        </w:rPr>
        <w:t>et al</w:t>
      </w:r>
      <w:r>
        <w:t xml:space="preserve">., 2006; </w:t>
      </w:r>
      <w:commentRangeStart w:id="3"/>
      <w:r>
        <w:t>Cope and Punt, 2009</w:t>
      </w:r>
      <w:commentRangeEnd w:id="3"/>
      <w:r w:rsidR="000A2B65">
        <w:rPr>
          <w:rStyle w:val="CommentReference"/>
        </w:rPr>
        <w:commentReference w:id="3"/>
      </w:r>
      <w:r>
        <w:t xml:space="preserve">). </w:t>
      </w:r>
      <w:r w:rsidR="006E743C">
        <w:t>Consequently, u</w:t>
      </w:r>
      <w:r w:rsidR="002B6FA9">
        <w:t>nderstanding stock structure becomes increasingly important when stocks of a given species are differentially exploited (</w:t>
      </w:r>
      <w:proofErr w:type="spellStart"/>
      <w:r w:rsidR="00303172">
        <w:t>Altukhov</w:t>
      </w:r>
      <w:proofErr w:type="spellEnd"/>
      <w:r w:rsidR="00303172">
        <w:t xml:space="preserve">, 1981; </w:t>
      </w:r>
      <w:r w:rsidR="002B6FA9">
        <w:t>Ricker, 1981</w:t>
      </w:r>
      <w:r w:rsidR="00B47639">
        <w:t xml:space="preserve">). </w:t>
      </w:r>
      <w:r w:rsidR="00D86A3A">
        <w:t xml:space="preserve">Fisheries that reduce stocks to low levels for extended periods of time can lead to reduced genetic diversity, which can ultimately lead to lowered adaptability, population productivity, and </w:t>
      </w:r>
      <w:r w:rsidR="004E7FC1">
        <w:t>persistence</w:t>
      </w:r>
      <w:r w:rsidR="00D86A3A">
        <w:t xml:space="preserve"> (Lacy, 1987; </w:t>
      </w:r>
      <w:proofErr w:type="spellStart"/>
      <w:r w:rsidR="004E7FC1">
        <w:t>Lande</w:t>
      </w:r>
      <w:proofErr w:type="spellEnd"/>
      <w:r w:rsidR="004E7FC1">
        <w:t xml:space="preserve">, 1993; </w:t>
      </w:r>
      <w:r w:rsidR="00D86A3A">
        <w:t xml:space="preserve">Hauser </w:t>
      </w:r>
      <w:r w:rsidR="00D86A3A">
        <w:rPr>
          <w:i/>
        </w:rPr>
        <w:t>et al</w:t>
      </w:r>
      <w:r w:rsidR="00D86A3A">
        <w:t xml:space="preserve">., 2002). </w:t>
      </w:r>
      <w:r w:rsidR="00A94F0D">
        <w:t>Matching stocks with biological units helps minimize the risk of depleting distinct stocks (</w:t>
      </w:r>
      <w:r w:rsidR="005B129F">
        <w:t xml:space="preserve">Frank and </w:t>
      </w:r>
      <w:r w:rsidR="005B129F" w:rsidRPr="005B129F">
        <w:t>Brickman</w:t>
      </w:r>
      <w:r w:rsidR="005B129F">
        <w:t xml:space="preserve">, 2000; </w:t>
      </w:r>
      <w:proofErr w:type="spellStart"/>
      <w:r w:rsidR="00A94F0D">
        <w:t>Laikre</w:t>
      </w:r>
      <w:proofErr w:type="spellEnd"/>
      <w:r w:rsidR="00A94F0D">
        <w:t xml:space="preserve"> </w:t>
      </w:r>
      <w:r w:rsidR="00A94F0D">
        <w:rPr>
          <w:i/>
        </w:rPr>
        <w:t>et al</w:t>
      </w:r>
      <w:r w:rsidR="00A94F0D">
        <w:t xml:space="preserve">., 2005; Sterner, 2007) and helps maintain stable stock complexes (Schindler, 2010). </w:t>
      </w:r>
    </w:p>
    <w:p w14:paraId="01507F26" w14:textId="14FD44CA" w:rsidR="00776ADB" w:rsidRDefault="00EF76D7" w:rsidP="000A2B65">
      <w:pPr>
        <w:spacing w:line="240" w:lineRule="auto"/>
        <w:ind w:firstLine="720"/>
      </w:pPr>
      <w:r>
        <w:t xml:space="preserve">Currently, no </w:t>
      </w:r>
      <w:r w:rsidR="000A2B65">
        <w:t>single</w:t>
      </w:r>
      <w:r>
        <w:t xml:space="preserve"> method</w:t>
      </w:r>
      <w:r w:rsidR="000A2B65">
        <w:t xml:space="preserve">, whether it be based on life-history parameters, genetics, </w:t>
      </w:r>
      <w:proofErr w:type="spellStart"/>
      <w:r w:rsidR="000A2B65">
        <w:t>otolith</w:t>
      </w:r>
      <w:proofErr w:type="spellEnd"/>
      <w:r w:rsidR="000A2B65">
        <w:t xml:space="preserve"> structure, parasitic composition, etc.,</w:t>
      </w:r>
      <w:r>
        <w:t xml:space="preserve"> properly identifies all stocks. Several techniques require a substantive amount of costly data, necessitating a balance between accuracy and efficiency (</w:t>
      </w:r>
      <w:proofErr w:type="spellStart"/>
      <w:r>
        <w:t>Hilborn</w:t>
      </w:r>
      <w:proofErr w:type="spellEnd"/>
      <w:r>
        <w:t xml:space="preserve"> and Walters, 1992). Thus, techniques that use data routinely collected for assessment and management purposes (i.e.</w:t>
      </w:r>
      <w:r w:rsidR="003E3E8B">
        <w:t>,</w:t>
      </w:r>
      <w:r>
        <w:t xml:space="preserve"> life-history </w:t>
      </w:r>
      <w:r>
        <w:lastRenderedPageBreak/>
        <w:t xml:space="preserve">parameters) </w:t>
      </w:r>
      <w:r w:rsidR="000A2B65">
        <w:t>can be</w:t>
      </w:r>
      <w:r>
        <w:t xml:space="preserve"> advantageous. Unfortunately, fisheries data are subject to both observation and process error, which can complicate analyses. </w:t>
      </w:r>
    </w:p>
    <w:p w14:paraId="61E92D45" w14:textId="331EAADA" w:rsidR="00873E88" w:rsidRDefault="00EF76D7" w:rsidP="00F930BB">
      <w:pPr>
        <w:spacing w:line="240" w:lineRule="auto"/>
        <w:ind w:firstLine="720"/>
      </w:pPr>
      <w:r>
        <w:t>State-space models can simultaneously estimate process and observation error making them ideal for ecological data. Their use in ecology began with time-series data for single populations (</w:t>
      </w:r>
      <w:r w:rsidRPr="00F930BB">
        <w:rPr>
          <w:highlight w:val="green"/>
        </w:rPr>
        <w:t>Staples, Taper, and Dennis, 2004</w:t>
      </w:r>
      <w:r>
        <w:t xml:space="preserve">; </w:t>
      </w:r>
      <w:r w:rsidRPr="00F930BB">
        <w:rPr>
          <w:highlight w:val="green"/>
        </w:rPr>
        <w:t xml:space="preserve">Dennis </w:t>
      </w:r>
      <w:r w:rsidRPr="00F930BB">
        <w:rPr>
          <w:i/>
          <w:highlight w:val="green"/>
        </w:rPr>
        <w:t>et al</w:t>
      </w:r>
      <w:r w:rsidRPr="00F930BB">
        <w:rPr>
          <w:highlight w:val="green"/>
        </w:rPr>
        <w:t>., 2006</w:t>
      </w:r>
      <w:r>
        <w:t>) and later extended into two-dimensional space for movement data (</w:t>
      </w:r>
      <w:proofErr w:type="spellStart"/>
      <w:r w:rsidRPr="00F930BB">
        <w:rPr>
          <w:highlight w:val="green"/>
        </w:rPr>
        <w:t>Jonsen</w:t>
      </w:r>
      <w:proofErr w:type="spellEnd"/>
      <w:r w:rsidRPr="00F930BB">
        <w:rPr>
          <w:highlight w:val="green"/>
        </w:rPr>
        <w:t xml:space="preserve">, Myers, and </w:t>
      </w:r>
      <w:proofErr w:type="spellStart"/>
      <w:r w:rsidRPr="00F930BB">
        <w:rPr>
          <w:highlight w:val="green"/>
        </w:rPr>
        <w:t>Flemming</w:t>
      </w:r>
      <w:proofErr w:type="spellEnd"/>
      <w:r w:rsidRPr="00F930BB">
        <w:rPr>
          <w:highlight w:val="green"/>
        </w:rPr>
        <w:t>, 2003</w:t>
      </w:r>
      <w:r>
        <w:t xml:space="preserve">) and multiple subpopulations (Ward </w:t>
      </w:r>
      <w:r>
        <w:rPr>
          <w:i/>
        </w:rPr>
        <w:t>et al</w:t>
      </w:r>
      <w:r>
        <w:t>., 20</w:t>
      </w:r>
      <w:r w:rsidR="00873E88">
        <w:t>10</w:t>
      </w:r>
      <w:r>
        <w:t>) and species (</w:t>
      </w:r>
      <w:proofErr w:type="spellStart"/>
      <w:r w:rsidRPr="00F930BB">
        <w:rPr>
          <w:highlight w:val="green"/>
        </w:rPr>
        <w:t>Mattsson</w:t>
      </w:r>
      <w:proofErr w:type="spellEnd"/>
      <w:r w:rsidRPr="00F930BB">
        <w:rPr>
          <w:highlight w:val="green"/>
        </w:rPr>
        <w:t xml:space="preserve"> </w:t>
      </w:r>
      <w:r w:rsidRPr="00F930BB">
        <w:rPr>
          <w:i/>
          <w:highlight w:val="green"/>
        </w:rPr>
        <w:t>et al</w:t>
      </w:r>
      <w:r w:rsidRPr="00F930BB">
        <w:rPr>
          <w:highlight w:val="green"/>
        </w:rPr>
        <w:t>., 2013</w:t>
      </w:r>
      <w:r>
        <w:t xml:space="preserve">). Multivariate time-series analysis is one way to detect patterns of correlation and synchrony across multiple </w:t>
      </w:r>
      <w:r w:rsidR="005519D1">
        <w:t>scales</w:t>
      </w:r>
      <w:r>
        <w:t xml:space="preserve"> (</w:t>
      </w:r>
      <w:r w:rsidR="0062744E">
        <w:t xml:space="preserve">Ward </w:t>
      </w:r>
      <w:r w:rsidR="0062744E">
        <w:rPr>
          <w:i/>
        </w:rPr>
        <w:t xml:space="preserve">et </w:t>
      </w:r>
      <w:r w:rsidR="0062744E" w:rsidRPr="0062744E">
        <w:rPr>
          <w:i/>
        </w:rPr>
        <w:t>al</w:t>
      </w:r>
      <w:r w:rsidR="0062744E">
        <w:t>., 2010</w:t>
      </w:r>
      <w:r>
        <w:t>) and can provide inferences on stock structure based on ecological differences</w:t>
      </w:r>
      <w:r w:rsidR="00F930BB">
        <w:t xml:space="preserve"> across stocks</w:t>
      </w:r>
      <w:r>
        <w:t xml:space="preserve">. </w:t>
      </w:r>
      <w:r w:rsidR="0062744E">
        <w:t xml:space="preserve">Unfortunately these models </w:t>
      </w:r>
      <w:r w:rsidR="00F930BB">
        <w:t xml:space="preserve">rely on the user to specify hypothesized stock structures (i.e., manually grouping the data according to hypothesized stock structures). Additionally, parameter estimates from </w:t>
      </w:r>
      <w:r w:rsidR="00F843A6">
        <w:t xml:space="preserve">non-spatial </w:t>
      </w:r>
      <w:r w:rsidR="00F930BB">
        <w:t xml:space="preserve">population models tend to be biased </w:t>
      </w:r>
      <w:r w:rsidR="00747EB7" w:rsidRPr="00747EB7">
        <w:t xml:space="preserve">(Thorson </w:t>
      </w:r>
      <w:r w:rsidR="00747EB7" w:rsidRPr="00747EB7">
        <w:rPr>
          <w:i/>
        </w:rPr>
        <w:t>et al</w:t>
      </w:r>
      <w:r w:rsidR="00747EB7" w:rsidRPr="00747EB7">
        <w:t xml:space="preserve">., In review), making it necessary to </w:t>
      </w:r>
      <w:r w:rsidR="00F843A6">
        <w:t>explicitly include space</w:t>
      </w:r>
      <w:r w:rsidR="00747EB7" w:rsidRPr="00747EB7">
        <w:t xml:space="preserve">. Accounting for space </w:t>
      </w:r>
      <w:r w:rsidR="00747EB7">
        <w:t xml:space="preserve">can </w:t>
      </w:r>
      <w:r w:rsidR="00747EB7" w:rsidRPr="00747EB7">
        <w:t>be</w:t>
      </w:r>
      <w:r w:rsidR="00747EB7">
        <w:t xml:space="preserve"> accomplished by replacing </w:t>
      </w:r>
      <w:r w:rsidR="00F843A6">
        <w:t xml:space="preserve">relevant, scalar, life-history parameters with spatial or </w:t>
      </w:r>
      <w:proofErr w:type="spellStart"/>
      <w:r w:rsidR="00F843A6">
        <w:t>spatio</w:t>
      </w:r>
      <w:proofErr w:type="spellEnd"/>
      <w:r w:rsidR="00F843A6">
        <w:t>-temporal random effects (</w:t>
      </w:r>
      <w:proofErr w:type="spellStart"/>
      <w:r w:rsidR="00F843A6">
        <w:t>Cressie</w:t>
      </w:r>
      <w:proofErr w:type="spellEnd"/>
      <w:r w:rsidR="00F843A6">
        <w:t xml:space="preserve"> and </w:t>
      </w:r>
      <w:proofErr w:type="spellStart"/>
      <w:r w:rsidR="00F843A6">
        <w:t>Wikle</w:t>
      </w:r>
      <w:proofErr w:type="spellEnd"/>
      <w:r w:rsidR="00F843A6">
        <w:t xml:space="preserve">, 2011; </w:t>
      </w:r>
      <w:proofErr w:type="spellStart"/>
      <w:r w:rsidR="00F843A6">
        <w:t>Gelman</w:t>
      </w:r>
      <w:proofErr w:type="spellEnd"/>
      <w:r w:rsidR="00F843A6">
        <w:t xml:space="preserve"> </w:t>
      </w:r>
      <w:r w:rsidR="00F843A6">
        <w:rPr>
          <w:i/>
        </w:rPr>
        <w:t>et al</w:t>
      </w:r>
      <w:r w:rsidR="00F843A6">
        <w:t>., 2013)</w:t>
      </w:r>
      <w:r w:rsidR="00747EB7">
        <w:t xml:space="preserve">. </w:t>
      </w:r>
      <w:r w:rsidR="00985CC4">
        <w:t>Subsequently, spatially</w:t>
      </w:r>
      <w:r w:rsidR="00706AC6">
        <w:t>-</w:t>
      </w:r>
      <w:r w:rsidR="00985CC4">
        <w:t xml:space="preserve">explicit estimates of productivity can be used to help inform stock structure. </w:t>
      </w:r>
    </w:p>
    <w:p w14:paraId="497A8EE3" w14:textId="51B342B4" w:rsidR="00776ADB" w:rsidRDefault="00EF76D7" w:rsidP="00706AC6">
      <w:pPr>
        <w:spacing w:line="240" w:lineRule="auto"/>
        <w:ind w:firstLine="720"/>
      </w:pPr>
      <w:r>
        <w:t xml:space="preserve">Here we </w:t>
      </w:r>
      <w:r w:rsidR="00873E88">
        <w:t>quantify spatial differences in productivity</w:t>
      </w:r>
      <w:r>
        <w:t xml:space="preserve"> </w:t>
      </w:r>
      <w:r w:rsidR="00545D3E">
        <w:t xml:space="preserve">for </w:t>
      </w:r>
      <w:r>
        <w:t xml:space="preserve">three species, walleye </w:t>
      </w:r>
      <w:proofErr w:type="spellStart"/>
      <w:r>
        <w:t>pollock</w:t>
      </w:r>
      <w:proofErr w:type="spellEnd"/>
      <w:r>
        <w:t xml:space="preserve"> (</w:t>
      </w:r>
      <w:proofErr w:type="spellStart"/>
      <w:r>
        <w:rPr>
          <w:i/>
        </w:rPr>
        <w:t>Theragra</w:t>
      </w:r>
      <w:proofErr w:type="spellEnd"/>
      <w:r>
        <w:rPr>
          <w:i/>
        </w:rPr>
        <w:t xml:space="preserve"> </w:t>
      </w:r>
      <w:proofErr w:type="spellStart"/>
      <w:r>
        <w:rPr>
          <w:i/>
        </w:rPr>
        <w:t>chalcogramma</w:t>
      </w:r>
      <w:proofErr w:type="spellEnd"/>
      <w:r>
        <w:t xml:space="preserve">; hereafter referred to as </w:t>
      </w:r>
      <w:proofErr w:type="spellStart"/>
      <w:r>
        <w:t>pollock</w:t>
      </w:r>
      <w:proofErr w:type="spellEnd"/>
      <w:r>
        <w:t>), Pacific cod (</w:t>
      </w:r>
      <w:proofErr w:type="spellStart"/>
      <w:r>
        <w:rPr>
          <w:i/>
        </w:rPr>
        <w:t>Gadus</w:t>
      </w:r>
      <w:proofErr w:type="spellEnd"/>
      <w:r>
        <w:rPr>
          <w:i/>
        </w:rPr>
        <w:t xml:space="preserve"> </w:t>
      </w:r>
      <w:proofErr w:type="spellStart"/>
      <w:r>
        <w:rPr>
          <w:i/>
        </w:rPr>
        <w:t>macrocephalus</w:t>
      </w:r>
      <w:proofErr w:type="spellEnd"/>
      <w:r>
        <w:t>; hereafter referred to as cod), and Atka mackerel (</w:t>
      </w:r>
      <w:proofErr w:type="spellStart"/>
      <w:r>
        <w:rPr>
          <w:i/>
        </w:rPr>
        <w:t>Pleurogrammus</w:t>
      </w:r>
      <w:proofErr w:type="spellEnd"/>
      <w:r>
        <w:rPr>
          <w:i/>
        </w:rPr>
        <w:t xml:space="preserve"> </w:t>
      </w:r>
      <w:proofErr w:type="spellStart"/>
      <w:r>
        <w:rPr>
          <w:i/>
        </w:rPr>
        <w:t>monopterygius</w:t>
      </w:r>
      <w:proofErr w:type="spellEnd"/>
      <w:r>
        <w:t xml:space="preserve">; hereafter referred to as mackerel) in the north east Pacific Ocean using </w:t>
      </w:r>
      <w:r w:rsidR="00C77041">
        <w:t>spatially</w:t>
      </w:r>
      <w:r w:rsidR="00706AC6">
        <w:t>-</w:t>
      </w:r>
      <w:r w:rsidR="00C77041">
        <w:t xml:space="preserve">explicit </w:t>
      </w:r>
      <w:proofErr w:type="spellStart"/>
      <w:r w:rsidR="00C77041">
        <w:t>Gompertz</w:t>
      </w:r>
      <w:proofErr w:type="spellEnd"/>
      <w:r w:rsidR="00C77041">
        <w:t xml:space="preserve"> population dynamics </w:t>
      </w:r>
      <w:r>
        <w:t>models</w:t>
      </w:r>
      <w:r w:rsidR="00706AC6">
        <w:t>, implemented within a state-space formulation</w:t>
      </w:r>
      <w:r>
        <w:t>.</w:t>
      </w:r>
      <w:r w:rsidR="00873E88">
        <w:t xml:space="preserve"> </w:t>
      </w:r>
      <w:r>
        <w:t xml:space="preserve">Pollock, cod, and mackerel </w:t>
      </w:r>
      <w:r w:rsidR="00873E88">
        <w:t xml:space="preserve">were chosen because </w:t>
      </w:r>
      <w:r w:rsidR="005519D1">
        <w:t xml:space="preserve">of their ecological and commercial importance </w:t>
      </w:r>
      <w:r>
        <w:t>in the Bering Sea Aleutian Island and Gulf of Alaska (GOA) large marine ecosystems. Pollock and cod represent the two largest fisheries by weight in all of Alaska (1,310,330 and 329,040 (t),</w:t>
      </w:r>
      <w:r w:rsidR="00873E88">
        <w:t xml:space="preserve"> respectively; st.nmfs.noaa.gov</w:t>
      </w:r>
      <w:r>
        <w:t xml:space="preserve">). </w:t>
      </w:r>
      <w:proofErr w:type="spellStart"/>
      <w:r>
        <w:t>Furthmore</w:t>
      </w:r>
      <w:proofErr w:type="spellEnd"/>
      <w:r>
        <w:t xml:space="preserve">, </w:t>
      </w:r>
      <w:proofErr w:type="spellStart"/>
      <w:r>
        <w:t>pollock</w:t>
      </w:r>
      <w:proofErr w:type="spellEnd"/>
      <w:r>
        <w:t xml:space="preserve"> and mackerel are the main prey for cod, comprising approximately 19% and 27% of total cod stomach contents, respectively (Ortiz, 2007). </w:t>
      </w:r>
      <w:r w:rsidR="00706AC6">
        <w:t>P</w:t>
      </w:r>
      <w:r>
        <w:t xml:space="preserve">ollock and mackerel are </w:t>
      </w:r>
      <w:r w:rsidR="00706AC6">
        <w:t xml:space="preserve">also </w:t>
      </w:r>
      <w:r>
        <w:t>the two most common prey species (frequency of occurrence (FO) 46.4% and 39.6%, respectively) of the federally endangered Steller sea lion (</w:t>
      </w:r>
      <w:proofErr w:type="spellStart"/>
      <w:r w:rsidRPr="00127A23">
        <w:rPr>
          <w:i/>
        </w:rPr>
        <w:t>Eumetopias</w:t>
      </w:r>
      <w:proofErr w:type="spellEnd"/>
      <w:r w:rsidRPr="00127A23">
        <w:rPr>
          <w:i/>
        </w:rPr>
        <w:t xml:space="preserve"> </w:t>
      </w:r>
      <w:proofErr w:type="spellStart"/>
      <w:r w:rsidRPr="00127A23">
        <w:rPr>
          <w:i/>
        </w:rPr>
        <w:t>jubatus</w:t>
      </w:r>
      <w:proofErr w:type="spellEnd"/>
      <w:r>
        <w:t xml:space="preserve">; SSL), with cod being the fourth most common (FO = 16.1%) (Sinclair and Zeppelin, 2002). The method should be useful to researchers looking to </w:t>
      </w:r>
      <w:r w:rsidR="00A47B1F">
        <w:t>inform stock structures of species for which fisheries-independent data exists yet precise structures remain unclear.</w:t>
      </w:r>
    </w:p>
    <w:p w14:paraId="7DC88250" w14:textId="1867C620" w:rsidR="00776ADB" w:rsidRPr="00C06806" w:rsidRDefault="00A47B1F" w:rsidP="00C06806">
      <w:pPr>
        <w:pStyle w:val="Heading1"/>
      </w:pPr>
      <w:bookmarkStart w:id="4" w:name="methods"/>
      <w:r>
        <w:t>Materials and m</w:t>
      </w:r>
      <w:r w:rsidR="00EF76D7" w:rsidRPr="00C06806">
        <w:t>ethods</w:t>
      </w:r>
    </w:p>
    <w:p w14:paraId="103C2DD4" w14:textId="77777777" w:rsidR="00776ADB" w:rsidRPr="004D0D9F" w:rsidRDefault="00EF76D7" w:rsidP="00C06806">
      <w:pPr>
        <w:pStyle w:val="Heading2"/>
      </w:pPr>
      <w:bookmarkStart w:id="5" w:name="study-area"/>
      <w:bookmarkEnd w:id="4"/>
      <w:r w:rsidRPr="004D0D9F">
        <w:t>Study area</w:t>
      </w:r>
    </w:p>
    <w:bookmarkEnd w:id="5"/>
    <w:p w14:paraId="6FB6CDBE" w14:textId="222DDFF2" w:rsidR="00776ADB" w:rsidRDefault="00EF76D7" w:rsidP="00706AC6">
      <w:pPr>
        <w:spacing w:line="240" w:lineRule="auto"/>
      </w:pPr>
      <w:r>
        <w:t xml:space="preserve">The study area included the </w:t>
      </w:r>
      <w:r w:rsidR="00A47B1F">
        <w:t>Aleutian Islands (</w:t>
      </w:r>
      <w:r w:rsidR="00A33928">
        <w:t>AIs</w:t>
      </w:r>
      <w:r w:rsidR="00A47B1F">
        <w:t xml:space="preserve">; </w:t>
      </w:r>
      <w:r>
        <w:t>170</w:t>
      </w:r>
      <w:r w:rsidR="00601FBA">
        <w:t>°</w:t>
      </w:r>
      <w:r>
        <w:t xml:space="preserve"> E to 170</w:t>
      </w:r>
      <w:r w:rsidR="00601FBA">
        <w:t xml:space="preserve">° </w:t>
      </w:r>
      <w:r>
        <w:t>W), a portion of the Southern Bering Sea</w:t>
      </w:r>
      <w:r w:rsidR="008251CE">
        <w:t xml:space="preserve"> (BS)</w:t>
      </w:r>
      <w:r>
        <w:t xml:space="preserve"> (165</w:t>
      </w:r>
      <w:r w:rsidR="004D0D9F">
        <w:t>°</w:t>
      </w:r>
      <w:r>
        <w:t xml:space="preserve"> W to 170</w:t>
      </w:r>
      <w:r w:rsidR="004D0D9F">
        <w:t>°</w:t>
      </w:r>
      <w:r>
        <w:t xml:space="preserve"> W along the north side of the AIs), and the G</w:t>
      </w:r>
      <w:r w:rsidR="00A33928">
        <w:t>OA</w:t>
      </w:r>
      <w:r>
        <w:t xml:space="preserve"> (132</w:t>
      </w:r>
      <w:r w:rsidR="004D0D9F">
        <w:t>°</w:t>
      </w:r>
      <w:r>
        <w:t>40’ W to 170</w:t>
      </w:r>
      <w:r w:rsidR="004D0D9F">
        <w:t>°</w:t>
      </w:r>
      <w:r>
        <w:t xml:space="preserve"> W) (Figure </w:t>
      </w:r>
      <w:r w:rsidR="003F5A1F">
        <w:fldChar w:fldCharType="begin"/>
      </w:r>
      <w:r w:rsidR="003F5A1F">
        <w:instrText xml:space="preserve"> REF AlaskaMap \h </w:instrText>
      </w:r>
      <w:r w:rsidR="003F5A1F">
        <w:fldChar w:fldCharType="separate"/>
      </w:r>
      <w:r w:rsidR="00C54509">
        <w:rPr>
          <w:noProof/>
        </w:rPr>
        <w:t>1</w:t>
      </w:r>
      <w:r w:rsidR="003F5A1F">
        <w:fldChar w:fldCharType="end"/>
      </w:r>
      <w:r>
        <w:t xml:space="preserve">). The AIs are an extensive archipelago comprised of 14 large and hundreds of small volcanic islands, </w:t>
      </w:r>
      <w:r w:rsidR="00A47B1F">
        <w:t>characterized</w:t>
      </w:r>
      <w:r>
        <w:t xml:space="preserve"> by a relatively narrow continental shelf, crossed by numerous deep passes. Conversely, the GOA is characterized by a semi-enclosed basin, with a relatively shallow shelf that varies in width from 5 km in the southeast to more than 200 km in the north.</w:t>
      </w:r>
    </w:p>
    <w:p w14:paraId="52FFE6E9" w14:textId="77777777" w:rsidR="00776ADB" w:rsidRDefault="00EF76D7" w:rsidP="00C06806">
      <w:pPr>
        <w:pStyle w:val="Heading2"/>
      </w:pPr>
      <w:bookmarkStart w:id="6" w:name="data"/>
      <w:r>
        <w:lastRenderedPageBreak/>
        <w:t>Data</w:t>
      </w:r>
    </w:p>
    <w:bookmarkEnd w:id="6"/>
    <w:p w14:paraId="3E4A6045" w14:textId="36CF31A7" w:rsidR="00776ADB" w:rsidRDefault="00EF76D7" w:rsidP="00706AC6">
      <w:pPr>
        <w:spacing w:line="240" w:lineRule="auto"/>
      </w:pPr>
      <w:r>
        <w:t>Survey data were collected by the Alaska Fisheries Science Center of the National Marine Fisheries Service from 1982 to 2012 during the triennial GOA and AI</w:t>
      </w:r>
      <w:r w:rsidR="00A47B1F">
        <w:t>s</w:t>
      </w:r>
      <w:r>
        <w:t xml:space="preserve"> bottom trawl surveys. </w:t>
      </w:r>
      <w:r w:rsidR="00706AC6">
        <w:t>These d</w:t>
      </w:r>
      <w:r>
        <w:t xml:space="preserve">ata </w:t>
      </w:r>
      <w:r w:rsidR="00706AC6">
        <w:t xml:space="preserve">are used </w:t>
      </w:r>
      <w:r>
        <w:t>to provide estimates of absolute o</w:t>
      </w:r>
      <w:r w:rsidR="00421BA5">
        <w:t>r relative abundance (</w:t>
      </w:r>
      <w:proofErr w:type="spellStart"/>
      <w:r w:rsidR="007D1417">
        <w:t>A’mar</w:t>
      </w:r>
      <w:proofErr w:type="spellEnd"/>
      <w:r w:rsidR="007D1417">
        <w:t xml:space="preserve"> </w:t>
      </w:r>
      <w:r w:rsidR="007D1417">
        <w:rPr>
          <w:i/>
        </w:rPr>
        <w:t>et al</w:t>
      </w:r>
      <w:r w:rsidR="007D1417">
        <w:t xml:space="preserve">., 2013; </w:t>
      </w:r>
      <w:r w:rsidR="00421BA5">
        <w:t xml:space="preserve">Aydin </w:t>
      </w:r>
      <w:r w:rsidR="00421BA5">
        <w:rPr>
          <w:i/>
        </w:rPr>
        <w:t>et al</w:t>
      </w:r>
      <w:r w:rsidR="00421BA5">
        <w:t>., 2013</w:t>
      </w:r>
      <w:r>
        <w:t xml:space="preserve">), define distributions, and inform biological parameters of </w:t>
      </w:r>
      <w:proofErr w:type="spellStart"/>
      <w:r>
        <w:t>groundfish</w:t>
      </w:r>
      <w:proofErr w:type="spellEnd"/>
      <w:r>
        <w:t xml:space="preserve"> and crab to the North Pacific Fishery Management Council (NPFMC).</w:t>
      </w:r>
    </w:p>
    <w:p w14:paraId="465C18EC" w14:textId="792FF10A" w:rsidR="00776ADB" w:rsidRDefault="00EF76D7" w:rsidP="00706AC6">
      <w:pPr>
        <w:spacing w:line="240" w:lineRule="auto"/>
        <w:ind w:firstLine="720"/>
      </w:pPr>
      <w:r>
        <w:t>Surveys employed a stratified random sampling design</w:t>
      </w:r>
      <w:r w:rsidR="00954541">
        <w:t>, with g</w:t>
      </w:r>
      <w:r>
        <w:t xml:space="preserve">rids determined by NPFMC regulatory areas, which were further divided </w:t>
      </w:r>
      <w:r w:rsidR="00706AC6">
        <w:t xml:space="preserve">into </w:t>
      </w:r>
      <w:r>
        <w:t>depth strata. The AI surveys covered depths up to 500 m along the north side of the AIs from Unimak Pass (</w:t>
      </w:r>
      <w:r w:rsidR="004D0D9F">
        <w:rPr>
          <w:rFonts w:eastAsiaTheme="minorEastAsia"/>
        </w:rPr>
        <w:t>165</w:t>
      </w:r>
      <w:r w:rsidR="004D0D9F">
        <w:t xml:space="preserve">° </w:t>
      </w:r>
      <w:r>
        <w:t xml:space="preserve">W) westward to </w:t>
      </w:r>
      <w:proofErr w:type="spellStart"/>
      <w:r>
        <w:t>Samalga</w:t>
      </w:r>
      <w:proofErr w:type="spellEnd"/>
      <w:r>
        <w:t xml:space="preserve"> Pass (</w:t>
      </w:r>
      <w:r w:rsidR="004D0D9F">
        <w:t xml:space="preserve">170° </w:t>
      </w:r>
      <w:r>
        <w:t xml:space="preserve">W) and on both sides of the AIs from </w:t>
      </w:r>
      <w:proofErr w:type="spellStart"/>
      <w:r>
        <w:t>Samalga</w:t>
      </w:r>
      <w:proofErr w:type="spellEnd"/>
      <w:r>
        <w:t xml:space="preserve"> Pass to Stalemate Bank (</w:t>
      </w:r>
      <w:r w:rsidR="004D0D9F">
        <w:t xml:space="preserve">170° </w:t>
      </w:r>
      <w:r>
        <w:t>E) (</w:t>
      </w:r>
      <w:r w:rsidR="00343DB2">
        <w:t xml:space="preserve">von </w:t>
      </w:r>
      <w:proofErr w:type="spellStart"/>
      <w:r w:rsidR="00343DB2">
        <w:t>Szalay</w:t>
      </w:r>
      <w:proofErr w:type="spellEnd"/>
      <w:r w:rsidR="00343DB2">
        <w:t xml:space="preserve"> </w:t>
      </w:r>
      <w:r w:rsidR="00343DB2">
        <w:rPr>
          <w:i/>
        </w:rPr>
        <w:t>et al</w:t>
      </w:r>
      <w:r w:rsidR="00343DB2">
        <w:t>.</w:t>
      </w:r>
      <w:r>
        <w:t xml:space="preserve">, </w:t>
      </w:r>
      <w:r w:rsidR="00D83C91">
        <w:t>20</w:t>
      </w:r>
      <w:r w:rsidR="00343DB2">
        <w:t>11</w:t>
      </w:r>
      <w:r>
        <w:t xml:space="preserve">). The GOA survey covered depths up to 1000 </w:t>
      </w:r>
      <w:r>
        <w:rPr>
          <w:i/>
        </w:rPr>
        <w:t>m</w:t>
      </w:r>
      <w:r>
        <w:t xml:space="preserve"> from </w:t>
      </w:r>
      <w:proofErr w:type="spellStart"/>
      <w:r>
        <w:t>Samalga</w:t>
      </w:r>
      <w:proofErr w:type="spellEnd"/>
      <w:r>
        <w:t xml:space="preserve"> Pass to Dixon Entrance (</w:t>
      </w:r>
      <w:r w:rsidR="007921F1">
        <w:t xml:space="preserve">54°30’ N, </w:t>
      </w:r>
      <w:r w:rsidR="004D0D9F">
        <w:t>132°40’ W</w:t>
      </w:r>
      <w:r>
        <w:t>) (</w:t>
      </w:r>
      <w:r w:rsidR="00647EBD">
        <w:t xml:space="preserve">Raring </w:t>
      </w:r>
      <w:r w:rsidR="00647EBD">
        <w:rPr>
          <w:i/>
        </w:rPr>
        <w:t>et al</w:t>
      </w:r>
      <w:r w:rsidR="00647EBD">
        <w:t>.</w:t>
      </w:r>
      <w:r w:rsidR="007921F1">
        <w:t>, 20</w:t>
      </w:r>
      <w:r w:rsidR="00647EBD">
        <w:t>11</w:t>
      </w:r>
      <w:r>
        <w:t xml:space="preserve">). Surveys in the AIs were conducted in 1983, 1986, 1991, 1994, 1997, 2000, 2002, 2004, 2006, 2010, and 2012. Surveys in the GOA were conducted in 1984, 1987, 1990, 1993, 1996, 1999, 2001, 2003, 2005, 2007, 2009, </w:t>
      </w:r>
      <w:r w:rsidR="00D83C91">
        <w:t xml:space="preserve">2011, </w:t>
      </w:r>
      <w:r>
        <w:t>and 201</w:t>
      </w:r>
      <w:r w:rsidR="00D83C91">
        <w:t>3</w:t>
      </w:r>
      <w:r>
        <w:t xml:space="preserve">. </w:t>
      </w:r>
      <w:r w:rsidR="00D83C91">
        <w:t>The</w:t>
      </w:r>
      <w:r>
        <w:t xml:space="preserve"> analysis was restricted to data collected after 1989</w:t>
      </w:r>
      <w:r w:rsidR="00D83C91">
        <w:t xml:space="preserve"> and</w:t>
      </w:r>
      <w:r w:rsidR="00873E88">
        <w:t xml:space="preserve"> </w:t>
      </w:r>
      <w:r w:rsidR="00D83C91">
        <w:t xml:space="preserve">east of 140° W </w:t>
      </w:r>
      <w:r>
        <w:t>because of the lack of standard</w:t>
      </w:r>
      <w:r w:rsidR="00D83C91">
        <w:t>ized</w:t>
      </w:r>
      <w:r>
        <w:t xml:space="preserve"> gear and effort measurements prior to 1990 (Munro and Hoff, 1995) and </w:t>
      </w:r>
      <w:r w:rsidR="00D83C91">
        <w:t>b</w:t>
      </w:r>
      <w:r>
        <w:t>ecause of the Southeast Alaska</w:t>
      </w:r>
      <w:r w:rsidR="00634EE5">
        <w:t xml:space="preserve"> Outside</w:t>
      </w:r>
      <w:r>
        <w:t xml:space="preserve"> Trawl Closure</w:t>
      </w:r>
      <w:r w:rsidR="00A47B1F">
        <w:t>,</w:t>
      </w:r>
      <w:r w:rsidR="00D83C91">
        <w:t xml:space="preserve"> </w:t>
      </w:r>
      <w:r w:rsidR="00A47B1F">
        <w:t xml:space="preserve">respectively </w:t>
      </w:r>
      <w:r w:rsidR="00D83C91">
        <w:t>(Figure</w:t>
      </w:r>
      <w:r w:rsidR="003F5A1F">
        <w:t xml:space="preserve"> </w:t>
      </w:r>
      <w:r w:rsidR="003F5A1F">
        <w:fldChar w:fldCharType="begin"/>
      </w:r>
      <w:r w:rsidR="003F5A1F">
        <w:instrText xml:space="preserve"> REF AlaskaMap \h </w:instrText>
      </w:r>
      <w:r w:rsidR="003F5A1F">
        <w:fldChar w:fldCharType="separate"/>
      </w:r>
      <w:r w:rsidR="00C54509">
        <w:rPr>
          <w:noProof/>
        </w:rPr>
        <w:t>1</w:t>
      </w:r>
      <w:r w:rsidR="003F5A1F">
        <w:fldChar w:fldCharType="end"/>
      </w:r>
      <w:r w:rsidR="00A47B1F">
        <w:t>)</w:t>
      </w:r>
      <w:r>
        <w:t>.</w:t>
      </w:r>
    </w:p>
    <w:p w14:paraId="5634F81D" w14:textId="69D28E81" w:rsidR="00776ADB" w:rsidRDefault="00EF76D7" w:rsidP="00706AC6">
      <w:pPr>
        <w:spacing w:line="240" w:lineRule="auto"/>
        <w:ind w:firstLine="720"/>
      </w:pPr>
      <w:r>
        <w:t xml:space="preserve">Tows of </w:t>
      </w:r>
      <w:r w:rsidR="00954541">
        <w:t>15</w:t>
      </w:r>
      <w:r>
        <w:t xml:space="preserve"> min (estimated on</w:t>
      </w:r>
      <w:r w:rsidR="001137FF">
        <w:t>-</w:t>
      </w:r>
      <w:r>
        <w:t xml:space="preserve">bottom duration) at speeds of </w:t>
      </w:r>
      <w:r w:rsidR="00954541">
        <w:t>3 knots</w:t>
      </w:r>
      <w:r>
        <w:t xml:space="preserve"> were conducted at each sampled station. For each tow, species composition of the catch was determined and </w:t>
      </w:r>
      <w:r w:rsidR="00954541">
        <w:t>species</w:t>
      </w:r>
      <w:r w:rsidR="001137FF">
        <w:t>-</w:t>
      </w:r>
      <w:r w:rsidR="00954541">
        <w:t xml:space="preserve">specific </w:t>
      </w:r>
      <w:r>
        <w:t>catch per unit effort (</w:t>
      </w:r>
      <w:r>
        <w:rPr>
          <w:i/>
        </w:rPr>
        <w:t>CPUE</w:t>
      </w:r>
      <w:r>
        <w:t>) was calculated as the weight of the catch (kg) divided by the area swept (ha) for a given trawl</w:t>
      </w:r>
      <w:r w:rsidR="00545D3E">
        <w:t xml:space="preserve"> (Figure </w:t>
      </w:r>
      <w:r w:rsidR="00545D3E">
        <w:fldChar w:fldCharType="begin"/>
      </w:r>
      <w:r w:rsidR="00545D3E">
        <w:instrText xml:space="preserve"> REF surveyData \h </w:instrText>
      </w:r>
      <w:r w:rsidR="00545D3E">
        <w:fldChar w:fldCharType="separate"/>
      </w:r>
      <w:r w:rsidR="00C54509">
        <w:rPr>
          <w:noProof/>
        </w:rPr>
        <w:t>2</w:t>
      </w:r>
      <w:r w:rsidR="00545D3E">
        <w:fldChar w:fldCharType="end"/>
      </w:r>
      <w:r w:rsidR="00545D3E">
        <w:t>)</w:t>
      </w:r>
      <w:r>
        <w:t xml:space="preserve">. </w:t>
      </w:r>
      <w:r w:rsidR="00954541">
        <w:t xml:space="preserve">Global positioning (GPS) locations </w:t>
      </w:r>
      <w:r w:rsidR="008C7588">
        <w:t>for each trawl were projected using the Albers equal-area conic projection, an equal area map projection.</w:t>
      </w:r>
    </w:p>
    <w:p w14:paraId="491F5D55" w14:textId="77777777" w:rsidR="001B5174" w:rsidRDefault="001B5174" w:rsidP="00C06806">
      <w:pPr>
        <w:pStyle w:val="Heading2"/>
      </w:pPr>
      <w:r>
        <w:t>Spatial fields</w:t>
      </w:r>
    </w:p>
    <w:p w14:paraId="534C55D4" w14:textId="77777777" w:rsidR="001B5174" w:rsidRDefault="001B5174" w:rsidP="00127A23">
      <w:pPr>
        <w:spacing w:line="240" w:lineRule="auto"/>
      </w:pPr>
      <w:r>
        <w:t>Spatial data were defined as realizations of a stochastic process indexed by space</w:t>
      </w:r>
    </w:p>
    <w:p w14:paraId="32857896" w14:textId="77777777" w:rsidR="001B5174" w:rsidRDefault="001B5174" w:rsidP="00706AC6">
      <w:pPr>
        <w:spacing w:line="240" w:lineRule="auto"/>
        <w:jc w:val="right"/>
        <w:rPr>
          <w:rFonts w:eastAsiaTheme="minorEastAsia"/>
        </w:rPr>
      </w:pP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s∈</m:t>
            </m:r>
            <m:r>
              <m:rPr>
                <m:scr m:val="script"/>
              </m:rPr>
              <w:rPr>
                <w:rFonts w:ascii="Cambria Math" w:hAnsi="Cambria Math"/>
              </w:rPr>
              <m:t>D</m:t>
            </m:r>
          </m:e>
        </m:d>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C54509">
        <w:rPr>
          <w:rFonts w:eastAsiaTheme="minorEastAsia"/>
          <w:noProof/>
        </w:rPr>
        <w:t>1</w:t>
      </w:r>
      <w:r>
        <w:rPr>
          <w:rFonts w:eastAsiaTheme="minorEastAsia"/>
        </w:rPr>
        <w:fldChar w:fldCharType="end"/>
      </w:r>
    </w:p>
    <w:p w14:paraId="20692A40" w14:textId="144E4F84" w:rsidR="008A4F1F" w:rsidRDefault="003A6D3C" w:rsidP="008A4F1F">
      <w:pPr>
        <w:spacing w:line="240" w:lineRule="auto"/>
        <w:rPr>
          <w:rFonts w:ascii="Cambria Math" w:eastAsiaTheme="minorEastAsia" w:hAnsi="Cambria Math" w:cs="Cambria Math"/>
        </w:rPr>
      </w:pPr>
      <w:r>
        <w:t>where</w:t>
      </w:r>
      <w:r w:rsidR="007C33C4">
        <w:t xml:space="preserve"> the domain</w:t>
      </w:r>
      <w:r w:rsidR="003B4407">
        <w:t xml:space="preserve">, </w:t>
      </w:r>
      <w:r w:rsidR="002A1CF0">
        <w:t>Ɗ</w:t>
      </w:r>
      <w:r w:rsidR="003B4407">
        <w:t>,</w:t>
      </w:r>
      <w:r w:rsidR="002A1CF0">
        <w:t xml:space="preserve"> </w:t>
      </w:r>
      <w:r w:rsidR="000E5FCD">
        <w:t xml:space="preserve">is a fixed subset of </w:t>
      </w:r>
      <w:proofErr w:type="spellStart"/>
      <w:r w:rsidR="000E5FCD" w:rsidRPr="000E5FCD">
        <w:rPr>
          <w:rFonts w:ascii="Cambria Math" w:hAnsi="Cambria Math" w:cs="Cambria Math"/>
        </w:rPr>
        <w:t>ℝ</w:t>
      </w:r>
      <w:r w:rsidR="000E5FCD">
        <w:rPr>
          <w:rFonts w:ascii="Cambria Math" w:hAnsi="Cambria Math" w:cs="Cambria Math"/>
          <w:vertAlign w:val="superscript"/>
        </w:rPr>
        <w:t>d</w:t>
      </w:r>
      <w:proofErr w:type="spellEnd"/>
      <w:r w:rsidR="000E5FCD">
        <w:rPr>
          <w:rFonts w:ascii="Cambria Math" w:hAnsi="Cambria Math" w:cs="Cambria Math"/>
        </w:rPr>
        <w:t xml:space="preserve"> (here d = 2)</w:t>
      </w:r>
      <w:r w:rsidR="007C33C4">
        <w:rPr>
          <w:rFonts w:ascii="Cambria Math" w:hAnsi="Cambria Math" w:cs="Cambria Math"/>
        </w:rPr>
        <w:t xml:space="preserve"> and the set</w:t>
      </w:r>
      <w:r w:rsidR="003B4407">
        <w:rPr>
          <w:rFonts w:ascii="Cambria Math" w:hAnsi="Cambria Math" w:cs="Cambria Math"/>
        </w:rPr>
        <w:t xml:space="preserve">, </w:t>
      </w:r>
      <w:r w:rsidR="007C33C4">
        <w:rPr>
          <w:rFonts w:ascii="Cambria Math" w:hAnsi="Cambria Math" w:cs="Cambria Math"/>
          <w:i/>
        </w:rPr>
        <w:t>s</w:t>
      </w:r>
      <w:r w:rsidR="007C33C4">
        <w:rPr>
          <w:rFonts w:ascii="Cambria Math" w:hAnsi="Cambria Math" w:cs="Cambria Math"/>
        </w:rPr>
        <w:t xml:space="preserve"> </w:t>
      </w:r>
      <m:oMath>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1</m:t>
                </m:r>
              </m:sub>
            </m:sSub>
            <m:r>
              <w:rPr>
                <w:rFonts w:ascii="Cambria Math" w:eastAsiaTheme="minorEastAsia" w:hAnsi="Cambria Math" w:cs="Cambria Math"/>
              </w:rPr>
              <m:t xml:space="preserve">, …, </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n</m:t>
                </m:r>
              </m:sub>
            </m:sSub>
          </m:e>
        </m:d>
      </m:oMath>
      <w:r w:rsidR="003B4407">
        <w:rPr>
          <w:rFonts w:ascii="Cambria Math" w:eastAsiaTheme="minorEastAsia" w:hAnsi="Cambria Math" w:cs="Cambria Math"/>
        </w:rPr>
        <w:t xml:space="preserve">, </w:t>
      </w:r>
      <w:r w:rsidR="007C33C4">
        <w:rPr>
          <w:rFonts w:ascii="Cambria Math" w:hAnsi="Cambria Math" w:cs="Cambria Math"/>
        </w:rPr>
        <w:t>indicates the spatial units at which the measurements were taken</w:t>
      </w:r>
      <w:r w:rsidR="002A1CF0">
        <w:rPr>
          <w:rFonts w:ascii="Cambria Math" w:hAnsi="Cambria Math" w:cs="Cambria Math"/>
        </w:rPr>
        <w:t xml:space="preserve">. The data </w:t>
      </w:r>
      <m:oMath>
        <m:r>
          <w:rPr>
            <w:rFonts w:ascii="Cambria Math" w:hAnsi="Cambria Math" w:cs="Cambria Math"/>
          </w:rPr>
          <m:t xml:space="preserve">y= </m:t>
        </m:r>
        <m:d>
          <m:dPr>
            <m:begChr m:val="{"/>
            <m:endChr m:val="}"/>
            <m:ctrlPr>
              <w:rPr>
                <w:rFonts w:ascii="Cambria Math" w:hAnsi="Cambria Math" w:cs="Cambria Math"/>
                <w:i/>
              </w:rPr>
            </m:ctrlPr>
          </m:dPr>
          <m:e>
            <m:r>
              <w:rPr>
                <w:rFonts w:ascii="Cambria Math" w:hAnsi="Cambria Math" w:cs="Cambria Math"/>
              </w:rPr>
              <m:t>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e>
            </m:d>
            <m:r>
              <w:rPr>
                <w:rFonts w:ascii="Cambria Math" w:hAnsi="Cambria Math" w:cs="Cambria Math"/>
              </w:rPr>
              <m:t>, …,  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n</m:t>
                    </m:r>
                  </m:sub>
                </m:sSub>
              </m:e>
            </m:d>
          </m:e>
        </m:d>
      </m:oMath>
      <w:r w:rsidR="00D81D1B">
        <w:rPr>
          <w:rFonts w:ascii="Cambria Math" w:hAnsi="Cambria Math" w:cs="Cambria Math"/>
        </w:rPr>
        <w:t xml:space="preserve"> </w:t>
      </w:r>
      <w:r w:rsidR="007C33C4">
        <w:rPr>
          <w:rFonts w:ascii="Cambria Math" w:hAnsi="Cambria Math" w:cs="Cambria Math"/>
        </w:rPr>
        <w:t>were</w:t>
      </w:r>
      <w:r w:rsidR="002A1CF0">
        <w:rPr>
          <w:rFonts w:ascii="Cambria Math" w:hAnsi="Cambria Math" w:cs="Cambria Math"/>
        </w:rPr>
        <w:t xml:space="preserve"> </w:t>
      </w:r>
      <w:r w:rsidR="007C33C4">
        <w:rPr>
          <w:rFonts w:ascii="Cambria Math" w:hAnsi="Cambria Math" w:cs="Cambria Math"/>
        </w:rPr>
        <w:t>p</w:t>
      </w:r>
      <w:r w:rsidR="0013507E">
        <w:rPr>
          <w:rFonts w:ascii="Cambria Math" w:hAnsi="Cambria Math" w:cs="Cambria Math"/>
        </w:rPr>
        <w:t>oint-</w:t>
      </w:r>
      <w:r w:rsidR="007C33C4">
        <w:rPr>
          <w:rFonts w:ascii="Cambria Math" w:hAnsi="Cambria Math" w:cs="Cambria Math"/>
        </w:rPr>
        <w:t xml:space="preserve">referenced </w:t>
      </w:r>
      <w:r w:rsidR="007C33C4">
        <w:rPr>
          <w:rFonts w:ascii="Cambria Math" w:eastAsiaTheme="minorEastAsia" w:hAnsi="Cambria Math" w:cs="Cambria Math"/>
        </w:rPr>
        <w:t>n</w:t>
      </w:r>
      <w:commentRangeStart w:id="7"/>
      <w:r w:rsidR="007C33C4">
        <w:rPr>
          <w:rFonts w:ascii="Cambria Math" w:eastAsiaTheme="minorEastAsia" w:hAnsi="Cambria Math" w:cs="Cambria Math"/>
        </w:rPr>
        <w:t xml:space="preserve">onzero </w:t>
      </w:r>
      <w:r w:rsidR="007C33C4">
        <w:rPr>
          <w:rFonts w:ascii="Cambria Math" w:eastAsiaTheme="minorEastAsia" w:hAnsi="Cambria Math" w:cs="Cambria Math"/>
          <w:i/>
        </w:rPr>
        <w:t>CPUE</w:t>
      </w:r>
      <w:r w:rsidR="007C33C4">
        <w:rPr>
          <w:rFonts w:ascii="Cambria Math" w:eastAsiaTheme="minorEastAsia" w:hAnsi="Cambria Math" w:cs="Cambria Math"/>
        </w:rPr>
        <w:t xml:space="preserve"> measurements</w:t>
      </w:r>
      <w:commentRangeEnd w:id="7"/>
      <w:r w:rsidR="007C33C4">
        <w:rPr>
          <w:rStyle w:val="CommentReference"/>
        </w:rPr>
        <w:commentReference w:id="7"/>
      </w:r>
      <w:r w:rsidR="007C33C4">
        <w:rPr>
          <w:rFonts w:ascii="Cambria Math" w:eastAsiaTheme="minorEastAsia" w:hAnsi="Cambria Math" w:cs="Cambria Math"/>
        </w:rPr>
        <w:t xml:space="preserve"> </w:t>
      </w:r>
      <w:r w:rsidR="002A1CF0">
        <w:rPr>
          <w:rFonts w:ascii="Cambria Math" w:hAnsi="Cambria Math" w:cs="Cambria Math"/>
        </w:rPr>
        <w:t>of a continuous random</w:t>
      </w:r>
      <w:r w:rsidR="007C33C4">
        <w:rPr>
          <w:rFonts w:ascii="Cambria Math" w:hAnsi="Cambria Math" w:cs="Cambria Math"/>
        </w:rPr>
        <w:t xml:space="preserve"> process,</w:t>
      </w:r>
      <w:r w:rsidR="00F7653E">
        <w:rPr>
          <w:rFonts w:ascii="Cambria Math" w:eastAsiaTheme="minorEastAsia" w:hAnsi="Cambria Math" w:cs="Cambria Math"/>
        </w:rPr>
        <w:t xml:space="preserve"> modelled using </w:t>
      </w:r>
      <w:r w:rsidR="000548E2">
        <w:rPr>
          <w:rFonts w:ascii="Cambria Math" w:eastAsiaTheme="minorEastAsia" w:hAnsi="Cambria Math" w:cs="Cambria Math"/>
        </w:rPr>
        <w:t>the</w:t>
      </w:r>
      <w:r w:rsidR="00F7653E">
        <w:rPr>
          <w:rFonts w:ascii="Cambria Math" w:eastAsiaTheme="minorEastAsia" w:hAnsi="Cambria Math" w:cs="Cambria Math"/>
        </w:rPr>
        <w:t xml:space="preserve"> stochastic partial differential equation (SPDE) approach proposed by Lindgren </w:t>
      </w:r>
      <w:r w:rsidR="00F7653E">
        <w:rPr>
          <w:rFonts w:ascii="Cambria Math" w:eastAsiaTheme="minorEastAsia" w:hAnsi="Cambria Math" w:cs="Cambria Math"/>
          <w:i/>
        </w:rPr>
        <w:t>et al</w:t>
      </w:r>
      <w:r w:rsidR="00F7653E">
        <w:rPr>
          <w:rFonts w:ascii="Cambria Math" w:eastAsiaTheme="minorEastAsia" w:hAnsi="Cambria Math" w:cs="Cambria Math"/>
        </w:rPr>
        <w:t>. (2011)</w:t>
      </w:r>
      <w:r w:rsidR="007A4D35">
        <w:rPr>
          <w:rFonts w:ascii="Cambria Math" w:eastAsiaTheme="minorEastAsia" w:hAnsi="Cambria Math" w:cs="Cambria Math"/>
        </w:rPr>
        <w:t xml:space="preserve">. </w:t>
      </w:r>
      <w:r w:rsidR="0013507E">
        <w:rPr>
          <w:rFonts w:ascii="Cambria Math" w:eastAsiaTheme="minorEastAsia" w:hAnsi="Cambria Math" w:cs="Cambria Math"/>
        </w:rPr>
        <w:t xml:space="preserve">SPDEs </w:t>
      </w:r>
      <w:r w:rsidR="003B4407">
        <w:rPr>
          <w:rFonts w:ascii="Cambria Math" w:eastAsiaTheme="minorEastAsia" w:hAnsi="Cambria Math" w:cs="Cambria Math"/>
        </w:rPr>
        <w:t xml:space="preserve">use sparse covariance matrices, </w:t>
      </w:r>
      <w:r w:rsidR="00490151">
        <w:rPr>
          <w:rFonts w:ascii="Cambria Math" w:eastAsiaTheme="minorEastAsia" w:hAnsi="Cambria Math" w:cs="Cambria Math"/>
        </w:rPr>
        <w:t xml:space="preserve">which facilitate </w:t>
      </w:r>
      <w:r w:rsidR="0013507E">
        <w:rPr>
          <w:rFonts w:ascii="Cambria Math" w:eastAsiaTheme="minorEastAsia" w:hAnsi="Cambria Math" w:cs="Cambria Math"/>
        </w:rPr>
        <w:t xml:space="preserve">modeling space as a continuous process without the </w:t>
      </w:r>
      <w:r w:rsidR="003B4407">
        <w:rPr>
          <w:rFonts w:ascii="Cambria Math" w:eastAsiaTheme="minorEastAsia" w:hAnsi="Cambria Math" w:cs="Cambria Math"/>
        </w:rPr>
        <w:t>“</w:t>
      </w:r>
      <w:r w:rsidR="0013507E">
        <w:rPr>
          <w:rFonts w:ascii="Cambria Math" w:eastAsiaTheme="minorEastAsia" w:hAnsi="Cambria Math" w:cs="Cambria Math"/>
        </w:rPr>
        <w:t xml:space="preserve">big </w:t>
      </w:r>
      <w:r w:rsidR="003B4407">
        <w:rPr>
          <w:rFonts w:ascii="Cambria Math" w:eastAsiaTheme="minorEastAsia" w:hAnsi="Cambria Math" w:cs="Cambria Math"/>
          <w:i/>
        </w:rPr>
        <w:t>n</w:t>
      </w:r>
      <w:r w:rsidR="0013507E">
        <w:rPr>
          <w:rFonts w:ascii="Cambria Math" w:eastAsiaTheme="minorEastAsia" w:hAnsi="Cambria Math" w:cs="Cambria Math"/>
        </w:rPr>
        <w:t xml:space="preserve"> problem</w:t>
      </w:r>
      <w:r w:rsidR="003B4407">
        <w:rPr>
          <w:rFonts w:ascii="Cambria Math" w:eastAsiaTheme="minorEastAsia" w:hAnsi="Cambria Math" w:cs="Cambria Math"/>
        </w:rPr>
        <w:t>” (</w:t>
      </w:r>
      <w:proofErr w:type="spellStart"/>
      <w:r w:rsidR="003B4407">
        <w:t>Jona-Lasinio</w:t>
      </w:r>
      <w:proofErr w:type="spellEnd"/>
      <w:r w:rsidR="003B4407">
        <w:rPr>
          <w:rFonts w:ascii="Cambria Math" w:eastAsiaTheme="minorEastAsia" w:hAnsi="Cambria Math" w:cs="Cambria Math"/>
          <w:i/>
        </w:rPr>
        <w:t xml:space="preserve"> et al</w:t>
      </w:r>
      <w:r w:rsidR="003B4407">
        <w:rPr>
          <w:rFonts w:ascii="Cambria Math" w:eastAsiaTheme="minorEastAsia" w:hAnsi="Cambria Math" w:cs="Cambria Math"/>
        </w:rPr>
        <w:t xml:space="preserve">., 2012; </w:t>
      </w:r>
      <w:r w:rsidR="003B4407">
        <w:rPr>
          <w:rFonts w:ascii="Cambria Math" w:eastAsiaTheme="minorEastAsia" w:hAnsi="Cambria Math" w:cs="Cambria Math"/>
          <w:i/>
        </w:rPr>
        <w:t>et al</w:t>
      </w:r>
      <w:r w:rsidR="003B4407">
        <w:rPr>
          <w:rFonts w:ascii="Cambria Math" w:eastAsiaTheme="minorEastAsia" w:hAnsi="Cambria Math" w:cs="Cambria Math"/>
        </w:rPr>
        <w:t xml:space="preserve">., 2012; Banerjee </w:t>
      </w:r>
      <w:r w:rsidR="003B4407">
        <w:rPr>
          <w:rFonts w:ascii="Cambria Math" w:eastAsiaTheme="minorEastAsia" w:hAnsi="Cambria Math" w:cs="Cambria Math"/>
          <w:i/>
        </w:rPr>
        <w:t>et al</w:t>
      </w:r>
      <w:r w:rsidR="003B4407">
        <w:rPr>
          <w:rFonts w:ascii="Cambria Math" w:eastAsiaTheme="minorEastAsia" w:hAnsi="Cambria Math" w:cs="Cambria Math"/>
        </w:rPr>
        <w:t>., 2004) caused by dense covariance matrices.</w:t>
      </w:r>
    </w:p>
    <w:p w14:paraId="3225B817" w14:textId="77777777" w:rsidR="008A4F1F" w:rsidRDefault="008A4F1F" w:rsidP="008A4F1F">
      <w:pPr>
        <w:spacing w:line="240" w:lineRule="auto"/>
        <w:ind w:firstLine="720"/>
        <w:rPr>
          <w:rFonts w:ascii="Cambria Math" w:eastAsiaTheme="minorEastAsia" w:hAnsi="Cambria Math" w:cs="Cambria Math"/>
        </w:rPr>
      </w:pPr>
      <w:commentRangeStart w:id="8"/>
      <w:r>
        <w:rPr>
          <w:rFonts w:ascii="Cambria Math" w:eastAsiaTheme="minorEastAsia" w:hAnsi="Cambria Math" w:cs="Cambria Math"/>
        </w:rPr>
        <w:t>Assuming that</w:t>
      </w:r>
      <w:commentRangeEnd w:id="8"/>
      <w:r w:rsidR="000548E2">
        <w:rPr>
          <w:rStyle w:val="CommentReference"/>
        </w:rPr>
        <w:commentReference w:id="8"/>
      </w:r>
    </w:p>
    <w:p w14:paraId="2D99AC78" w14:textId="07734DA1" w:rsidR="008A4F1F" w:rsidRPr="008A4F1F" w:rsidRDefault="00461842" w:rsidP="008A4F1F">
      <w:pPr>
        <w:spacing w:line="240" w:lineRule="auto"/>
        <w:jc w:val="right"/>
        <w:rPr>
          <w:rFonts w:ascii="Cambria Math" w:eastAsiaTheme="minorEastAsia" w:hAnsi="Cambria Math" w:cs="Cambria Math"/>
        </w:rPr>
      </w:pP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 N(</m:t>
        </m:r>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m:t>
        </m:r>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e</m:t>
            </m:r>
          </m:sub>
          <m:sup>
            <m:r>
              <w:rPr>
                <w:rFonts w:ascii="Cambria Math" w:eastAsiaTheme="minorEastAsia" w:hAnsi="Cambria Math" w:cs="Cambria Math"/>
              </w:rPr>
              <m:t>2</m:t>
            </m:r>
          </m:sup>
        </m:sSubSup>
        <m:r>
          <w:rPr>
            <w:rFonts w:ascii="Cambria Math" w:eastAsiaTheme="minorEastAsia" w:hAnsi="Cambria Math" w:cs="Cambria Math"/>
          </w:rPr>
          <m:t>)</m:t>
        </m:r>
      </m:oMath>
      <w:r w:rsidR="00D6465C">
        <w:rPr>
          <w:rFonts w:ascii="Cambria Math" w:eastAsiaTheme="minorEastAsia" w:hAnsi="Cambria Math" w:cs="Cambria Math"/>
        </w:rPr>
        <w:t>,</w:t>
      </w:r>
      <w:r w:rsidR="008A4F1F">
        <w:rPr>
          <w:rFonts w:ascii="Cambria Math" w:eastAsiaTheme="minorEastAsia" w:hAnsi="Cambria Math" w:cs="Cambria Math"/>
        </w:rPr>
        <w:tab/>
      </w:r>
      <w:r w:rsidR="00D6465C">
        <w:rPr>
          <w:rFonts w:ascii="Cambria Math" w:eastAsiaTheme="minorEastAsia" w:hAnsi="Cambria Math" w:cs="Cambria Math"/>
        </w:rPr>
        <w:tab/>
      </w:r>
      <w:r w:rsidR="00D6465C">
        <w:rPr>
          <w:rFonts w:ascii="Cambria Math" w:eastAsiaTheme="minorEastAsia" w:hAnsi="Cambria Math" w:cs="Cambria Math"/>
        </w:rPr>
        <w:tab/>
      </w:r>
      <w:r w:rsidR="00D6465C">
        <w:rPr>
          <w:rFonts w:ascii="Cambria Math" w:eastAsiaTheme="minorEastAsia" w:hAnsi="Cambria Math" w:cs="Cambria Math"/>
        </w:rPr>
        <w:tab/>
      </w:r>
      <w:r w:rsidR="008A4F1F">
        <w:rPr>
          <w:rFonts w:ascii="Cambria Math" w:eastAsiaTheme="minorEastAsia" w:hAnsi="Cambria Math" w:cs="Cambria Math"/>
        </w:rPr>
        <w:tab/>
        <w:t xml:space="preserve">Eq. </w:t>
      </w:r>
      <w:r w:rsidR="008A4F1F">
        <w:rPr>
          <w:rFonts w:ascii="Cambria Math" w:eastAsiaTheme="minorEastAsia" w:hAnsi="Cambria Math" w:cs="Cambria Math"/>
        </w:rPr>
        <w:fldChar w:fldCharType="begin"/>
      </w:r>
      <w:r w:rsidR="008A4F1F">
        <w:rPr>
          <w:rFonts w:ascii="Cambria Math" w:eastAsiaTheme="minorEastAsia" w:hAnsi="Cambria Math" w:cs="Cambria Math"/>
        </w:rPr>
        <w:instrText xml:space="preserve"> SEQ Eq \* MERGEFORMAT </w:instrText>
      </w:r>
      <w:r w:rsidR="008A4F1F">
        <w:rPr>
          <w:rFonts w:ascii="Cambria Math" w:eastAsiaTheme="minorEastAsia" w:hAnsi="Cambria Math" w:cs="Cambria Math"/>
        </w:rPr>
        <w:fldChar w:fldCharType="separate"/>
      </w:r>
      <w:r w:rsidR="00C54509">
        <w:rPr>
          <w:rFonts w:ascii="Cambria Math" w:eastAsiaTheme="minorEastAsia" w:hAnsi="Cambria Math" w:cs="Cambria Math"/>
          <w:noProof/>
        </w:rPr>
        <w:t>2</w:t>
      </w:r>
      <w:r w:rsidR="008A4F1F">
        <w:rPr>
          <w:rFonts w:ascii="Cambria Math" w:eastAsiaTheme="minorEastAsia" w:hAnsi="Cambria Math" w:cs="Cambria Math"/>
        </w:rPr>
        <w:fldChar w:fldCharType="end"/>
      </w:r>
    </w:p>
    <w:p w14:paraId="539ADF7B" w14:textId="410BDD79" w:rsidR="00D6465C" w:rsidRDefault="00D6465C" w:rsidP="008A4F1F">
      <w:pPr>
        <w:spacing w:line="240" w:lineRule="auto"/>
        <w:rPr>
          <w:rFonts w:ascii="Cambria Math" w:eastAsiaTheme="minorEastAsia" w:hAnsi="Cambria Math" w:cs="Cambria Math"/>
        </w:rPr>
      </w:pPr>
      <w:r>
        <w:rPr>
          <w:rFonts w:ascii="Cambria Math" w:eastAsiaTheme="minorEastAsia" w:hAnsi="Cambria Math" w:cs="Cambria Math"/>
        </w:rPr>
        <w:t xml:space="preserve">where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e</m:t>
            </m:r>
          </m:sub>
          <m:sup>
            <m:r>
              <w:rPr>
                <w:rFonts w:ascii="Cambria Math" w:eastAsiaTheme="minorEastAsia" w:hAnsi="Cambria Math" w:cs="Cambria Math"/>
              </w:rPr>
              <m:t>2</m:t>
            </m:r>
          </m:sup>
        </m:sSubSup>
      </m:oMath>
      <w:r>
        <w:rPr>
          <w:rFonts w:ascii="Cambria Math" w:eastAsiaTheme="minorEastAsia" w:hAnsi="Cambria Math" w:cs="Cambria Math"/>
        </w:rPr>
        <w:t xml:space="preserve"> is the variance of the mean measurement error</w:t>
      </w:r>
      <w:r w:rsidR="000548E2">
        <w:rPr>
          <w:rFonts w:ascii="Cambria Math" w:eastAsiaTheme="minorEastAsia" w:hAnsi="Cambria Math" w:cs="Cambria Math"/>
        </w:rPr>
        <w:t>,</w:t>
      </w:r>
      <w:r w:rsidR="00793E41">
        <w:rPr>
          <w:rFonts w:ascii="Cambria Math" w:eastAsiaTheme="minorEastAsia" w:hAnsi="Cambria Math" w:cs="Cambria Math"/>
        </w:rPr>
        <w:t xml:space="preserve"> or nugget effect</w:t>
      </w:r>
      <w:r w:rsidR="000548E2">
        <w:rPr>
          <w:rFonts w:ascii="Cambria Math" w:eastAsiaTheme="minorEastAsia" w:hAnsi="Cambria Math" w:cs="Cambria Math"/>
        </w:rPr>
        <w:t>,</w:t>
      </w:r>
      <w:r w:rsidR="00793E41">
        <w:rPr>
          <w:rFonts w:ascii="Cambria Math" w:eastAsiaTheme="minorEastAsia" w:hAnsi="Cambria Math" w:cs="Cambria Math"/>
        </w:rPr>
        <w:t xml:space="preserve"> and </w:t>
      </w:r>
      <m:oMath>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00793E41">
        <w:rPr>
          <w:rFonts w:ascii="Cambria Math" w:eastAsiaTheme="minorEastAsia" w:hAnsi="Cambria Math" w:cs="Cambria Math"/>
        </w:rPr>
        <w:t xml:space="preserve"> is the mean response</w:t>
      </w:r>
    </w:p>
    <w:p w14:paraId="7FA12738" w14:textId="615C5078" w:rsidR="00D6465C" w:rsidRDefault="00461842" w:rsidP="00793E41">
      <w:pPr>
        <w:spacing w:line="240" w:lineRule="auto"/>
        <w:jc w:val="right"/>
        <w:rPr>
          <w:rFonts w:ascii="Cambria Math" w:eastAsiaTheme="minorEastAsia" w:hAnsi="Cambria Math" w:cs="Cambria Math"/>
        </w:rPr>
      </w:pPr>
      <m:oMath>
        <m:sSub>
          <m:sSubPr>
            <m:ctrlPr>
              <w:rPr>
                <w:rFonts w:ascii="Cambria Math" w:eastAsiaTheme="minorEastAsia" w:hAnsi="Cambria Math" w:cs="Cambria Math"/>
                <w:i/>
              </w:rPr>
            </m:ctrlPr>
          </m:sSubPr>
          <m:e>
            <m:r>
              <w:rPr>
                <w:rFonts w:ascii="Cambria Math" w:eastAsiaTheme="minorEastAsia" w:hAnsi="Cambria Math" w:cs="Cambria Math"/>
              </w:rPr>
              <m:t>η</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eastAsiaTheme="minorEastAsia" w:hAnsi="Cambria Math" w:cs="Cambria Math"/>
          </w:rPr>
          <m:t xml:space="preserve">= α+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m=1</m:t>
            </m:r>
          </m:sub>
          <m:sup>
            <m:r>
              <w:rPr>
                <w:rFonts w:ascii="Cambria Math" w:eastAsiaTheme="minorEastAsia" w:hAnsi="Cambria Math" w:cs="Cambria Math"/>
              </w:rPr>
              <m:t>M</m:t>
            </m:r>
          </m:sup>
          <m:e>
            <m:sSub>
              <m:sSubPr>
                <m:ctrlPr>
                  <w:rPr>
                    <w:rFonts w:ascii="Cambria Math" w:eastAsiaTheme="minorEastAsia" w:hAnsi="Cambria Math" w:cs="Cambria Math"/>
                    <w:i/>
                  </w:rPr>
                </m:ctrlPr>
              </m:sSubPr>
              <m:e>
                <m:r>
                  <w:rPr>
                    <w:rFonts w:ascii="Cambria Math" w:eastAsiaTheme="minorEastAsia" w:hAnsi="Cambria Math" w:cs="Cambria Math"/>
                  </w:rPr>
                  <m:t>β</m:t>
                </m:r>
              </m:e>
              <m:sub>
                <m:r>
                  <w:rPr>
                    <w:rFonts w:ascii="Cambria Math" w:eastAsiaTheme="minorEastAsia" w:hAnsi="Cambria Math" w:cs="Cambria Math"/>
                  </w:rPr>
                  <m:t>m</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m</m:t>
                </m:r>
                <m:sSub>
                  <m:sSubPr>
                    <m:ctrlPr>
                      <w:rPr>
                        <w:rFonts w:ascii="Cambria Math" w:hAnsi="Cambria Math"/>
                        <w:i/>
                      </w:rPr>
                    </m:ctrlPr>
                  </m:sSubPr>
                  <m:e>
                    <m:r>
                      <w:rPr>
                        <w:rFonts w:ascii="Cambria Math" w:hAnsi="Cambria Math"/>
                      </w:rPr>
                      <m:t>s</m:t>
                    </m:r>
                  </m:e>
                  <m:sub>
                    <m:r>
                      <w:rPr>
                        <w:rFonts w:ascii="Cambria Math" w:hAnsi="Cambria Math"/>
                      </w:rPr>
                      <m:t>i</m:t>
                    </m:r>
                  </m:sub>
                </m:sSub>
              </m:sub>
            </m:sSub>
          </m:e>
        </m:nary>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ξ</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00793E41">
        <w:rPr>
          <w:rFonts w:ascii="Cambria Math" w:eastAsiaTheme="minorEastAsia" w:hAnsi="Cambria Math" w:cs="Cambria Math"/>
        </w:rPr>
        <w:t xml:space="preserve">, </w:t>
      </w:r>
      <w:r w:rsidR="00793E41">
        <w:rPr>
          <w:rFonts w:ascii="Cambria Math" w:eastAsiaTheme="minorEastAsia" w:hAnsi="Cambria Math" w:cs="Cambria Math"/>
        </w:rPr>
        <w:tab/>
      </w:r>
      <w:r w:rsidR="00793E41">
        <w:rPr>
          <w:rFonts w:ascii="Cambria Math" w:eastAsiaTheme="minorEastAsia" w:hAnsi="Cambria Math" w:cs="Cambria Math"/>
        </w:rPr>
        <w:tab/>
      </w:r>
      <w:r w:rsidR="00793E41">
        <w:rPr>
          <w:rFonts w:ascii="Cambria Math" w:eastAsiaTheme="minorEastAsia" w:hAnsi="Cambria Math" w:cs="Cambria Math"/>
        </w:rPr>
        <w:tab/>
        <w:t xml:space="preserve">Eq. </w:t>
      </w:r>
      <w:r w:rsidR="00793E41">
        <w:rPr>
          <w:rFonts w:ascii="Cambria Math" w:eastAsiaTheme="minorEastAsia" w:hAnsi="Cambria Math" w:cs="Cambria Math"/>
        </w:rPr>
        <w:fldChar w:fldCharType="begin"/>
      </w:r>
      <w:r w:rsidR="00793E41">
        <w:rPr>
          <w:rFonts w:ascii="Cambria Math" w:eastAsiaTheme="minorEastAsia" w:hAnsi="Cambria Math" w:cs="Cambria Math"/>
        </w:rPr>
        <w:instrText xml:space="preserve"> SEQ Eq \* MERGEFORMAT </w:instrText>
      </w:r>
      <w:r w:rsidR="00793E41">
        <w:rPr>
          <w:rFonts w:ascii="Cambria Math" w:eastAsiaTheme="minorEastAsia" w:hAnsi="Cambria Math" w:cs="Cambria Math"/>
        </w:rPr>
        <w:fldChar w:fldCharType="separate"/>
      </w:r>
      <w:r w:rsidR="00C54509">
        <w:rPr>
          <w:rFonts w:ascii="Cambria Math" w:eastAsiaTheme="minorEastAsia" w:hAnsi="Cambria Math" w:cs="Cambria Math"/>
          <w:noProof/>
        </w:rPr>
        <w:t>3</w:t>
      </w:r>
      <w:r w:rsidR="00793E41">
        <w:rPr>
          <w:rFonts w:ascii="Cambria Math" w:eastAsiaTheme="minorEastAsia" w:hAnsi="Cambria Math" w:cs="Cambria Math"/>
        </w:rPr>
        <w:fldChar w:fldCharType="end"/>
      </w:r>
    </w:p>
    <w:p w14:paraId="62FC2A83" w14:textId="77777777" w:rsidR="008A0AE5" w:rsidRDefault="00793E41" w:rsidP="008A4F1F">
      <w:pPr>
        <w:spacing w:line="240" w:lineRule="auto"/>
        <w:rPr>
          <w:rFonts w:ascii="Cambria Math" w:eastAsiaTheme="minorEastAsia" w:hAnsi="Cambria Math" w:cs="Cambria Math"/>
        </w:rPr>
      </w:pPr>
      <w:r>
        <w:rPr>
          <w:rFonts w:ascii="Cambria Math" w:eastAsiaTheme="minorEastAsia" w:hAnsi="Cambria Math" w:cs="Cambria Math"/>
        </w:rPr>
        <w:t xml:space="preserve">where </w:t>
      </w:r>
      <m:oMath>
        <m:r>
          <w:rPr>
            <w:rFonts w:ascii="Cambria Math" w:eastAsiaTheme="minorEastAsia" w:hAnsi="Cambria Math" w:cs="Cambria Math"/>
          </w:rPr>
          <m:t xml:space="preserve">α+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m=1</m:t>
            </m:r>
          </m:sub>
          <m:sup>
            <m:r>
              <w:rPr>
                <w:rFonts w:ascii="Cambria Math" w:eastAsiaTheme="minorEastAsia" w:hAnsi="Cambria Math" w:cs="Cambria Math"/>
              </w:rPr>
              <m:t>M</m:t>
            </m:r>
          </m:sup>
          <m:e>
            <m:sSub>
              <m:sSubPr>
                <m:ctrlPr>
                  <w:rPr>
                    <w:rFonts w:ascii="Cambria Math" w:eastAsiaTheme="minorEastAsia" w:hAnsi="Cambria Math" w:cs="Cambria Math"/>
                    <w:i/>
                  </w:rPr>
                </m:ctrlPr>
              </m:sSubPr>
              <m:e>
                <m:r>
                  <w:rPr>
                    <w:rFonts w:ascii="Cambria Math" w:eastAsiaTheme="minorEastAsia" w:hAnsi="Cambria Math" w:cs="Cambria Math"/>
                  </w:rPr>
                  <m:t>β</m:t>
                </m:r>
              </m:e>
              <m:sub>
                <m:r>
                  <w:rPr>
                    <w:rFonts w:ascii="Cambria Math" w:eastAsiaTheme="minorEastAsia" w:hAnsi="Cambria Math" w:cs="Cambria Math"/>
                  </w:rPr>
                  <m:t>m</m:t>
                </m:r>
              </m:sub>
            </m:sSub>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m</m:t>
                </m:r>
                <m:sSub>
                  <m:sSubPr>
                    <m:ctrlPr>
                      <w:rPr>
                        <w:rFonts w:ascii="Cambria Math" w:hAnsi="Cambria Math"/>
                        <w:i/>
                      </w:rPr>
                    </m:ctrlPr>
                  </m:sSubPr>
                  <m:e>
                    <m:r>
                      <w:rPr>
                        <w:rFonts w:ascii="Cambria Math" w:hAnsi="Cambria Math"/>
                      </w:rPr>
                      <m:t>s</m:t>
                    </m:r>
                  </m:e>
                  <m:sub>
                    <m:r>
                      <w:rPr>
                        <w:rFonts w:ascii="Cambria Math" w:hAnsi="Cambria Math"/>
                      </w:rPr>
                      <m:t>i</m:t>
                    </m:r>
                  </m:sub>
                </m:sSub>
              </m:sub>
            </m:sSub>
          </m:e>
        </m:nary>
      </m:oMath>
      <w:r>
        <w:rPr>
          <w:rFonts w:ascii="Cambria Math" w:eastAsiaTheme="minorEastAsia" w:hAnsi="Cambria Math" w:cs="Cambria Math"/>
        </w:rPr>
        <w:t xml:space="preserve"> is the large-scale component </w:t>
      </w:r>
      <w:r w:rsidR="00046DEF">
        <w:rPr>
          <w:rFonts w:ascii="Cambria Math" w:eastAsiaTheme="minorEastAsia" w:hAnsi="Cambria Math" w:cs="Cambria Math"/>
        </w:rPr>
        <w:t xml:space="preserve">composed of an intercept, </w:t>
      </w:r>
      <m:oMath>
        <m:r>
          <w:rPr>
            <w:rFonts w:ascii="Cambria Math" w:eastAsiaTheme="minorEastAsia" w:hAnsi="Cambria Math" w:cs="Cambria Math"/>
          </w:rPr>
          <m:t>α</m:t>
        </m:r>
      </m:oMath>
      <w:r w:rsidR="00046DEF">
        <w:rPr>
          <w:rFonts w:ascii="Cambria Math" w:eastAsiaTheme="minorEastAsia" w:hAnsi="Cambria Math" w:cs="Cambria Math"/>
        </w:rPr>
        <w:t xml:space="preserve">, and coefficients </w:t>
      </w:r>
      <m:oMath>
        <m:r>
          <m:rPr>
            <m:sty m:val="b"/>
          </m:rPr>
          <w:rPr>
            <w:rFonts w:ascii="Cambria Math" w:eastAsiaTheme="minorEastAsia" w:hAnsi="Cambria Math" w:cs="Cambria Math"/>
          </w:rPr>
          <m:t>β</m:t>
        </m:r>
        <m:r>
          <m:rPr>
            <m:sty m:val="p"/>
          </m:rPr>
          <w:rPr>
            <w:rFonts w:ascii="Cambria Math" w:eastAsiaTheme="minorEastAsia" w:hAnsi="Cambria Math" w:cs="Cambria Math"/>
          </w:rPr>
          <m:t>=(</m:t>
        </m:r>
        <m:sSub>
          <m:sSubPr>
            <m:ctrlPr>
              <w:rPr>
                <w:rFonts w:ascii="Cambria Math" w:eastAsiaTheme="minorEastAsia" w:hAnsi="Cambria Math" w:cs="Cambria Math"/>
              </w:rPr>
            </m:ctrlPr>
          </m:sSubPr>
          <m:e>
            <m:r>
              <m:rPr>
                <m:sty m:val="p"/>
              </m:rPr>
              <w:rPr>
                <w:rFonts w:ascii="Cambria Math" w:eastAsiaTheme="minorEastAsia" w:hAnsi="Cambria Math" w:cs="Cambria Math"/>
              </w:rPr>
              <m:t>β</m:t>
            </m:r>
          </m:e>
          <m:sub>
            <m:r>
              <w:rPr>
                <w:rFonts w:ascii="Cambria Math" w:eastAsiaTheme="minorEastAsia" w:hAnsi="Cambria Math" w:cs="Cambria Math"/>
              </w:rPr>
              <m:t>1</m:t>
            </m:r>
          </m:sub>
        </m:sSub>
        <m:r>
          <m:rPr>
            <m:sty m:val="p"/>
          </m:rPr>
          <w:rPr>
            <w:rFonts w:ascii="Cambria Math" w:eastAsiaTheme="minorEastAsia" w:hAnsi="Cambria Math" w:cs="Cambria Math"/>
          </w:rPr>
          <m:t xml:space="preserve">, …, </m:t>
        </m:r>
        <m:sSub>
          <m:sSubPr>
            <m:ctrlPr>
              <w:rPr>
                <w:rFonts w:ascii="Cambria Math" w:eastAsiaTheme="minorEastAsia" w:hAnsi="Cambria Math" w:cs="Cambria Math"/>
              </w:rPr>
            </m:ctrlPr>
          </m:sSubPr>
          <m:e>
            <m:r>
              <m:rPr>
                <m:sty m:val="p"/>
              </m:rPr>
              <w:rPr>
                <w:rFonts w:ascii="Cambria Math" w:eastAsiaTheme="minorEastAsia" w:hAnsi="Cambria Math" w:cs="Cambria Math"/>
              </w:rPr>
              <m:t>β</m:t>
            </m:r>
          </m:e>
          <m:sub>
            <m:r>
              <w:rPr>
                <w:rFonts w:ascii="Cambria Math" w:eastAsiaTheme="minorEastAsia" w:hAnsi="Cambria Math" w:cs="Cambria Math"/>
              </w:rPr>
              <m:t>M</m:t>
            </m:r>
          </m:sub>
        </m:sSub>
        <m:r>
          <w:rPr>
            <w:rFonts w:ascii="Cambria Math" w:eastAsiaTheme="minorEastAsia" w:hAnsi="Cambria Math" w:cs="Cambria Math"/>
          </w:rPr>
          <m:t>)</m:t>
        </m:r>
      </m:oMath>
      <w:r w:rsidR="00046DEF">
        <w:rPr>
          <w:rFonts w:ascii="Cambria Math" w:eastAsiaTheme="minorEastAsia" w:hAnsi="Cambria Math" w:cs="Cambria Math"/>
        </w:rPr>
        <w:t xml:space="preserve">, which quantify the effects of the covariates </w:t>
      </w:r>
      <m:oMath>
        <m:r>
          <m:rPr>
            <m:sty m:val="b"/>
          </m:rPr>
          <w:rPr>
            <w:rFonts w:ascii="Cambria Math" w:eastAsiaTheme="minorEastAsia" w:hAnsi="Cambria Math" w:cs="Cambria Math"/>
          </w:rPr>
          <m:t>x</m:t>
        </m:r>
        <m:r>
          <m:rPr>
            <m:sty m:val="p"/>
          </m:rPr>
          <w:rPr>
            <w:rFonts w:ascii="Cambria Math" w:eastAsiaTheme="minorEastAsia" w:hAnsi="Cambria Math" w:cs="Cambria Math"/>
          </w:rPr>
          <m:t>=(</m:t>
        </m:r>
        <m:sSub>
          <m:sSubPr>
            <m:ctrlPr>
              <w:rPr>
                <w:rFonts w:ascii="Cambria Math" w:eastAsiaTheme="minorEastAsia" w:hAnsi="Cambria Math" w:cs="Cambria Math"/>
              </w:rPr>
            </m:ctrlPr>
          </m:sSubPr>
          <m:e>
            <m:r>
              <m:rPr>
                <m:sty m:val="p"/>
              </m:rPr>
              <w:rPr>
                <w:rFonts w:ascii="Cambria Math" w:eastAsiaTheme="minorEastAsia" w:hAnsi="Cambria Math" w:cs="Cambria Math"/>
              </w:rPr>
              <m:t>x</m:t>
            </m:r>
          </m:e>
          <m:sub>
            <m:r>
              <w:rPr>
                <w:rFonts w:ascii="Cambria Math" w:eastAsiaTheme="minorEastAsia" w:hAnsi="Cambria Math" w:cs="Cambria Math"/>
              </w:rPr>
              <m:t>1</m:t>
            </m:r>
          </m:sub>
        </m:sSub>
        <m:r>
          <m:rPr>
            <m:sty m:val="p"/>
          </m:rPr>
          <w:rPr>
            <w:rFonts w:ascii="Cambria Math" w:eastAsiaTheme="minorEastAsia" w:hAnsi="Cambria Math" w:cs="Cambria Math"/>
          </w:rPr>
          <m:t xml:space="preserve">, …, </m:t>
        </m:r>
        <m:sSub>
          <m:sSubPr>
            <m:ctrlPr>
              <w:rPr>
                <w:rFonts w:ascii="Cambria Math" w:eastAsiaTheme="minorEastAsia" w:hAnsi="Cambria Math" w:cs="Cambria Math"/>
              </w:rPr>
            </m:ctrlPr>
          </m:sSubPr>
          <m:e>
            <m:r>
              <w:rPr>
                <w:rFonts w:ascii="Cambria Math" w:eastAsiaTheme="minorEastAsia" w:hAnsi="Cambria Math" w:cs="Cambria Math"/>
              </w:rPr>
              <m:t>x</m:t>
            </m:r>
          </m:e>
          <m:sub>
            <m:r>
              <w:rPr>
                <w:rFonts w:ascii="Cambria Math" w:eastAsiaTheme="minorEastAsia" w:hAnsi="Cambria Math" w:cs="Cambria Math"/>
              </w:rPr>
              <m:t>M</m:t>
            </m:r>
          </m:sub>
        </m:sSub>
        <m:r>
          <w:rPr>
            <w:rFonts w:ascii="Cambria Math" w:eastAsiaTheme="minorEastAsia" w:hAnsi="Cambria Math" w:cs="Cambria Math"/>
          </w:rPr>
          <m:t>)</m:t>
        </m:r>
      </m:oMath>
      <w:r w:rsidR="00046DEF">
        <w:rPr>
          <w:rFonts w:ascii="Cambria Math" w:eastAsiaTheme="minorEastAsia" w:hAnsi="Cambria Math" w:cs="Cambria Math"/>
        </w:rPr>
        <w:t xml:space="preserve">, </w:t>
      </w:r>
      <w:r>
        <w:rPr>
          <w:rFonts w:ascii="Cambria Math" w:eastAsiaTheme="minorEastAsia" w:hAnsi="Cambria Math" w:cs="Cambria Math"/>
        </w:rPr>
        <w:t xml:space="preserve">and  </w:t>
      </w:r>
      <m:oMath>
        <m:sSub>
          <m:sSubPr>
            <m:ctrlPr>
              <w:rPr>
                <w:rFonts w:ascii="Cambria Math" w:eastAsiaTheme="minorEastAsia" w:hAnsi="Cambria Math" w:cs="Cambria Math"/>
                <w:i/>
              </w:rPr>
            </m:ctrlPr>
          </m:sSubPr>
          <m:e>
            <m:r>
              <w:rPr>
                <w:rFonts w:ascii="Cambria Math" w:eastAsiaTheme="minorEastAsia" w:hAnsi="Cambria Math" w:cs="Cambria Math"/>
              </w:rPr>
              <m:t>ξ</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Pr>
          <w:rFonts w:ascii="Cambria Math" w:eastAsiaTheme="minorEastAsia" w:hAnsi="Cambria Math" w:cs="Cambria Math"/>
        </w:rPr>
        <w:t xml:space="preserve"> is the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ascii="Cambria Math" w:eastAsiaTheme="minorEastAsia" w:hAnsi="Cambria Math" w:cs="Cambria Math"/>
        </w:rPr>
        <w:t xml:space="preserve"> realization of the latent Gausian Field (GF), it follows that </w:t>
      </w:r>
      <m:oMath>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i</m:t>
            </m:r>
          </m:sub>
        </m:sSub>
      </m:oMath>
      <w:r>
        <w:rPr>
          <w:rFonts w:ascii="Cambria Math" w:eastAsiaTheme="minorEastAsia" w:hAnsi="Cambria Math" w:cs="Cambria Math"/>
        </w:rPr>
        <w:t xml:space="preserve"> is independent o</w:t>
      </w:r>
      <w:r w:rsidR="000548E2">
        <w:rPr>
          <w:rFonts w:ascii="Cambria Math" w:eastAsiaTheme="minorEastAsia" w:hAnsi="Cambria Math" w:cs="Cambria Math"/>
        </w:rPr>
        <w:t>f</w:t>
      </w:r>
      <w:r>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e</m:t>
            </m:r>
          </m:e>
          <m:sub>
            <m:r>
              <w:rPr>
                <w:rFonts w:ascii="Cambria Math" w:eastAsiaTheme="minorEastAsia" w:hAnsi="Cambria Math" w:cs="Cambria Math"/>
              </w:rPr>
              <m:t>j</m:t>
            </m:r>
          </m:sub>
        </m:sSub>
      </m:oMath>
      <w:r>
        <w:rPr>
          <w:rFonts w:ascii="Cambria Math" w:eastAsiaTheme="minorEastAsia" w:hAnsi="Cambria Math" w:cs="Cambria Math"/>
        </w:rPr>
        <w:t xml:space="preserve"> when </w:t>
      </w:r>
      <m:oMath>
        <m:r>
          <w:rPr>
            <w:rFonts w:ascii="Cambria Math" w:eastAsiaTheme="minorEastAsia" w:hAnsi="Cambria Math" w:cs="Cambria Math"/>
          </w:rPr>
          <m:t>i≠j</m:t>
        </m:r>
      </m:oMath>
      <w:r>
        <w:rPr>
          <w:rFonts w:ascii="Cambria Math" w:eastAsiaTheme="minorEastAsia" w:hAnsi="Cambria Math" w:cs="Cambria Math"/>
        </w:rPr>
        <w:t xml:space="preserve">. </w:t>
      </w:r>
    </w:p>
    <w:p w14:paraId="2B24BE37" w14:textId="7EF7D45A" w:rsidR="00E64EFB" w:rsidRDefault="00E64EFB" w:rsidP="008A0AE5">
      <w:pPr>
        <w:spacing w:line="240" w:lineRule="auto"/>
        <w:ind w:firstLine="720"/>
        <w:rPr>
          <w:rFonts w:ascii="Cambria Math" w:eastAsiaTheme="minorEastAsia" w:hAnsi="Cambria Math" w:cs="Cambria Math"/>
        </w:rPr>
      </w:pPr>
      <w:r>
        <w:rPr>
          <w:rFonts w:ascii="Cambria Math" w:eastAsiaTheme="minorEastAsia" w:hAnsi="Cambria Math" w:cs="Cambria Math"/>
        </w:rPr>
        <w:lastRenderedPageBreak/>
        <w:t xml:space="preserve">Triangulation of </w:t>
      </w:r>
      <w:r>
        <w:t>Ɗ</w:t>
      </w:r>
      <w:r>
        <w:rPr>
          <w:rFonts w:ascii="Cambria Math" w:eastAsiaTheme="minorEastAsia" w:hAnsi="Cambria Math" w:cs="Cambria Math"/>
        </w:rPr>
        <w:t xml:space="preserve"> facilitates the transformation of </w:t>
      </w:r>
      <w:r w:rsidR="00046DEF">
        <w:rPr>
          <w:rFonts w:ascii="Cambria Math" w:eastAsiaTheme="minorEastAsia" w:hAnsi="Cambria Math" w:cs="Cambria Math"/>
        </w:rPr>
        <w:t xml:space="preserve">the GF </w:t>
      </w:r>
      <w:r>
        <w:rPr>
          <w:rFonts w:ascii="Cambria Math" w:eastAsiaTheme="minorEastAsia" w:hAnsi="Cambria Math" w:cs="Cambria Math"/>
        </w:rPr>
        <w:t xml:space="preserve">to a discretely-indexed </w:t>
      </w:r>
      <w:r w:rsidR="00046DEF">
        <w:rPr>
          <w:rFonts w:ascii="Cambria Math" w:eastAsiaTheme="minorEastAsia" w:hAnsi="Cambria Math" w:cs="Cambria Math"/>
        </w:rPr>
        <w:t>Gaussian Markov random field (GMRF)</w:t>
      </w:r>
    </w:p>
    <w:p w14:paraId="3E87B929" w14:textId="77777777" w:rsidR="00E64EFB" w:rsidRDefault="00E64EFB" w:rsidP="00E64EFB">
      <w:pPr>
        <w:spacing w:line="240" w:lineRule="auto"/>
        <w:jc w:val="right"/>
        <w:rPr>
          <w:rFonts w:ascii="Cambria Math" w:eastAsiaTheme="minorEastAsia" w:hAnsi="Cambria Math" w:cs="Cambria Math"/>
        </w:rPr>
      </w:pPr>
      <m:oMath>
        <m:r>
          <w:rPr>
            <w:rFonts w:ascii="Cambria Math" w:eastAsiaTheme="minorEastAsia" w:hAnsi="Cambria Math" w:cs="Cambria Math"/>
          </w:rPr>
          <m:t>ξ</m:t>
        </m:r>
        <m:d>
          <m:dPr>
            <m:ctrlPr>
              <w:rPr>
                <w:rFonts w:ascii="Cambria Math" w:eastAsiaTheme="minorEastAsia" w:hAnsi="Cambria Math" w:cs="Cambria Math"/>
                <w:i/>
              </w:rPr>
            </m:ctrlPr>
          </m:dPr>
          <m:e>
            <m:r>
              <w:rPr>
                <w:rFonts w:ascii="Cambria Math" w:eastAsiaTheme="minorEastAsia" w:hAnsi="Cambria Math" w:cs="Cambria Math"/>
              </w:rPr>
              <m:t>s</m:t>
            </m:r>
          </m:e>
        </m:d>
        <m:r>
          <w:rPr>
            <w:rFonts w:ascii="Cambria Math" w:eastAsiaTheme="minorEastAsia" w:hAnsi="Cambria Math" w:cs="Cambria Math"/>
          </w:rPr>
          <m:t xml:space="preserve">=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g=1</m:t>
            </m:r>
          </m:sub>
          <m:sup>
            <m:r>
              <w:rPr>
                <w:rFonts w:ascii="Cambria Math" w:eastAsiaTheme="minorEastAsia" w:hAnsi="Cambria Math" w:cs="Cambria Math"/>
              </w:rPr>
              <m:t>G</m:t>
            </m:r>
          </m:sup>
          <m:e>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e>
        </m:nary>
        <m:r>
          <w:rPr>
            <w:rFonts w:ascii="Cambria Math" w:eastAsiaTheme="minorEastAsia" w:hAnsi="Cambria Math" w:cs="Cambria Math"/>
          </w:rPr>
          <m:t>(s)</m:t>
        </m:r>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oMath>
      <w:r>
        <w:rPr>
          <w:rFonts w:ascii="Cambria Math" w:eastAsiaTheme="minorEastAsia" w:hAnsi="Cambria Math" w:cs="Cambria Math"/>
        </w:rPr>
        <w:t xml:space="preserve">, </w:t>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 xml:space="preserve">Eq. </w:t>
      </w:r>
      <w:bookmarkStart w:id="9" w:name="triangulation"/>
      <w:r>
        <w:rPr>
          <w:rFonts w:ascii="Cambria Math" w:eastAsiaTheme="minorEastAsia" w:hAnsi="Cambria Math" w:cs="Cambria Math"/>
        </w:rPr>
        <w:fldChar w:fldCharType="begin"/>
      </w:r>
      <w:r>
        <w:rPr>
          <w:rFonts w:ascii="Cambria Math" w:eastAsiaTheme="minorEastAsia" w:hAnsi="Cambria Math" w:cs="Cambria Math"/>
        </w:rPr>
        <w:instrText xml:space="preserve"> SEQ Eq \* MERGEFORMAT </w:instrText>
      </w:r>
      <w:r>
        <w:rPr>
          <w:rFonts w:ascii="Cambria Math" w:eastAsiaTheme="minorEastAsia" w:hAnsi="Cambria Math" w:cs="Cambria Math"/>
        </w:rPr>
        <w:fldChar w:fldCharType="separate"/>
      </w:r>
      <w:r w:rsidR="00C54509">
        <w:rPr>
          <w:rFonts w:ascii="Cambria Math" w:eastAsiaTheme="minorEastAsia" w:hAnsi="Cambria Math" w:cs="Cambria Math"/>
          <w:noProof/>
        </w:rPr>
        <w:t>4</w:t>
      </w:r>
      <w:r>
        <w:rPr>
          <w:rFonts w:ascii="Cambria Math" w:eastAsiaTheme="minorEastAsia" w:hAnsi="Cambria Math" w:cs="Cambria Math"/>
        </w:rPr>
        <w:fldChar w:fldCharType="end"/>
      </w:r>
      <w:bookmarkEnd w:id="9"/>
    </w:p>
    <w:p w14:paraId="1C5AFD9F" w14:textId="3D1A595B" w:rsidR="00B537DD" w:rsidRDefault="00E64EFB" w:rsidP="00706AC6">
      <w:pPr>
        <w:spacing w:line="240" w:lineRule="auto"/>
        <w:rPr>
          <w:rFonts w:ascii="Cambria Math" w:eastAsiaTheme="minorEastAsia" w:hAnsi="Cambria Math" w:cs="Cambria Math"/>
        </w:rPr>
      </w:pPr>
      <w:r>
        <w:rPr>
          <w:rFonts w:ascii="Cambria Math" w:eastAsiaTheme="minorEastAsia" w:hAnsi="Cambria Math" w:cs="Cambria Math"/>
        </w:rPr>
        <w:t xml:space="preserve">where </w:t>
      </w:r>
      <w:r>
        <w:rPr>
          <w:rFonts w:ascii="Cambria Math" w:eastAsiaTheme="minorEastAsia" w:hAnsi="Cambria Math" w:cs="Cambria Math"/>
          <w:i/>
        </w:rPr>
        <w:t>G</w:t>
      </w:r>
      <w:r>
        <w:rPr>
          <w:rFonts w:ascii="Cambria Math" w:eastAsiaTheme="minorEastAsia" w:hAnsi="Cambria Math" w:cs="Cambria Math"/>
        </w:rPr>
        <w:t xml:space="preserve"> is the total number of vertices in the triangulation,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r>
          <w:rPr>
            <w:rFonts w:ascii="Cambria Math" w:eastAsiaTheme="minorEastAsia" w:hAnsi="Cambria Math" w:cs="Cambria Math"/>
          </w:rPr>
          <m:t>}</m:t>
        </m:r>
      </m:oMath>
      <w:r>
        <w:rPr>
          <w:rFonts w:ascii="Cambria Math" w:eastAsiaTheme="minorEastAsia" w:hAnsi="Cambria Math" w:cs="Cambria Math"/>
        </w:rPr>
        <w:t xml:space="preserve"> is the set of basis functions, and </w:t>
      </w:r>
      <m:oMath>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r>
          <w:rPr>
            <w:rFonts w:ascii="Cambria Math" w:eastAsiaTheme="minorEastAsia" w:hAnsi="Cambria Math" w:cs="Cambria Math"/>
          </w:rPr>
          <m:t>}</m:t>
        </m:r>
      </m:oMath>
      <w:r>
        <w:rPr>
          <w:rFonts w:ascii="Cambria Math" w:eastAsiaTheme="minorEastAsia" w:hAnsi="Cambria Math" w:cs="Cambria Math"/>
        </w:rPr>
        <w:t xml:space="preserve"> are the non-zero distributed weights. Basis functions were chosen such that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oMath>
      <w:r>
        <w:rPr>
          <w:rFonts w:ascii="Cambria Math" w:eastAsiaTheme="minorEastAsia" w:hAnsi="Cambria Math" w:cs="Cambria Math"/>
        </w:rPr>
        <w:t xml:space="preserve"> was 1 at vertex </w:t>
      </w:r>
      <w:r>
        <w:rPr>
          <w:rFonts w:ascii="Cambria Math" w:eastAsiaTheme="minorEastAsia" w:hAnsi="Cambria Math" w:cs="Cambria Math"/>
          <w:i/>
        </w:rPr>
        <w:t>g</w:t>
      </w:r>
      <w:r>
        <w:rPr>
          <w:rFonts w:ascii="Cambria Math" w:eastAsiaTheme="minorEastAsia" w:hAnsi="Cambria Math" w:cs="Cambria Math"/>
        </w:rPr>
        <w:t xml:space="preserve"> and 0 everywhere else (Lindgren </w:t>
      </w:r>
      <w:r>
        <w:rPr>
          <w:rFonts w:ascii="Cambria Math" w:eastAsiaTheme="minorEastAsia" w:hAnsi="Cambria Math" w:cs="Cambria Math"/>
          <w:i/>
        </w:rPr>
        <w:t>et al</w:t>
      </w:r>
      <w:r>
        <w:rPr>
          <w:rFonts w:ascii="Cambria Math" w:eastAsiaTheme="minorEastAsia" w:hAnsi="Cambria Math" w:cs="Cambria Math"/>
        </w:rPr>
        <w:t>., 2011). GMRFs are characterized by a</w:t>
      </w:r>
      <w:r w:rsidR="002F7E44">
        <w:rPr>
          <w:rFonts w:ascii="Cambria Math" w:eastAsiaTheme="minorEastAsia" w:hAnsi="Cambria Math" w:cs="Cambria Math"/>
        </w:rPr>
        <w:t xml:space="preserve"> multivariate Normal distribution with mean </w:t>
      </w:r>
      <w:r w:rsidR="002F7E44" w:rsidRPr="002F7E44">
        <w:rPr>
          <w:rFonts w:ascii="Cambria Math" w:eastAsiaTheme="minorEastAsia" w:hAnsi="Cambria Math" w:cs="Cambria Math"/>
          <w:b/>
        </w:rPr>
        <w:t>μ</w:t>
      </w:r>
      <w:r w:rsidR="002F7E44">
        <w:rPr>
          <w:rFonts w:ascii="Cambria Math" w:eastAsiaTheme="minorEastAsia" w:hAnsi="Cambria Math" w:cs="Cambria Math"/>
        </w:rPr>
        <w:t xml:space="preserve"> = (μ</w:t>
      </w:r>
      <w:r w:rsidR="002F7E44" w:rsidRPr="002F7E44">
        <w:rPr>
          <w:rFonts w:ascii="Cambria Math" w:eastAsiaTheme="minorEastAsia" w:hAnsi="Cambria Math" w:cs="Cambria Math"/>
          <w:vertAlign w:val="subscript"/>
        </w:rPr>
        <w:softHyphen/>
        <w:t>1</w:t>
      </w:r>
      <w:r w:rsidR="002F7E44">
        <w:rPr>
          <w:rFonts w:ascii="Cambria Math" w:eastAsiaTheme="minorEastAsia" w:hAnsi="Cambria Math" w:cs="Cambria Math"/>
        </w:rPr>
        <w:t xml:space="preserve">, …, </w:t>
      </w:r>
      <w:proofErr w:type="spellStart"/>
      <w:r w:rsidR="002F7E44">
        <w:rPr>
          <w:rFonts w:ascii="Cambria Math" w:eastAsiaTheme="minorEastAsia" w:hAnsi="Cambria Math" w:cs="Cambria Math"/>
        </w:rPr>
        <w:t>μ</w:t>
      </w:r>
      <w:r w:rsidR="002F7E44">
        <w:rPr>
          <w:rFonts w:ascii="Cambria Math" w:eastAsiaTheme="minorEastAsia" w:hAnsi="Cambria Math" w:cs="Cambria Math"/>
          <w:vertAlign w:val="subscript"/>
        </w:rPr>
        <w:t>n</w:t>
      </w:r>
      <w:proofErr w:type="spellEnd"/>
      <w:r w:rsidR="002F7E44">
        <w:rPr>
          <w:rFonts w:ascii="Cambria Math" w:eastAsiaTheme="minorEastAsia" w:hAnsi="Cambria Math" w:cs="Cambria Math"/>
        </w:rPr>
        <w:t>)</w:t>
      </w:r>
      <w:r w:rsidR="00C642CA">
        <w:rPr>
          <w:rFonts w:ascii="Cambria Math" w:eastAsiaTheme="minorEastAsia" w:hAnsi="Cambria Math" w:cs="Cambria Math"/>
        </w:rPr>
        <w:t>′</w:t>
      </w:r>
      <w:r w:rsidR="002F7E44">
        <w:rPr>
          <w:rFonts w:ascii="Cambria Math" w:eastAsiaTheme="minorEastAsia" w:hAnsi="Cambria Math" w:cs="Cambria Math"/>
        </w:rPr>
        <w:t xml:space="preserve"> and a spatially</w:t>
      </w:r>
      <w:r w:rsidR="001137FF">
        <w:rPr>
          <w:rFonts w:ascii="Cambria Math" w:eastAsiaTheme="minorEastAsia" w:hAnsi="Cambria Math" w:cs="Cambria Math"/>
        </w:rPr>
        <w:t>-</w:t>
      </w:r>
      <w:r w:rsidR="002F7E44">
        <w:rPr>
          <w:rFonts w:ascii="Cambria Math" w:eastAsiaTheme="minorEastAsia" w:hAnsi="Cambria Math" w:cs="Cambria Math"/>
        </w:rPr>
        <w:t xml:space="preserve">structured covariance matrix Σ, whose generic element </w:t>
      </w:r>
      <w:r w:rsidR="00B537DD">
        <w:rPr>
          <w:rFonts w:ascii="Cambria Math" w:eastAsiaTheme="minorEastAsia" w:hAnsi="Cambria Math" w:cs="Cambria Math"/>
        </w:rPr>
        <w:t>is defined as</w:t>
      </w:r>
    </w:p>
    <w:p w14:paraId="4B132605" w14:textId="3D642D6A" w:rsidR="00B537DD" w:rsidRDefault="002F7E44" w:rsidP="00B537DD">
      <w:pPr>
        <w:spacing w:line="240" w:lineRule="auto"/>
        <w:jc w:val="right"/>
        <w:rPr>
          <w:rFonts w:ascii="Cambria Math" w:eastAsiaTheme="minorEastAsia" w:hAnsi="Cambria Math" w:cs="Cambria Math"/>
        </w:rPr>
      </w:pPr>
      <w:proofErr w:type="spellStart"/>
      <w:r>
        <w:rPr>
          <w:rFonts w:ascii="Cambria Math" w:eastAsiaTheme="minorEastAsia" w:hAnsi="Cambria Math" w:cs="Cambria Math"/>
        </w:rPr>
        <w:t>Σ</w:t>
      </w:r>
      <w:r w:rsidRPr="002F7E44">
        <w:rPr>
          <w:rFonts w:ascii="Cambria Math" w:eastAsiaTheme="minorEastAsia" w:hAnsi="Cambria Math" w:cs="Cambria Math"/>
          <w:vertAlign w:val="subscript"/>
        </w:rPr>
        <w:t>i,j</w:t>
      </w:r>
      <w:proofErr w:type="spellEnd"/>
      <w:r>
        <w:rPr>
          <w:rFonts w:ascii="Cambria Math" w:eastAsiaTheme="minorEastAsia" w:hAnsi="Cambria Math" w:cs="Cambria Math"/>
        </w:rPr>
        <w:t xml:space="preserve"> = </w:t>
      </w:r>
      <w:proofErr w:type="spellStart"/>
      <w:r>
        <w:rPr>
          <w:rFonts w:ascii="Cambria Math" w:eastAsiaTheme="minorEastAsia" w:hAnsi="Cambria Math" w:cs="Cambria Math"/>
        </w:rPr>
        <w:t>Cov</w:t>
      </w:r>
      <w:proofErr w:type="spellEnd"/>
      <w:r>
        <w:rPr>
          <w:rFonts w:ascii="Cambria Math" w:eastAsiaTheme="minorEastAsia" w:hAnsi="Cambria Math" w:cs="Cambria Math"/>
        </w:rPr>
        <w:t>(</w:t>
      </w:r>
      <w:proofErr w:type="spellStart"/>
      <w:r>
        <w:rPr>
          <w:rFonts w:ascii="Cambria Math" w:eastAsiaTheme="minorEastAsia" w:hAnsi="Cambria Math" w:cs="Cambria Math"/>
        </w:rPr>
        <w:t>θ</w:t>
      </w:r>
      <w:r w:rsidRPr="002F7E44">
        <w:rPr>
          <w:rFonts w:ascii="Cambria Math" w:eastAsiaTheme="minorEastAsia" w:hAnsi="Cambria Math" w:cs="Cambria Math"/>
          <w:vertAlign w:val="subscript"/>
        </w:rPr>
        <w:t>i</w:t>
      </w:r>
      <w:proofErr w:type="spellEnd"/>
      <w:r>
        <w:rPr>
          <w:rFonts w:ascii="Cambria Math" w:eastAsiaTheme="minorEastAsia" w:hAnsi="Cambria Math" w:cs="Cambria Math"/>
        </w:rPr>
        <w:t xml:space="preserve">, </w:t>
      </w:r>
      <w:proofErr w:type="spellStart"/>
      <w:r>
        <w:rPr>
          <w:rFonts w:ascii="Cambria Math" w:eastAsiaTheme="minorEastAsia" w:hAnsi="Cambria Math" w:cs="Cambria Math"/>
        </w:rPr>
        <w:t>θ</w:t>
      </w:r>
      <w:r w:rsidRPr="002F7E44">
        <w:rPr>
          <w:rFonts w:ascii="Cambria Math" w:eastAsiaTheme="minorEastAsia" w:hAnsi="Cambria Math" w:cs="Cambria Math"/>
          <w:vertAlign w:val="subscript"/>
        </w:rPr>
        <w:t>j</w:t>
      </w:r>
      <w:proofErr w:type="spellEnd"/>
      <w:r>
        <w:rPr>
          <w:rFonts w:ascii="Cambria Math" w:eastAsiaTheme="minorEastAsia" w:hAnsi="Cambria Math" w:cs="Cambria Math"/>
        </w:rPr>
        <w:t xml:space="preserve">) =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B537DD">
        <w:rPr>
          <w:rFonts w:ascii="Cambria Math" w:eastAsiaTheme="minorEastAsia" w:hAnsi="Cambria Math" w:cs="Cambria Math"/>
        </w:rPr>
        <w:t xml:space="preserve">. </w:t>
      </w:r>
      <w:r w:rsidR="00B537DD">
        <w:rPr>
          <w:rFonts w:ascii="Cambria Math" w:eastAsiaTheme="minorEastAsia" w:hAnsi="Cambria Math" w:cs="Cambria Math"/>
        </w:rPr>
        <w:tab/>
      </w:r>
      <w:r w:rsidR="00B537DD">
        <w:rPr>
          <w:rFonts w:ascii="Cambria Math" w:eastAsiaTheme="minorEastAsia" w:hAnsi="Cambria Math" w:cs="Cambria Math"/>
        </w:rPr>
        <w:tab/>
      </w:r>
      <w:r w:rsidR="00B537DD">
        <w:rPr>
          <w:rFonts w:ascii="Cambria Math" w:eastAsiaTheme="minorEastAsia" w:hAnsi="Cambria Math" w:cs="Cambria Math"/>
        </w:rPr>
        <w:tab/>
        <w:t xml:space="preserve">Eq. </w:t>
      </w:r>
      <w:bookmarkStart w:id="10" w:name="spatialcovariance"/>
      <w:r w:rsidR="00B537DD">
        <w:rPr>
          <w:rFonts w:ascii="Cambria Math" w:eastAsiaTheme="minorEastAsia" w:hAnsi="Cambria Math" w:cs="Cambria Math"/>
        </w:rPr>
        <w:fldChar w:fldCharType="begin"/>
      </w:r>
      <w:r w:rsidR="00B537DD">
        <w:rPr>
          <w:rFonts w:ascii="Cambria Math" w:eastAsiaTheme="minorEastAsia" w:hAnsi="Cambria Math" w:cs="Cambria Math"/>
        </w:rPr>
        <w:instrText xml:space="preserve"> SEQ Eq \* MERGEFORMAT </w:instrText>
      </w:r>
      <w:r w:rsidR="00B537DD">
        <w:rPr>
          <w:rFonts w:ascii="Cambria Math" w:eastAsiaTheme="minorEastAsia" w:hAnsi="Cambria Math" w:cs="Cambria Math"/>
        </w:rPr>
        <w:fldChar w:fldCharType="separate"/>
      </w:r>
      <w:r w:rsidR="00C54509">
        <w:rPr>
          <w:rFonts w:ascii="Cambria Math" w:eastAsiaTheme="minorEastAsia" w:hAnsi="Cambria Math" w:cs="Cambria Math"/>
          <w:noProof/>
        </w:rPr>
        <w:t>5</w:t>
      </w:r>
      <w:r w:rsidR="00B537DD">
        <w:rPr>
          <w:rFonts w:ascii="Cambria Math" w:eastAsiaTheme="minorEastAsia" w:hAnsi="Cambria Math" w:cs="Cambria Math"/>
        </w:rPr>
        <w:fldChar w:fldCharType="end"/>
      </w:r>
      <w:bookmarkEnd w:id="10"/>
      <w:r>
        <w:rPr>
          <w:rFonts w:ascii="Cambria Math" w:eastAsiaTheme="minorEastAsia" w:hAnsi="Cambria Math" w:cs="Cambria Math"/>
        </w:rPr>
        <w:t xml:space="preserve"> </w:t>
      </w:r>
    </w:p>
    <w:p w14:paraId="0D43EDCF" w14:textId="38A6652F" w:rsidR="003854F9" w:rsidRDefault="002F7E44" w:rsidP="00706AC6">
      <w:pPr>
        <w:spacing w:line="240" w:lineRule="auto"/>
        <w:rPr>
          <w:rFonts w:ascii="Cambria Math" w:eastAsiaTheme="minorEastAsia" w:hAnsi="Cambria Math" w:cs="Cambria Math"/>
        </w:rPr>
      </w:pPr>
      <w:r>
        <w:rPr>
          <w:rFonts w:ascii="Cambria Math" w:eastAsiaTheme="minorEastAsia" w:hAnsi="Cambria Math" w:cs="Cambria Math"/>
        </w:rPr>
        <w:t>Here</w:t>
      </w:r>
      <w:r w:rsidR="00E64EFB">
        <w:rPr>
          <w:rFonts w:ascii="Cambria Math" w:eastAsiaTheme="minorEastAsia" w:hAnsi="Cambria Math" w:cs="Cambria Math"/>
        </w:rPr>
        <w:t>,</w:t>
      </w:r>
      <w:r>
        <w:rPr>
          <w:rFonts w:ascii="Cambria Math" w:eastAsiaTheme="minorEastAsia" w:hAnsi="Cambria Math" w:cs="Cambria Math"/>
        </w:rPr>
        <w:t xml:space="preserve">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oMath>
      <w:r>
        <w:rPr>
          <w:rFonts w:ascii="Cambria Math" w:eastAsiaTheme="minorEastAsia" w:hAnsi="Cambria Math" w:cs="Cambria Math"/>
        </w:rPr>
        <w:t xml:space="preserve"> is the variance component for</w:t>
      </w:r>
      <w:r w:rsidR="00C642CA">
        <w:rPr>
          <w:rFonts w:ascii="Cambria Math" w:eastAsiaTheme="minorEastAsia" w:hAnsi="Cambria Math" w:cs="Cambria Math"/>
        </w:rPr>
        <w:t xml:space="preserve"> </w:t>
      </w:r>
      <m:oMath>
        <m:r>
          <w:rPr>
            <w:rFonts w:ascii="Cambria Math" w:eastAsiaTheme="minorEastAsia" w:hAnsi="Cambria Math" w:cs="Cambria Math"/>
          </w:rPr>
          <m:t>i,j=1, …, n</m:t>
        </m:r>
      </m:oMath>
      <w:r w:rsidR="00C642CA">
        <w:rPr>
          <w:rFonts w:ascii="Cambria Math" w:eastAsiaTheme="minorEastAsia" w:hAnsi="Cambria Math" w:cs="Cambria Math"/>
        </w:rPr>
        <w:t xml:space="preserve"> and </w:t>
      </w:r>
      <m:oMath>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C642CA">
        <w:rPr>
          <w:rFonts w:ascii="Cambria Math" w:eastAsiaTheme="minorEastAsia" w:hAnsi="Cambria Math" w:cs="Cambria Math"/>
        </w:rPr>
        <w:t xml:space="preserve"> is the (isotropic) Matérn spatial covariance function (Cressie, 1993), which depends on the </w:t>
      </w:r>
      <w:r w:rsidR="00BB6A92">
        <w:rPr>
          <w:rFonts w:ascii="Cambria Math" w:eastAsiaTheme="minorEastAsia" w:hAnsi="Cambria Math" w:cs="Cambria Math"/>
        </w:rPr>
        <w:t>Euclidean</w:t>
      </w:r>
      <w:r w:rsidR="00C642CA">
        <w:rPr>
          <w:rFonts w:ascii="Cambria Math" w:eastAsiaTheme="minorEastAsia" w:hAnsi="Cambria Math" w:cs="Cambria Math"/>
        </w:rPr>
        <w:t xml:space="preserve"> distance between the </w:t>
      </w:r>
      <w:r w:rsidR="00BB6A92">
        <w:rPr>
          <w:rFonts w:ascii="Cambria Math" w:eastAsiaTheme="minorEastAsia" w:hAnsi="Cambria Math" w:cs="Cambria Math"/>
        </w:rPr>
        <w:t xml:space="preserve">locations </w:t>
      </w:r>
      <m:oMath>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i</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j</m:t>
                </m:r>
              </m:sub>
            </m:sSub>
          </m:e>
        </m:d>
      </m:oMath>
      <w:r w:rsidR="00C642CA">
        <w:rPr>
          <w:rFonts w:ascii="Cambria Math" w:eastAsiaTheme="minorEastAsia" w:hAnsi="Cambria Math" w:cs="Cambria Math"/>
        </w:rPr>
        <w:t>.</w:t>
      </w:r>
      <w:r w:rsidR="008A0AE5">
        <w:rPr>
          <w:rFonts w:ascii="Cambria Math" w:eastAsiaTheme="minorEastAsia" w:hAnsi="Cambria Math" w:cs="Cambria Math"/>
        </w:rPr>
        <w:t xml:space="preserve"> </w:t>
      </w:r>
      <w:r w:rsidR="003854F9">
        <w:rPr>
          <w:rFonts w:ascii="Cambria Math" w:eastAsiaTheme="minorEastAsia" w:hAnsi="Cambria Math" w:cs="Cambria Math"/>
        </w:rPr>
        <w:t>A GF with a</w:t>
      </w:r>
      <w:r w:rsidR="008A0AE5">
        <w:rPr>
          <w:rFonts w:ascii="Cambria Math" w:eastAsiaTheme="minorEastAsia" w:hAnsi="Cambria Math" w:cs="Cambria Math"/>
        </w:rPr>
        <w:t xml:space="preserve"> </w:t>
      </w:r>
      <w:proofErr w:type="spellStart"/>
      <w:r w:rsidR="008A0AE5">
        <w:rPr>
          <w:rFonts w:ascii="Cambria Math" w:eastAsiaTheme="minorEastAsia" w:hAnsi="Cambria Math" w:cs="Cambria Math"/>
        </w:rPr>
        <w:t>Matérn</w:t>
      </w:r>
      <w:proofErr w:type="spellEnd"/>
      <w:r w:rsidR="008A0AE5">
        <w:rPr>
          <w:rFonts w:ascii="Cambria Math" w:eastAsiaTheme="minorEastAsia" w:hAnsi="Cambria Math" w:cs="Cambria Math"/>
        </w:rPr>
        <w:t xml:space="preserve"> covariance function </w:t>
      </w:r>
    </w:p>
    <w:p w14:paraId="675FD253" w14:textId="77777777" w:rsidR="003854F9" w:rsidRDefault="003854F9" w:rsidP="003854F9">
      <w:pPr>
        <w:spacing w:line="240" w:lineRule="auto"/>
        <w:jc w:val="right"/>
        <w:rPr>
          <w:rFonts w:ascii="Cambria Math" w:eastAsiaTheme="minorEastAsia" w:hAnsi="Cambria Math" w:cs="Cambria Math"/>
        </w:rPr>
      </w:pPr>
      <m:oMath>
        <m:r>
          <w:rPr>
            <w:rFonts w:ascii="Cambria Math" w:eastAsiaTheme="minorEastAsia" w:hAnsi="Cambria Math" w:cs="Cambria Math"/>
          </w:rPr>
          <m:t>ϑ</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e>
        </m:d>
        <m:r>
          <w:rPr>
            <w:rFonts w:ascii="Cambria Math" w:eastAsiaTheme="minorEastAsia" w:hAnsi="Cambria Math" w:cs="Cambria Math"/>
          </w:rPr>
          <m:t xml:space="preserve">= </m:t>
        </m:r>
        <m:f>
          <m:fPr>
            <m:ctrlPr>
              <w:rPr>
                <w:rFonts w:ascii="Cambria Math" w:eastAsiaTheme="minorEastAsia" w:hAnsi="Cambria Math" w:cs="Cambria Math"/>
                <w:i/>
              </w:rPr>
            </m:ctrlPr>
          </m:fPr>
          <m:num>
            <m:r>
              <w:rPr>
                <w:rFonts w:ascii="Cambria Math" w:eastAsiaTheme="minorEastAsia" w:hAnsi="Cambria Math" w:cs="Cambria Math"/>
              </w:rPr>
              <m:t>1</m:t>
            </m:r>
          </m:num>
          <m:den>
            <m:r>
              <m:rPr>
                <m:sty m:val="p"/>
              </m:rPr>
              <w:rPr>
                <w:rFonts w:ascii="Cambria Math" w:eastAsiaTheme="minorEastAsia" w:hAnsi="Cambria Math" w:cs="Cambria Math"/>
              </w:rPr>
              <m:t>Γ</m:t>
            </m:r>
            <m:d>
              <m:dPr>
                <m:ctrlPr>
                  <w:rPr>
                    <w:rFonts w:ascii="Cambria Math" w:eastAsiaTheme="minorEastAsia" w:hAnsi="Cambria Math" w:cs="Cambria Math"/>
                    <w:i/>
                  </w:rPr>
                </m:ctrlPr>
              </m:dPr>
              <m:e>
                <m:r>
                  <w:rPr>
                    <w:rFonts w:ascii="Cambria Math" w:eastAsiaTheme="minorEastAsia" w:hAnsi="Cambria Math" w:cs="Cambria Math"/>
                  </w:rPr>
                  <m:t>λ</m:t>
                </m:r>
              </m:e>
            </m:d>
            <m:sSup>
              <m:sSupPr>
                <m:ctrlPr>
                  <w:rPr>
                    <w:rFonts w:ascii="Cambria Math" w:eastAsiaTheme="minorEastAsia" w:hAnsi="Cambria Math" w:cs="Cambria Math"/>
                    <w:i/>
                  </w:rPr>
                </m:ctrlPr>
              </m:sSupPr>
              <m:e>
                <m:r>
                  <w:rPr>
                    <w:rFonts w:ascii="Cambria Math" w:eastAsiaTheme="minorEastAsia" w:hAnsi="Cambria Math" w:cs="Cambria Math"/>
                  </w:rPr>
                  <m:t>2</m:t>
                </m:r>
              </m:e>
              <m:sup>
                <m:r>
                  <w:rPr>
                    <w:rFonts w:ascii="Cambria Math" w:eastAsiaTheme="minorEastAsia" w:hAnsi="Cambria Math" w:cs="Cambria Math"/>
                  </w:rPr>
                  <m:t>λ-1</m:t>
                </m:r>
              </m:sup>
            </m:sSup>
          </m:den>
        </m:f>
        <m:sSup>
          <m:sSupPr>
            <m:ctrlPr>
              <w:rPr>
                <w:rFonts w:ascii="Cambria Math" w:eastAsiaTheme="minorEastAsia" w:hAnsi="Cambria Math" w:cs="Cambria Math"/>
                <w:i/>
              </w:rPr>
            </m:ctrlPr>
          </m:sSupPr>
          <m:e>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e>
          <m:sup>
            <m:r>
              <w:rPr>
                <w:rFonts w:ascii="Cambria Math" w:eastAsiaTheme="minorEastAsia" w:hAnsi="Cambria Math" w:cs="Cambria Math"/>
              </w:rPr>
              <m:t>λ</m:t>
            </m:r>
          </m:sup>
        </m:sSup>
        <m:sSub>
          <m:sSubPr>
            <m:ctrlPr>
              <w:rPr>
                <w:rFonts w:ascii="Cambria Math" w:eastAsiaTheme="minorEastAsia" w:hAnsi="Cambria Math" w:cs="Cambria Math"/>
              </w:rPr>
            </m:ctrlPr>
          </m:sSubPr>
          <m:e>
            <m:r>
              <m:rPr>
                <m:sty m:val="p"/>
              </m:rPr>
              <w:rPr>
                <w:rFonts w:ascii="Cambria Math" w:eastAsiaTheme="minorEastAsia" w:hAnsi="Cambria Math" w:cs="Cambria Math"/>
              </w:rPr>
              <m:t>Κ</m:t>
            </m:r>
          </m:e>
          <m:sub>
            <m:r>
              <w:rPr>
                <w:rFonts w:ascii="Cambria Math" w:eastAsiaTheme="minorEastAsia" w:hAnsi="Cambria Math" w:cs="Cambria Math"/>
              </w:rPr>
              <m:t>λ</m:t>
            </m:r>
          </m:sub>
        </m:sSub>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Pr>
          <w:rFonts w:ascii="Cambria Math" w:eastAsiaTheme="minorEastAsia" w:hAnsi="Cambria Math" w:cs="Cambria Math"/>
        </w:rPr>
        <w:tab/>
        <w:t>,</w:t>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 xml:space="preserve">Eq. </w:t>
      </w:r>
      <w:r>
        <w:rPr>
          <w:rFonts w:ascii="Cambria Math" w:eastAsiaTheme="minorEastAsia" w:hAnsi="Cambria Math" w:cs="Cambria Math"/>
        </w:rPr>
        <w:fldChar w:fldCharType="begin"/>
      </w:r>
      <w:r>
        <w:rPr>
          <w:rFonts w:ascii="Cambria Math" w:eastAsiaTheme="minorEastAsia" w:hAnsi="Cambria Math" w:cs="Cambria Math"/>
        </w:rPr>
        <w:instrText xml:space="preserve"> SEQ Eq \* MERGEFORMAT </w:instrText>
      </w:r>
      <w:r>
        <w:rPr>
          <w:rFonts w:ascii="Cambria Math" w:eastAsiaTheme="minorEastAsia" w:hAnsi="Cambria Math" w:cs="Cambria Math"/>
        </w:rPr>
        <w:fldChar w:fldCharType="separate"/>
      </w:r>
      <w:r w:rsidR="00C54509">
        <w:rPr>
          <w:rFonts w:ascii="Cambria Math" w:eastAsiaTheme="minorEastAsia" w:hAnsi="Cambria Math" w:cs="Cambria Math"/>
          <w:noProof/>
        </w:rPr>
        <w:t>6</w:t>
      </w:r>
      <w:r>
        <w:rPr>
          <w:rFonts w:ascii="Cambria Math" w:eastAsiaTheme="minorEastAsia" w:hAnsi="Cambria Math" w:cs="Cambria Math"/>
        </w:rPr>
        <w:fldChar w:fldCharType="end"/>
      </w:r>
    </w:p>
    <w:p w14:paraId="60D12AA0" w14:textId="217E8DB6" w:rsidR="006A7B22" w:rsidRDefault="003854F9" w:rsidP="00706AC6">
      <w:pPr>
        <w:spacing w:line="240" w:lineRule="auto"/>
        <w:rPr>
          <w:rFonts w:eastAsiaTheme="minorEastAsia"/>
        </w:rPr>
      </w:pPr>
      <w:r>
        <w:rPr>
          <w:rFonts w:ascii="Cambria Math" w:eastAsiaTheme="minorEastAsia" w:hAnsi="Cambria Math" w:cs="Cambria Math"/>
        </w:rPr>
        <w:t xml:space="preserve">provides an exact solution to the SPDE, which can be approximated using a </w:t>
      </w:r>
      <w:r w:rsidR="008A0AE5">
        <w:rPr>
          <w:rFonts w:ascii="Cambria Math" w:eastAsiaTheme="minorEastAsia" w:hAnsi="Cambria Math" w:cs="Cambria Math"/>
        </w:rPr>
        <w:t xml:space="preserve">finite element representation </w:t>
      </w:r>
      <w:r>
        <w:rPr>
          <w:rFonts w:ascii="Cambria Math" w:eastAsiaTheme="minorEastAsia" w:hAnsi="Cambria Math" w:cs="Cambria Math"/>
        </w:rPr>
        <w:t>(</w:t>
      </w:r>
      <w:r w:rsidR="008A0AE5">
        <w:rPr>
          <w:rFonts w:ascii="Cambria Math" w:eastAsiaTheme="minorEastAsia" w:hAnsi="Cambria Math" w:cs="Cambria Math"/>
        </w:rPr>
        <w:t xml:space="preserve">Eq. </w:t>
      </w:r>
      <w:r w:rsidR="008A0AE5">
        <w:rPr>
          <w:rFonts w:ascii="Cambria Math" w:eastAsiaTheme="minorEastAsia" w:hAnsi="Cambria Math" w:cs="Cambria Math"/>
        </w:rPr>
        <w:fldChar w:fldCharType="begin"/>
      </w:r>
      <w:r w:rsidR="008A0AE5">
        <w:rPr>
          <w:rFonts w:ascii="Cambria Math" w:eastAsiaTheme="minorEastAsia" w:hAnsi="Cambria Math" w:cs="Cambria Math"/>
        </w:rPr>
        <w:instrText xml:space="preserve"> REF triangulation \h </w:instrText>
      </w:r>
      <w:r w:rsidR="008A0AE5">
        <w:rPr>
          <w:rFonts w:ascii="Cambria Math" w:eastAsiaTheme="minorEastAsia" w:hAnsi="Cambria Math" w:cs="Cambria Math"/>
        </w:rPr>
      </w:r>
      <w:r w:rsidR="008A0AE5">
        <w:rPr>
          <w:rFonts w:ascii="Cambria Math" w:eastAsiaTheme="minorEastAsia" w:hAnsi="Cambria Math" w:cs="Cambria Math"/>
        </w:rPr>
        <w:fldChar w:fldCharType="separate"/>
      </w:r>
      <w:r w:rsidR="00C54509">
        <w:rPr>
          <w:rFonts w:ascii="Cambria Math" w:eastAsiaTheme="minorEastAsia" w:hAnsi="Cambria Math" w:cs="Cambria Math"/>
          <w:noProof/>
        </w:rPr>
        <w:t>4</w:t>
      </w:r>
      <w:r w:rsidR="008A0AE5">
        <w:rPr>
          <w:rFonts w:ascii="Cambria Math" w:eastAsiaTheme="minorEastAsia" w:hAnsi="Cambria Math" w:cs="Cambria Math"/>
        </w:rPr>
        <w:fldChar w:fldCharType="end"/>
      </w:r>
      <w:r>
        <w:rPr>
          <w:rFonts w:ascii="Cambria Math" w:eastAsiaTheme="minorEastAsia" w:hAnsi="Cambria Math" w:cs="Cambria Math"/>
        </w:rPr>
        <w:t>)</w:t>
      </w:r>
      <w:r w:rsidR="008A0AE5">
        <w:rPr>
          <w:rFonts w:ascii="Cambria Math" w:eastAsiaTheme="minorEastAsia" w:hAnsi="Cambria Math" w:cs="Cambria Math"/>
        </w:rPr>
        <w:t xml:space="preserve">. </w:t>
      </w:r>
      <w:r>
        <w:rPr>
          <w:rFonts w:ascii="Cambria Math" w:eastAsiaTheme="minorEastAsia" w:hAnsi="Cambria Math" w:cs="Cambria Math"/>
        </w:rPr>
        <w:t xml:space="preserve">Here, </w:t>
      </w:r>
      <m:oMath>
        <m:sSub>
          <m:sSubPr>
            <m:ctrlPr>
              <w:rPr>
                <w:rFonts w:ascii="Cambria Math" w:hAnsi="Cambria Math"/>
                <w:i/>
              </w:rPr>
            </m:ctrlPr>
          </m:sSubPr>
          <m:e>
            <m:r>
              <m:rPr>
                <m:sty m:val="p"/>
              </m:rPr>
              <w:rPr>
                <w:rFonts w:ascii="Cambria Math" w:hAnsi="Cambria Math"/>
              </w:rPr>
              <m:t>Κ</m:t>
            </m:r>
          </m:e>
          <m:sub>
            <m:r>
              <w:rPr>
                <w:rFonts w:ascii="Cambria Math" w:hAnsi="Cambria Math"/>
              </w:rPr>
              <m:t>λ</m:t>
            </m:r>
          </m:sub>
        </m:sSub>
      </m:oMath>
      <w:r w:rsidR="003731CD">
        <w:rPr>
          <w:rFonts w:eastAsiaTheme="minorEastAsia"/>
        </w:rPr>
        <w:t xml:space="preserve"> is the modified Bessel function of second kind and order </w:t>
      </w:r>
      <m:oMath>
        <m:r>
          <w:rPr>
            <w:rFonts w:ascii="Cambria Math" w:eastAsiaTheme="minorEastAsia" w:hAnsi="Cambria Math"/>
          </w:rPr>
          <m:t>λ&gt;0</m:t>
        </m:r>
      </m:oMath>
      <w:r w:rsidR="003731CD">
        <w:rPr>
          <w:rFonts w:eastAsiaTheme="minorEastAsia"/>
        </w:rPr>
        <w:t xml:space="preserve"> </w:t>
      </w:r>
      <w:r w:rsidR="006A7B22">
        <w:rPr>
          <w:rFonts w:eastAsiaTheme="minorEastAsia"/>
        </w:rPr>
        <w:t xml:space="preserve">(here </w:t>
      </w:r>
      <m:oMath>
        <m:r>
          <w:rPr>
            <w:rFonts w:ascii="Cambria Math" w:eastAsiaTheme="minorEastAsia" w:hAnsi="Cambria Math"/>
          </w:rPr>
          <m:t>λ=1</m:t>
        </m:r>
      </m:oMath>
      <w:r w:rsidR="006A7B22">
        <w:rPr>
          <w:rFonts w:eastAsiaTheme="minorEastAsia"/>
        </w:rPr>
        <w:t>) measuring</w:t>
      </w:r>
      <w:r w:rsidR="003731CD">
        <w:rPr>
          <w:rFonts w:eastAsiaTheme="minorEastAsia"/>
        </w:rPr>
        <w:t xml:space="preserve"> the degree of smoothness. </w:t>
      </w:r>
      <w:r w:rsidR="00BB6A92">
        <w:rPr>
          <w:rFonts w:eastAsiaTheme="minorEastAsia"/>
        </w:rPr>
        <w:t>The range (</w:t>
      </w:r>
      <m:oMath>
        <m:r>
          <w:rPr>
            <w:rFonts w:ascii="Cambria Math" w:eastAsiaTheme="minorEastAsia" w:hAnsi="Cambria Math"/>
          </w:rPr>
          <m:t>r</m:t>
        </m:r>
      </m:oMath>
      <w:r w:rsidR="00BB6A92">
        <w:rPr>
          <w:rFonts w:eastAsiaTheme="minorEastAsia"/>
        </w:rPr>
        <w:t xml:space="preserve">), </w:t>
      </w:r>
    </w:p>
    <w:p w14:paraId="5F0E500B" w14:textId="77777777" w:rsidR="006A7B22" w:rsidRDefault="006A7B22" w:rsidP="006A7B22">
      <w:pPr>
        <w:spacing w:line="240" w:lineRule="auto"/>
        <w:jc w:val="right"/>
        <w:rPr>
          <w:rFonts w:eastAsiaTheme="minorEastAsia"/>
        </w:rPr>
      </w:pPr>
      <m:oMath>
        <m:r>
          <w:rPr>
            <w:rFonts w:ascii="Cambria Math" w:eastAsiaTheme="minorEastAsia" w:hAnsi="Cambria Math"/>
          </w:rPr>
          <m:t xml:space="preserve">r=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8λ</m:t>
                </m:r>
              </m:e>
            </m:rad>
          </m:num>
          <m:den>
            <m:r>
              <w:rPr>
                <w:rFonts w:ascii="Cambria Math" w:eastAsiaTheme="minorEastAsia" w:hAnsi="Cambria Math"/>
              </w:rPr>
              <m:t>κ</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C54509">
        <w:rPr>
          <w:rFonts w:eastAsiaTheme="minorEastAsia"/>
          <w:noProof/>
        </w:rPr>
        <w:t>7</w:t>
      </w:r>
      <w:r>
        <w:rPr>
          <w:rFonts w:eastAsiaTheme="minorEastAsia"/>
        </w:rPr>
        <w:fldChar w:fldCharType="end"/>
      </w:r>
    </w:p>
    <w:p w14:paraId="44340A08" w14:textId="4E8BD806" w:rsidR="003731CD" w:rsidRPr="003731CD" w:rsidRDefault="006A7B22" w:rsidP="00706AC6">
      <w:pPr>
        <w:spacing w:line="240" w:lineRule="auto"/>
      </w:pPr>
      <w:r>
        <w:rPr>
          <w:rFonts w:eastAsiaTheme="minorEastAsia"/>
        </w:rPr>
        <w:t xml:space="preserve">was </w:t>
      </w:r>
      <w:r w:rsidR="00BB6A92">
        <w:rPr>
          <w:rFonts w:eastAsiaTheme="minorEastAsia"/>
        </w:rPr>
        <w:t xml:space="preserve">defined as the distance at which </w:t>
      </w:r>
      <w:r>
        <w:rPr>
          <w:rFonts w:eastAsiaTheme="minorEastAsia"/>
        </w:rPr>
        <w:t xml:space="preserve">the spatial correlation is approximately </w:t>
      </w:r>
      <w:r w:rsidR="00BB6A92">
        <w:rPr>
          <w:rFonts w:eastAsiaTheme="minorEastAsia"/>
        </w:rPr>
        <w:t>0.1</w:t>
      </w:r>
      <w:r>
        <w:rPr>
          <w:rFonts w:eastAsiaTheme="minorEastAsia"/>
        </w:rPr>
        <w:t xml:space="preserve">, using  κ&gt;0 as a scaling parameter, according to Lindgren </w:t>
      </w:r>
      <w:r>
        <w:rPr>
          <w:rFonts w:eastAsiaTheme="minorEastAsia"/>
          <w:i/>
        </w:rPr>
        <w:t>et al</w:t>
      </w:r>
      <w:r>
        <w:rPr>
          <w:rFonts w:eastAsiaTheme="minorEastAsia"/>
        </w:rPr>
        <w:t>. (2011; see Section 2).</w:t>
      </w:r>
    </w:p>
    <w:p w14:paraId="1B71BA23" w14:textId="77777777" w:rsidR="008C7588" w:rsidRDefault="003B1108" w:rsidP="00C06806">
      <w:pPr>
        <w:pStyle w:val="Heading2"/>
      </w:pPr>
      <w:proofErr w:type="spellStart"/>
      <w:r>
        <w:t>Gompertz</w:t>
      </w:r>
      <w:proofErr w:type="spellEnd"/>
      <w:r w:rsidR="008C7588">
        <w:t xml:space="preserve"> model</w:t>
      </w:r>
    </w:p>
    <w:p w14:paraId="74FE9366" w14:textId="77777777" w:rsidR="003B1108" w:rsidRDefault="00693F53" w:rsidP="00706AC6">
      <w:pPr>
        <w:spacing w:line="240" w:lineRule="auto"/>
      </w:pPr>
      <w:r>
        <w:t xml:space="preserve">Population dynamics </w:t>
      </w:r>
      <w:r w:rsidR="00F875A6">
        <w:t xml:space="preserve">for each species </w:t>
      </w:r>
      <w:r>
        <w:t>were modelled using a spatial equivalent of the l</w:t>
      </w:r>
      <w:r w:rsidR="003B1108">
        <w:t xml:space="preserve">og-linear </w:t>
      </w:r>
      <w:r>
        <w:t xml:space="preserve">stochastic </w:t>
      </w:r>
      <w:proofErr w:type="spellStart"/>
      <w:r>
        <w:t>Gompertz</w:t>
      </w:r>
      <w:proofErr w:type="spellEnd"/>
      <w:r>
        <w:t xml:space="preserve"> </w:t>
      </w:r>
      <w:r w:rsidR="003B1108">
        <w:t xml:space="preserve">model, </w:t>
      </w:r>
    </w:p>
    <w:p w14:paraId="6569A338" w14:textId="77777777" w:rsidR="00C07367" w:rsidRDefault="00461842" w:rsidP="00706AC6">
      <w:pPr>
        <w:spacing w:line="240" w:lineRule="auto"/>
        <w:jc w:val="right"/>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t</m:t>
            </m:r>
          </m:sub>
        </m:sSub>
        <m:r>
          <w:rPr>
            <w:rFonts w:ascii="Cambria Math" w:hAnsi="Cambria Math"/>
          </w:rPr>
          <m:t xml:space="preserve">)= </m:t>
        </m:r>
        <m:r>
          <m:rPr>
            <m:sty m:val="p"/>
          </m:rPr>
          <w:rPr>
            <w:rFonts w:ascii="Cambria Math" w:hAnsi="Cambria Math"/>
          </w:rPr>
          <m:t>Ω</m:t>
        </m:r>
        <m:r>
          <w:rPr>
            <w:rFonts w:ascii="Cambria Math" w:hAnsi="Cambria Math"/>
          </w:rPr>
          <m:t>+ρ</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m:rPr>
                <m:sty m:val="p"/>
              </m:rPr>
              <w:rPr>
                <w:rFonts w:ascii="Cambria Math" w:hAnsi="Cambria Math"/>
              </w:rPr>
              <m:t xml:space="preserve"> EQ </m:t>
            </m:r>
            <m:r>
              <w:rPr>
                <w:rFonts w:ascii="Cambria Math" w:hAnsi="Cambria Math"/>
                <w:i/>
              </w:rPr>
              <w:fldChar w:fldCharType="end"/>
            </m:r>
            <m:r>
              <w:rPr>
                <w:rFonts w:ascii="Cambria Math" w:hAnsi="Cambria Math"/>
              </w:rPr>
              <m:t>t</m:t>
            </m:r>
          </m:sub>
        </m:sSub>
      </m:oMath>
      <w:r w:rsidR="001C15D7">
        <w:rPr>
          <w:rFonts w:eastAsiaTheme="minorEastAsia"/>
        </w:rPr>
        <w:t>,</w:t>
      </w:r>
      <w:r w:rsidR="001C15D7">
        <w:rPr>
          <w:rFonts w:eastAsiaTheme="minorEastAsia"/>
        </w:rPr>
        <w:tab/>
      </w:r>
      <w:r w:rsidR="001C15D7">
        <w:rPr>
          <w:rFonts w:eastAsiaTheme="minorEastAsia"/>
        </w:rPr>
        <w:tab/>
      </w:r>
      <w:r w:rsidR="001C15D7">
        <w:rPr>
          <w:rFonts w:eastAsiaTheme="minorEastAsia"/>
        </w:rPr>
        <w:tab/>
      </w:r>
      <w:r w:rsidR="001C15D7">
        <w:rPr>
          <w:rFonts w:eastAsiaTheme="minorEastAsia"/>
        </w:rPr>
        <w:tab/>
        <w:t xml:space="preserve">Eq. </w:t>
      </w:r>
      <w:r w:rsidR="001C15D7">
        <w:rPr>
          <w:rFonts w:eastAsiaTheme="minorEastAsia"/>
        </w:rPr>
        <w:fldChar w:fldCharType="begin"/>
      </w:r>
      <w:r w:rsidR="001C15D7">
        <w:rPr>
          <w:rFonts w:eastAsiaTheme="minorEastAsia"/>
        </w:rPr>
        <w:instrText xml:space="preserve"> SEQ Eq \* MERGEFORMAT </w:instrText>
      </w:r>
      <w:r w:rsidR="001C15D7">
        <w:rPr>
          <w:rFonts w:eastAsiaTheme="minorEastAsia"/>
        </w:rPr>
        <w:fldChar w:fldCharType="separate"/>
      </w:r>
      <w:r w:rsidR="00C54509">
        <w:rPr>
          <w:rFonts w:eastAsiaTheme="minorEastAsia"/>
          <w:noProof/>
        </w:rPr>
        <w:t>8</w:t>
      </w:r>
      <w:r w:rsidR="001C15D7">
        <w:rPr>
          <w:rFonts w:eastAsiaTheme="minorEastAsia"/>
        </w:rPr>
        <w:fldChar w:fldCharType="end"/>
      </w:r>
    </w:p>
    <w:p w14:paraId="20D7187E" w14:textId="10B558BB" w:rsidR="001B45CC" w:rsidRDefault="00693F53" w:rsidP="00706AC6">
      <w:pPr>
        <w:spacing w:line="240" w:lineRule="auto"/>
        <w:rPr>
          <w:rFonts w:eastAsiaTheme="minorEastAsia"/>
        </w:rPr>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eastAsiaTheme="minorEastAsia"/>
        </w:rPr>
        <w:t xml:space="preserve"> is the density </w:t>
      </w:r>
      <w:r w:rsidR="001B45CC">
        <w:rPr>
          <w:rFonts w:eastAsiaTheme="minorEastAsia"/>
        </w:rPr>
        <w:t>at</w:t>
      </w:r>
      <w:r>
        <w:rPr>
          <w:rFonts w:eastAsiaTheme="minorEastAsia"/>
        </w:rPr>
        <w:t xml:space="preserve"> all spatial locations</w:t>
      </w:r>
      <w:r w:rsidR="001B45CC">
        <w:rPr>
          <w:rFonts w:eastAsiaTheme="minorEastAsia"/>
        </w:rPr>
        <w:t xml:space="preserve"> [</w:t>
      </w:r>
      <w:proofErr w:type="spellStart"/>
      <w:r w:rsidR="001B45CC">
        <w:rPr>
          <w:rFonts w:eastAsiaTheme="minorEastAsia"/>
        </w:rPr>
        <w:t>x,y</w:t>
      </w:r>
      <w:proofErr w:type="spellEnd"/>
      <w:r w:rsidR="001B45CC">
        <w:rPr>
          <w:rFonts w:eastAsiaTheme="minorEastAsia"/>
        </w:rPr>
        <w:t>]</w:t>
      </w:r>
      <w:r>
        <w:rPr>
          <w:rFonts w:eastAsiaTheme="minorEastAsia"/>
        </w:rPr>
        <w:t xml:space="preserve"> in year </w:t>
      </w:r>
      <w:r>
        <w:rPr>
          <w:rFonts w:eastAsiaTheme="minorEastAsia"/>
          <w:i/>
        </w:rPr>
        <w:t>t</w:t>
      </w:r>
      <w:r>
        <w:rPr>
          <w:rFonts w:eastAsiaTheme="minorEastAsia"/>
        </w:rPr>
        <w:t xml:space="preserve">, ρ is the strength of density dependence, Ω is </w:t>
      </w:r>
      <w:r w:rsidR="001B45CC">
        <w:rPr>
          <w:rFonts w:eastAsiaTheme="minorEastAsia"/>
        </w:rPr>
        <w:t xml:space="preserve">the intercept represented by </w:t>
      </w:r>
      <w:r>
        <w:rPr>
          <w:rFonts w:eastAsiaTheme="minorEastAsia"/>
        </w:rPr>
        <w:t xml:space="preserve">a GMRF </w:t>
      </w:r>
    </w:p>
    <w:p w14:paraId="716FBBFF" w14:textId="59A0D0AF" w:rsidR="001B45CC" w:rsidRDefault="001B45CC" w:rsidP="001B45CC">
      <w:pPr>
        <w:spacing w:line="240" w:lineRule="auto"/>
        <w:jc w:val="right"/>
        <w:rPr>
          <w:rFonts w:eastAsiaTheme="minorEastAsia"/>
        </w:rPr>
      </w:pPr>
      <w:r>
        <w:t xml:space="preserve">Ω ~ </w:t>
      </w:r>
      <w:r w:rsidRPr="00023F1D">
        <w:rPr>
          <w:i/>
        </w:rPr>
        <w:t>MVN</w:t>
      </w:r>
      <w:r>
        <w:t>(α</w:t>
      </w:r>
      <w:r w:rsidRPr="00023F1D">
        <w:rPr>
          <w:b/>
        </w:rPr>
        <w:t>1</w:t>
      </w:r>
      <w:r>
        <w:t>, Σ</w:t>
      </w:r>
      <w:r>
        <w:rPr>
          <w:vertAlign w:val="subscript"/>
        </w:rPr>
        <w:t>Ω</w:t>
      </w:r>
      <w:r>
        <w:t>)</w:t>
      </w:r>
      <w:r>
        <w:tab/>
      </w:r>
      <w:r>
        <w:tab/>
      </w:r>
      <w:r>
        <w:tab/>
      </w:r>
      <w:r>
        <w:tab/>
      </w:r>
      <w:r>
        <w:tab/>
        <w:t xml:space="preserve">Eq. </w:t>
      </w:r>
      <w:fldSimple w:instr=" SEQ Eq \* MERGEFORMAT ">
        <w:r w:rsidR="00C54509">
          <w:rPr>
            <w:noProof/>
          </w:rPr>
          <w:t>9</w:t>
        </w:r>
      </w:fldSimple>
    </w:p>
    <w:p w14:paraId="40199AC4" w14:textId="77777777" w:rsidR="001B45CC" w:rsidRDefault="001B45CC" w:rsidP="00706AC6">
      <w:pPr>
        <w:spacing w:line="240" w:lineRule="auto"/>
        <w:rPr>
          <w:rFonts w:eastAsiaTheme="minorEastAsia"/>
        </w:rPr>
      </w:pPr>
      <w:commentRangeStart w:id="11"/>
      <w:r>
        <w:rPr>
          <w:rFonts w:eastAsiaTheme="minorEastAsia"/>
        </w:rPr>
        <w:t>where α</w:t>
      </w:r>
      <w:r w:rsidRPr="00023F1D">
        <w:rPr>
          <w:rFonts w:eastAsiaTheme="minorEastAsia"/>
          <w:b/>
        </w:rPr>
        <w:t>1</w:t>
      </w:r>
      <w:r>
        <w:rPr>
          <w:rFonts w:eastAsiaTheme="minorEastAsia"/>
        </w:rPr>
        <w:t xml:space="preserve"> is a vector and α is the mean productivity of the GMRF</w:t>
      </w:r>
      <w:r w:rsidR="001137FF">
        <w:rPr>
          <w:rStyle w:val="CommentReference"/>
        </w:rPr>
        <w:commentReference w:id="12"/>
      </w:r>
      <w:commentRangeEnd w:id="11"/>
      <w:r>
        <w:rPr>
          <w:rStyle w:val="CommentReference"/>
        </w:rPr>
        <w:commentReference w:id="11"/>
      </w:r>
      <w:r w:rsidR="00693F53">
        <w:rPr>
          <w:rFonts w:eastAsiaTheme="minorEastAsia"/>
        </w:rPr>
        <w:t xml:space="preserve">, and </w:t>
      </w:r>
      <m:oMath>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m:rPr>
                <m:sty m:val="p"/>
              </m:rPr>
              <w:rPr>
                <w:rFonts w:ascii="Cambria Math" w:hAnsi="Cambria Math"/>
              </w:rPr>
              <m:t xml:space="preserve"> EQ </m:t>
            </m:r>
            <m:r>
              <w:rPr>
                <w:rFonts w:ascii="Cambria Math" w:hAnsi="Cambria Math"/>
                <w:i/>
              </w:rPr>
              <w:fldChar w:fldCharType="end"/>
            </m:r>
            <m:r>
              <w:rPr>
                <w:rFonts w:ascii="Cambria Math" w:hAnsi="Cambria Math"/>
              </w:rPr>
              <m:t>t</m:t>
            </m:r>
          </m:sub>
        </m:sSub>
      </m:oMath>
      <w:r w:rsidR="00693F53">
        <w:rPr>
          <w:rFonts w:eastAsiaTheme="minorEastAsia"/>
        </w:rPr>
        <w:t xml:space="preserve"> is a GMRF </w:t>
      </w:r>
    </w:p>
    <w:p w14:paraId="3AD5A1B9" w14:textId="418AD7F5" w:rsidR="001B45CC" w:rsidRDefault="001B45CC" w:rsidP="001B45CC">
      <w:pPr>
        <w:spacing w:line="240" w:lineRule="auto"/>
        <w:jc w:val="right"/>
        <w:rPr>
          <w:rFonts w:eastAsiaTheme="minorEastAsia"/>
        </w:rPr>
      </w:pPr>
      <w:proofErr w:type="spellStart"/>
      <w:r>
        <w:rPr>
          <w:rFonts w:eastAsiaTheme="minorEastAsia"/>
        </w:rPr>
        <w:t>Ε</w:t>
      </w:r>
      <w:r>
        <w:rPr>
          <w:rFonts w:eastAsiaTheme="minorEastAsia"/>
          <w:vertAlign w:val="subscript"/>
        </w:rPr>
        <w:t>t</w:t>
      </w:r>
      <w:proofErr w:type="spellEnd"/>
      <w:r>
        <w:rPr>
          <w:rFonts w:eastAsiaTheme="minorEastAsia"/>
        </w:rPr>
        <w:t xml:space="preserve"> ~ </w:t>
      </w:r>
      <w:r w:rsidRPr="00023F1D">
        <w:rPr>
          <w:rFonts w:eastAsiaTheme="minorEastAsia"/>
          <w:i/>
        </w:rPr>
        <w:t>MVN</w:t>
      </w:r>
      <w:r>
        <w:rPr>
          <w:rFonts w:eastAsiaTheme="minorEastAsia"/>
        </w:rPr>
        <w:t xml:space="preserve">(0, </w:t>
      </w:r>
      <w:r>
        <w:t>Σ</w:t>
      </w:r>
      <w:r>
        <w:rPr>
          <w:vertAlign w:val="subscript"/>
        </w:rPr>
        <w:t>Ε</w:t>
      </w:r>
      <w:r>
        <w:rPr>
          <w:rFonts w:eastAsiaTheme="minorEastAsia"/>
        </w:rPr>
        <w:t>)</w:t>
      </w:r>
      <w:r>
        <w:rPr>
          <w:rFonts w:eastAsiaTheme="minorEastAsia"/>
        </w:rPr>
        <w:tab/>
      </w:r>
      <w:r w:rsidR="006321CA">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C54509">
        <w:rPr>
          <w:rFonts w:eastAsiaTheme="minorEastAsia"/>
          <w:noProof/>
        </w:rPr>
        <w:t>10</w:t>
      </w:r>
      <w:r>
        <w:rPr>
          <w:rFonts w:eastAsiaTheme="minorEastAsia"/>
        </w:rPr>
        <w:fldChar w:fldCharType="end"/>
      </w:r>
    </w:p>
    <w:p w14:paraId="20A77C3A" w14:textId="5B8A8F2A" w:rsidR="003B1108" w:rsidRDefault="00693F53" w:rsidP="00706AC6">
      <w:pPr>
        <w:spacing w:line="240" w:lineRule="auto"/>
        <w:rPr>
          <w:rFonts w:ascii="Cambria Math" w:eastAsiaTheme="minorEastAsia" w:hAnsi="Cambria Math" w:cs="Cambria Math"/>
        </w:rPr>
      </w:pPr>
      <w:r>
        <w:rPr>
          <w:rFonts w:eastAsiaTheme="minorEastAsia"/>
        </w:rPr>
        <w:t xml:space="preserve">representing the spatial variation in process error in year </w:t>
      </w:r>
      <w:r>
        <w:rPr>
          <w:rFonts w:eastAsiaTheme="minorEastAsia"/>
          <w:i/>
        </w:rPr>
        <w:t>t</w:t>
      </w:r>
      <w:r w:rsidR="001C15D7">
        <w:t>.</w:t>
      </w:r>
      <w:r>
        <w:t xml:space="preserve"> </w:t>
      </w:r>
      <w:r w:rsidR="00023F1D">
        <w:t>Σ</w:t>
      </w:r>
      <w:r w:rsidR="00023F1D">
        <w:rPr>
          <w:vertAlign w:val="subscript"/>
        </w:rPr>
        <w:t>Ω</w:t>
      </w:r>
      <w:r w:rsidR="00023F1D">
        <w:t xml:space="preserve"> and Σ</w:t>
      </w:r>
      <w:r w:rsidR="00023F1D">
        <w:rPr>
          <w:vertAlign w:val="subscript"/>
        </w:rPr>
        <w:t>Ε</w:t>
      </w:r>
      <w:r w:rsidR="00023F1D">
        <w:rPr>
          <w:vertAlign w:val="subscript"/>
        </w:rPr>
        <w:softHyphen/>
      </w:r>
      <w:r w:rsidR="00023F1D">
        <w:t xml:space="preserve"> are defined as above </w:t>
      </w:r>
      <w:r w:rsidR="00585077">
        <w:t xml:space="preserve">(Eq. </w:t>
      </w:r>
      <w:r w:rsidR="00585077">
        <w:fldChar w:fldCharType="begin"/>
      </w:r>
      <w:r w:rsidR="00585077">
        <w:instrText xml:space="preserve"> REF spatialcovariance \h </w:instrText>
      </w:r>
      <w:r w:rsidR="00585077">
        <w:fldChar w:fldCharType="separate"/>
      </w:r>
      <w:r w:rsidR="00C54509">
        <w:rPr>
          <w:rFonts w:ascii="Cambria Math" w:eastAsiaTheme="minorEastAsia" w:hAnsi="Cambria Math" w:cs="Cambria Math"/>
          <w:noProof/>
        </w:rPr>
        <w:t>5</w:t>
      </w:r>
      <w:r w:rsidR="00585077">
        <w:fldChar w:fldCharType="end"/>
      </w:r>
      <w:r w:rsidR="00585077">
        <w:t xml:space="preserve">) </w:t>
      </w:r>
      <w:r w:rsidR="00023F1D">
        <w:t xml:space="preserve">with independent </w:t>
      </w:r>
      <w:r w:rsidR="006321CA">
        <w:t xml:space="preserve">marginal </w:t>
      </w:r>
      <w:r w:rsidR="00023F1D">
        <w:t xml:space="preserve">variance components </w:t>
      </w:r>
      <w:r w:rsidR="001A3727">
        <w:t>(</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Ω</m:t>
            </m:r>
          </m:sub>
          <m:sup>
            <m:r>
              <w:rPr>
                <w:rFonts w:ascii="Cambria Math" w:eastAsiaTheme="minorEastAsia" w:hAnsi="Cambria Math" w:cs="Cambria Math"/>
              </w:rPr>
              <m:t>2</m:t>
            </m:r>
          </m:sup>
        </m:sSubSup>
      </m:oMath>
      <w:r w:rsidR="001A3727">
        <w:rPr>
          <w:rFonts w:eastAsiaTheme="minorEastAsia"/>
        </w:rPr>
        <w:t xml:space="preserve"> and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Ε</m:t>
            </m:r>
          </m:sub>
          <m:sup>
            <m:r>
              <w:rPr>
                <w:rFonts w:ascii="Cambria Math" w:eastAsiaTheme="minorEastAsia" w:hAnsi="Cambria Math" w:cs="Cambria Math"/>
              </w:rPr>
              <m:t>2</m:t>
            </m:r>
          </m:sup>
        </m:sSubSup>
      </m:oMath>
      <w:r w:rsidR="001A3727">
        <w:rPr>
          <w:rFonts w:eastAsiaTheme="minorEastAsia"/>
        </w:rPr>
        <w:t xml:space="preserve"> respectively</w:t>
      </w:r>
      <w:r w:rsidR="001A3727">
        <w:t xml:space="preserve">) </w:t>
      </w:r>
      <w:r w:rsidR="008F0CA6">
        <w:t>but</w:t>
      </w:r>
      <w:r w:rsidR="00023F1D">
        <w:t xml:space="preserve"> equal </w:t>
      </w:r>
      <w:proofErr w:type="spellStart"/>
      <w:r w:rsidR="00023F1D">
        <w:rPr>
          <w:rFonts w:ascii="Cambria Math" w:eastAsiaTheme="minorEastAsia" w:hAnsi="Cambria Math" w:cs="Cambria Math"/>
        </w:rPr>
        <w:t>Matérn</w:t>
      </w:r>
      <w:proofErr w:type="spellEnd"/>
      <w:r w:rsidR="00023F1D">
        <w:rPr>
          <w:rFonts w:ascii="Cambria Math" w:eastAsiaTheme="minorEastAsia" w:hAnsi="Cambria Math" w:cs="Cambria Math"/>
        </w:rPr>
        <w:t xml:space="preserve"> spatial covariance functions.</w:t>
      </w:r>
    </w:p>
    <w:p w14:paraId="7A8371E1" w14:textId="77777777" w:rsidR="00331577" w:rsidRDefault="00023F1D" w:rsidP="00706AC6">
      <w:pPr>
        <w:spacing w:line="240" w:lineRule="auto"/>
        <w:rPr>
          <w:rFonts w:ascii="Cambria Math" w:eastAsiaTheme="minorEastAsia" w:hAnsi="Cambria Math" w:cs="Cambria Math"/>
        </w:rPr>
      </w:pPr>
      <w:r>
        <w:rPr>
          <w:rFonts w:ascii="Cambria Math" w:eastAsiaTheme="minorEastAsia" w:hAnsi="Cambria Math" w:cs="Cambria Math"/>
        </w:rPr>
        <w:tab/>
      </w:r>
      <w:r w:rsidR="001A3727">
        <w:rPr>
          <w:rFonts w:ascii="Cambria Math" w:eastAsiaTheme="minorEastAsia" w:hAnsi="Cambria Math" w:cs="Cambria Math"/>
        </w:rPr>
        <w:t xml:space="preserve">The model has a stationary distribution </w:t>
      </w:r>
    </w:p>
    <w:p w14:paraId="0E48B68F" w14:textId="0C28EADD" w:rsidR="00331577" w:rsidRDefault="00461842" w:rsidP="00331577">
      <w:pPr>
        <w:spacing w:line="240" w:lineRule="auto"/>
        <w:jc w:val="right"/>
        <w:rPr>
          <w:rFonts w:ascii="Cambria Math" w:eastAsiaTheme="minorEastAsia" w:hAnsi="Cambria Math" w:cs="Cambria Math"/>
        </w:rPr>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equilibrium</m:t>
            </m:r>
          </m:sub>
        </m:sSub>
        <m:r>
          <w:rPr>
            <w:rFonts w:ascii="Cambria Math" w:hAnsi="Cambria Math"/>
          </w:rPr>
          <m:t>)~N</m:t>
        </m:r>
        <m:d>
          <m:dPr>
            <m:ctrlPr>
              <w:rPr>
                <w:rFonts w:ascii="Cambria Math" w:hAnsi="Cambria Math"/>
              </w:rPr>
            </m:ctrlPr>
          </m:dPr>
          <m:e>
            <m:f>
              <m:fPr>
                <m:ctrlPr>
                  <w:rPr>
                    <w:rFonts w:ascii="Cambria Math" w:hAnsi="Cambria Math"/>
                  </w:rPr>
                </m:ctrlPr>
              </m:fPr>
              <m:num>
                <m:r>
                  <m:rPr>
                    <m:sty m:val="p"/>
                  </m:rPr>
                  <w:rPr>
                    <w:rFonts w:ascii="Cambria Math" w:hAnsi="Cambria Math"/>
                  </w:rPr>
                  <m:t>Ω</m:t>
                </m:r>
              </m:num>
              <m:den>
                <m:r>
                  <w:rPr>
                    <w:rFonts w:ascii="Cambria Math" w:hAnsi="Cambria Math"/>
                  </w:rPr>
                  <m:t>1- ρ</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τ</m:t>
                    </m:r>
                  </m:e>
                  <m:sup>
                    <m:r>
                      <w:rPr>
                        <w:rFonts w:ascii="Cambria Math" w:hAnsi="Cambria Math"/>
                      </w:rPr>
                      <m:t>2</m:t>
                    </m:r>
                  </m:sup>
                </m:sSup>
              </m:num>
              <m:den>
                <m:r>
                  <w:rPr>
                    <w:rFonts w:ascii="Cambria Math" w:hAnsi="Cambria Math"/>
                  </w:rPr>
                  <m:t xml:space="preserve">1- </m:t>
                </m:r>
                <m:sSup>
                  <m:sSupPr>
                    <m:ctrlPr>
                      <w:rPr>
                        <w:rFonts w:ascii="Cambria Math" w:hAnsi="Cambria Math"/>
                        <w:i/>
                      </w:rPr>
                    </m:ctrlPr>
                  </m:sSupPr>
                  <m:e>
                    <m:r>
                      <w:rPr>
                        <w:rFonts w:ascii="Cambria Math" w:hAnsi="Cambria Math"/>
                      </w:rPr>
                      <m:t>ρ</m:t>
                    </m:r>
                  </m:e>
                  <m:sup>
                    <m:r>
                      <w:rPr>
                        <w:rFonts w:ascii="Cambria Math" w:hAnsi="Cambria Math"/>
                      </w:rPr>
                      <m:t>2</m:t>
                    </m:r>
                  </m:sup>
                </m:sSup>
              </m:den>
            </m:f>
            <m:r>
              <w:rPr>
                <w:rFonts w:ascii="Cambria Math" w:hAnsi="Cambria Math"/>
              </w:rPr>
              <m:t xml:space="preserve"> </m:t>
            </m:r>
          </m:e>
        </m:d>
      </m:oMath>
      <w:r w:rsidR="00331577">
        <w:rPr>
          <w:rFonts w:ascii="Cambria Math" w:eastAsiaTheme="minorEastAsia" w:hAnsi="Cambria Math" w:cs="Cambria Math"/>
        </w:rPr>
        <w:tab/>
      </w:r>
      <w:r w:rsidR="00331577">
        <w:rPr>
          <w:rFonts w:ascii="Cambria Math" w:eastAsiaTheme="minorEastAsia" w:hAnsi="Cambria Math" w:cs="Cambria Math"/>
        </w:rPr>
        <w:tab/>
      </w:r>
      <w:r w:rsidR="00331577">
        <w:rPr>
          <w:rFonts w:ascii="Cambria Math" w:eastAsiaTheme="minorEastAsia" w:hAnsi="Cambria Math" w:cs="Cambria Math"/>
        </w:rPr>
        <w:tab/>
        <w:t xml:space="preserve">Eq. </w:t>
      </w:r>
      <w:r w:rsidR="00331577">
        <w:rPr>
          <w:rFonts w:ascii="Cambria Math" w:eastAsiaTheme="minorEastAsia" w:hAnsi="Cambria Math" w:cs="Cambria Math"/>
        </w:rPr>
        <w:fldChar w:fldCharType="begin"/>
      </w:r>
      <w:r w:rsidR="00331577">
        <w:rPr>
          <w:rFonts w:ascii="Cambria Math" w:eastAsiaTheme="minorEastAsia" w:hAnsi="Cambria Math" w:cs="Cambria Math"/>
        </w:rPr>
        <w:instrText xml:space="preserve"> SEQ Eq \* MERGEFORMAT </w:instrText>
      </w:r>
      <w:r w:rsidR="00331577">
        <w:rPr>
          <w:rFonts w:ascii="Cambria Math" w:eastAsiaTheme="minorEastAsia" w:hAnsi="Cambria Math" w:cs="Cambria Math"/>
        </w:rPr>
        <w:fldChar w:fldCharType="separate"/>
      </w:r>
      <w:r w:rsidR="00C54509">
        <w:rPr>
          <w:rFonts w:ascii="Cambria Math" w:eastAsiaTheme="minorEastAsia" w:hAnsi="Cambria Math" w:cs="Cambria Math"/>
          <w:noProof/>
        </w:rPr>
        <w:t>11</w:t>
      </w:r>
      <w:r w:rsidR="00331577">
        <w:rPr>
          <w:rFonts w:ascii="Cambria Math" w:eastAsiaTheme="minorEastAsia" w:hAnsi="Cambria Math" w:cs="Cambria Math"/>
        </w:rPr>
        <w:fldChar w:fldCharType="end"/>
      </w:r>
    </w:p>
    <w:p w14:paraId="54559197" w14:textId="4BA4764D" w:rsidR="00023F1D" w:rsidRDefault="001A3727" w:rsidP="00706AC6">
      <w:pPr>
        <w:spacing w:line="240" w:lineRule="auto"/>
        <w:rPr>
          <w:rFonts w:ascii="Cambria Math" w:eastAsiaTheme="minorEastAsia" w:hAnsi="Cambria Math" w:cs="Cambria Math"/>
        </w:rPr>
      </w:pPr>
      <w:r>
        <w:rPr>
          <w:rFonts w:ascii="Cambria Math" w:eastAsiaTheme="minorEastAsia" w:hAnsi="Cambria Math" w:cs="Cambria Math"/>
        </w:rPr>
        <w:t xml:space="preserve">when </w:t>
      </w:r>
      <m:oMath>
        <m:d>
          <m:dPr>
            <m:begChr m:val="|"/>
            <m:endChr m:val="|"/>
            <m:ctrlPr>
              <w:rPr>
                <w:rFonts w:ascii="Cambria Math" w:eastAsiaTheme="minorEastAsia" w:hAnsi="Cambria Math" w:cs="Cambria Math"/>
                <w:i/>
              </w:rPr>
            </m:ctrlPr>
          </m:dPr>
          <m:e>
            <m:r>
              <w:rPr>
                <w:rFonts w:ascii="Cambria Math" w:eastAsiaTheme="minorEastAsia" w:hAnsi="Cambria Math" w:cs="Cambria Math"/>
              </w:rPr>
              <m:t>ρ</m:t>
            </m:r>
          </m:e>
        </m:d>
        <m:r>
          <w:rPr>
            <w:rFonts w:ascii="Cambria Math" w:eastAsiaTheme="minorEastAsia" w:hAnsi="Cambria Math" w:cs="Cambria Math"/>
          </w:rPr>
          <m:t>&lt;1</m:t>
        </m:r>
      </m:oMath>
      <w:r w:rsidR="00331577">
        <w:rPr>
          <w:rFonts w:ascii="Cambria Math" w:eastAsiaTheme="minorEastAsia" w:hAnsi="Cambria Math" w:cs="Cambria Math"/>
        </w:rPr>
        <w:t xml:space="preserve">. </w:t>
      </w:r>
      <w:r w:rsidR="00023F1D">
        <w:rPr>
          <w:rFonts w:ascii="Cambria Math" w:eastAsiaTheme="minorEastAsia" w:hAnsi="Cambria Math" w:cs="Cambria Math"/>
        </w:rPr>
        <w:t>Initial conditions</w:t>
      </w:r>
      <w:r w:rsidR="006321CA">
        <w:rPr>
          <w:rFonts w:ascii="Cambria Math" w:eastAsiaTheme="minorEastAsia" w:hAnsi="Cambria Math" w:cs="Cambria Math"/>
        </w:rPr>
        <w:t xml:space="preserve">, representing the population when </w:t>
      </w:r>
      <w:r w:rsidR="006321CA" w:rsidRPr="006321CA">
        <w:rPr>
          <w:rFonts w:ascii="Cambria Math" w:eastAsiaTheme="minorEastAsia" w:hAnsi="Cambria Math" w:cs="Cambria Math"/>
          <w:i/>
        </w:rPr>
        <w:t>t</w:t>
      </w:r>
      <w:r w:rsidR="006321CA">
        <w:rPr>
          <w:rFonts w:ascii="Cambria Math" w:eastAsiaTheme="minorEastAsia" w:hAnsi="Cambria Math" w:cs="Cambria Math"/>
        </w:rPr>
        <w:t>=1, were specified u</w:t>
      </w:r>
      <w:r w:rsidR="00023F1D" w:rsidRPr="006321CA">
        <w:rPr>
          <w:rFonts w:ascii="Cambria Math" w:eastAsiaTheme="minorEastAsia" w:hAnsi="Cambria Math" w:cs="Cambria Math"/>
        </w:rPr>
        <w:t>sing</w:t>
      </w:r>
      <w:r w:rsidR="00023F1D">
        <w:rPr>
          <w:rFonts w:ascii="Cambria Math" w:eastAsiaTheme="minorEastAsia" w:hAnsi="Cambria Math" w:cs="Cambria Math"/>
        </w:rPr>
        <w:t xml:space="preserve"> the following equation:</w:t>
      </w:r>
    </w:p>
    <w:commentRangeStart w:id="13"/>
    <w:p w14:paraId="71BF237F" w14:textId="77777777" w:rsidR="00023F1D" w:rsidRDefault="00461842" w:rsidP="00706AC6">
      <w:pPr>
        <w:spacing w:line="240" w:lineRule="auto"/>
        <w:jc w:val="right"/>
        <w:rPr>
          <w:rFonts w:ascii="Cambria Math" w:eastAsiaTheme="minorEastAsia" w:hAnsi="Cambria Math" w:cs="Cambria Math"/>
        </w:rPr>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1</m:t>
            </m:r>
          </m:sub>
        </m:sSub>
        <m:r>
          <w:rPr>
            <w:rFonts w:ascii="Cambria Math" w:hAnsi="Cambria Math"/>
          </w:rPr>
          <m:t xml:space="preserve">)= </m:t>
        </m:r>
        <m:f>
          <m:fPr>
            <m:ctrlPr>
              <w:rPr>
                <w:rFonts w:ascii="Cambria Math" w:hAnsi="Cambria Math"/>
              </w:rPr>
            </m:ctrlPr>
          </m:fPr>
          <m:num>
            <m:r>
              <m:rPr>
                <m:sty m:val="p"/>
              </m:rPr>
              <w:rPr>
                <w:rFonts w:ascii="Cambria Math" w:hAnsi="Cambria Math"/>
              </w:rPr>
              <m:t>Ω</m:t>
            </m:r>
          </m:num>
          <m:den>
            <m:r>
              <w:rPr>
                <w:rFonts w:ascii="Cambria Math" w:hAnsi="Cambria Math"/>
              </w:rPr>
              <m:t>1- ρ</m:t>
            </m:r>
          </m:den>
        </m:f>
        <m:r>
          <w:rPr>
            <w:rFonts w:ascii="Cambria Math" w:hAnsi="Cambria Math"/>
          </w:rPr>
          <m:t>+ϕ</m:t>
        </m:r>
        <m:r>
          <m:rPr>
            <m:sty m:val="bi"/>
          </m:rPr>
          <w:rPr>
            <w:rFonts w:ascii="Cambria Math" w:hAnsi="Cambria Math"/>
          </w:rPr>
          <m:t>1+</m:t>
        </m:r>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rPr>
              <m:t>1</m:t>
            </m:r>
          </m:sub>
        </m:sSub>
      </m:oMath>
      <w:r w:rsidR="00023F1D">
        <w:rPr>
          <w:rFonts w:eastAsiaTheme="minorEastAsia"/>
        </w:rPr>
        <w:t>,</w:t>
      </w:r>
      <w:commentRangeEnd w:id="13"/>
      <w:r w:rsidR="00AA1AE5">
        <w:rPr>
          <w:rStyle w:val="CommentReference"/>
        </w:rPr>
        <w:commentReference w:id="13"/>
      </w:r>
      <w:r w:rsidR="00023F1D">
        <w:rPr>
          <w:rFonts w:eastAsiaTheme="minorEastAsia"/>
        </w:rPr>
        <w:tab/>
      </w:r>
      <w:r w:rsidR="00023F1D">
        <w:rPr>
          <w:rFonts w:eastAsiaTheme="minorEastAsia"/>
        </w:rPr>
        <w:tab/>
      </w:r>
      <w:r w:rsidR="00023F1D">
        <w:rPr>
          <w:rFonts w:eastAsiaTheme="minorEastAsia"/>
        </w:rPr>
        <w:tab/>
      </w:r>
      <w:r w:rsidR="00023F1D">
        <w:rPr>
          <w:rFonts w:eastAsiaTheme="minorEastAsia"/>
        </w:rPr>
        <w:tab/>
        <w:t xml:space="preserve">Eq. </w:t>
      </w:r>
      <w:r w:rsidR="00023F1D">
        <w:rPr>
          <w:rFonts w:eastAsiaTheme="minorEastAsia"/>
        </w:rPr>
        <w:fldChar w:fldCharType="begin"/>
      </w:r>
      <w:r w:rsidR="00023F1D">
        <w:rPr>
          <w:rFonts w:eastAsiaTheme="minorEastAsia"/>
        </w:rPr>
        <w:instrText xml:space="preserve"> SEQ Eq \* MERGEFORMAT </w:instrText>
      </w:r>
      <w:r w:rsidR="00023F1D">
        <w:rPr>
          <w:rFonts w:eastAsiaTheme="minorEastAsia"/>
        </w:rPr>
        <w:fldChar w:fldCharType="separate"/>
      </w:r>
      <w:r w:rsidR="00C54509">
        <w:rPr>
          <w:rFonts w:eastAsiaTheme="minorEastAsia"/>
          <w:noProof/>
        </w:rPr>
        <w:t>12</w:t>
      </w:r>
      <w:r w:rsidR="00023F1D">
        <w:rPr>
          <w:rFonts w:eastAsiaTheme="minorEastAsia"/>
        </w:rPr>
        <w:fldChar w:fldCharType="end"/>
      </w:r>
    </w:p>
    <w:p w14:paraId="4CC1B094" w14:textId="77777777" w:rsidR="00023F1D" w:rsidRPr="00023F1D" w:rsidRDefault="00023F1D" w:rsidP="00706AC6">
      <w:pPr>
        <w:spacing w:line="240" w:lineRule="auto"/>
      </w:pPr>
      <w:r>
        <w:rPr>
          <w:rFonts w:ascii="Cambria Math" w:eastAsiaTheme="minorEastAsia" w:hAnsi="Cambria Math" w:cs="Cambria Math"/>
        </w:rPr>
        <w:t>where ϕ</w:t>
      </w:r>
      <w:r w:rsidRPr="00023F1D">
        <w:rPr>
          <w:rFonts w:ascii="Cambria Math" w:eastAsiaTheme="minorEastAsia" w:hAnsi="Cambria Math" w:cs="Cambria Math"/>
          <w:b/>
        </w:rPr>
        <w:t>1</w:t>
      </w:r>
      <w:r>
        <w:rPr>
          <w:rFonts w:ascii="Cambria Math" w:eastAsiaTheme="minorEastAsia" w:hAnsi="Cambria Math" w:cs="Cambria Math"/>
        </w:rPr>
        <w:t xml:space="preserve"> is the log-ratio of expected abundance in the initial year (</w:t>
      </w:r>
      <w:r>
        <w:rPr>
          <w:rFonts w:ascii="Cambria Math" w:eastAsiaTheme="minorEastAsia" w:hAnsi="Cambria Math" w:cs="Cambria Math"/>
          <w:i/>
        </w:rPr>
        <w:t>t</w:t>
      </w:r>
      <w:r>
        <w:rPr>
          <w:rFonts w:ascii="Cambria Math" w:eastAsiaTheme="minorEastAsia" w:hAnsi="Cambria Math" w:cs="Cambria Math"/>
        </w:rPr>
        <w:t>=1) and the median of the stationary distribution for abundance at equilibrium.</w:t>
      </w:r>
    </w:p>
    <w:p w14:paraId="3D9FF7E8" w14:textId="77777777" w:rsidR="00BB6A92" w:rsidRPr="00C06806" w:rsidRDefault="00BB6A92" w:rsidP="00C06806">
      <w:pPr>
        <w:pStyle w:val="Heading2"/>
      </w:pPr>
      <w:r w:rsidRPr="00C06806">
        <w:t>Estimation procedure</w:t>
      </w:r>
    </w:p>
    <w:p w14:paraId="3CF64677" w14:textId="77777777" w:rsidR="00A54A1F" w:rsidRDefault="00A54A1F" w:rsidP="00127A23">
      <w:pPr>
        <w:spacing w:line="240" w:lineRule="auto"/>
      </w:pPr>
      <w:r>
        <w:t>Data were assumed to follow a lognormal distribution</w:t>
      </w:r>
    </w:p>
    <w:p w14:paraId="4EFA0C23" w14:textId="5C877A53" w:rsidR="00A54A1F" w:rsidRPr="00AC3170" w:rsidRDefault="00461842" w:rsidP="00706AC6">
      <w:pPr>
        <w:spacing w:line="240" w:lineRule="auto"/>
        <w:jc w:val="right"/>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CPUE</m:t>
                    </m:r>
                  </m:e>
                  <m:sub>
                    <m:r>
                      <w:rPr>
                        <w:rFonts w:ascii="Cambria Math" w:hAnsi="Cambria Math"/>
                      </w:rPr>
                      <m:t>t</m:t>
                    </m:r>
                  </m:sub>
                </m:sSub>
              </m:e>
            </m:d>
          </m:e>
        </m:func>
        <m:r>
          <w:rPr>
            <w:rFonts w:ascii="Cambria Math" w:hAnsi="Cambria Math"/>
          </w:rPr>
          <m:t>~ 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w:r w:rsidR="00BF22D9">
        <w:rPr>
          <w:rFonts w:eastAsiaTheme="minorEastAsia"/>
        </w:rPr>
        <w:t xml:space="preserve">, </w:t>
      </w:r>
      <w:r w:rsidR="00BF22D9">
        <w:rPr>
          <w:rFonts w:eastAsiaTheme="minorEastAsia"/>
        </w:rPr>
        <w:tab/>
      </w:r>
      <w:r w:rsidR="00BF22D9">
        <w:rPr>
          <w:rFonts w:eastAsiaTheme="minorEastAsia"/>
        </w:rPr>
        <w:tab/>
      </w:r>
      <w:r w:rsidR="00BF22D9">
        <w:rPr>
          <w:rFonts w:eastAsiaTheme="minorEastAsia"/>
        </w:rPr>
        <w:tab/>
        <w:t xml:space="preserve">Eq. </w:t>
      </w:r>
      <w:r w:rsidR="00BF22D9">
        <w:rPr>
          <w:rFonts w:eastAsiaTheme="minorEastAsia"/>
        </w:rPr>
        <w:fldChar w:fldCharType="begin"/>
      </w:r>
      <w:r w:rsidR="00BF22D9">
        <w:rPr>
          <w:rFonts w:eastAsiaTheme="minorEastAsia"/>
        </w:rPr>
        <w:instrText xml:space="preserve"> SEQ Eq \* MERGEFORMAT </w:instrText>
      </w:r>
      <w:r w:rsidR="00BF22D9">
        <w:rPr>
          <w:rFonts w:eastAsiaTheme="minorEastAsia"/>
        </w:rPr>
        <w:fldChar w:fldCharType="separate"/>
      </w:r>
      <w:r w:rsidR="00C54509">
        <w:rPr>
          <w:rFonts w:eastAsiaTheme="minorEastAsia"/>
          <w:noProof/>
        </w:rPr>
        <w:t>13</w:t>
      </w:r>
      <w:r w:rsidR="00BF22D9">
        <w:rPr>
          <w:rFonts w:eastAsiaTheme="minorEastAsia"/>
        </w:rPr>
        <w:fldChar w:fldCharType="end"/>
      </w:r>
    </w:p>
    <w:p w14:paraId="69B06A70" w14:textId="64FC7B3F" w:rsidR="00BB6A92" w:rsidRDefault="00BF22D9" w:rsidP="00706AC6">
      <w:pPr>
        <w:spacing w:line="240" w:lineRule="auto"/>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Pr>
          <w:rFonts w:eastAsiaTheme="minorEastAsia"/>
        </w:rPr>
        <w:t xml:space="preserve"> is </w:t>
      </w:r>
      <w:r w:rsidR="009767F2">
        <w:rPr>
          <w:rFonts w:eastAsiaTheme="minorEastAsia"/>
        </w:rPr>
        <w:t xml:space="preserve">the </w:t>
      </w:r>
      <w:r>
        <w:rPr>
          <w:rFonts w:eastAsiaTheme="minorEastAsia"/>
        </w:rPr>
        <w:t>predicted density at a given vertex</w:t>
      </w:r>
      <w:r w:rsidR="00A62FE5">
        <w:rPr>
          <w:rFonts w:eastAsiaTheme="minorEastAsia"/>
        </w:rPr>
        <w:t xml:space="preserve"> </w:t>
      </w:r>
      <w:proofErr w:type="spellStart"/>
      <w:r w:rsidR="00A62FE5">
        <w:rPr>
          <w:rFonts w:eastAsiaTheme="minorEastAsia"/>
          <w:i/>
        </w:rPr>
        <w:t>i</w:t>
      </w:r>
      <w:proofErr w:type="spellEnd"/>
      <w:r>
        <w:rPr>
          <w:rFonts w:eastAsiaTheme="minorEastAsia"/>
        </w:rPr>
        <w:t xml:space="preserve"> located at the points [</w:t>
      </w:r>
      <w:r>
        <w:rPr>
          <w:rFonts w:eastAsiaTheme="minorEastAsia"/>
          <w:i/>
        </w:rPr>
        <w:t>x</w:t>
      </w:r>
      <w:r>
        <w:rPr>
          <w:rFonts w:eastAsiaTheme="minorEastAsia"/>
        </w:rPr>
        <w:t xml:space="preserve">, y] </w:t>
      </w:r>
      <w:r w:rsidR="009767F2">
        <w:rPr>
          <w:rFonts w:eastAsiaTheme="minorEastAsia"/>
        </w:rPr>
        <w:t>on the triangulation network</w:t>
      </w:r>
      <w:r w:rsidR="00FC771E">
        <w:rPr>
          <w:rFonts w:eastAsiaTheme="minorEastAsia"/>
        </w:rPr>
        <w:t xml:space="preserve"> (Figure </w:t>
      </w:r>
      <w:r w:rsidR="00FC771E">
        <w:rPr>
          <w:rFonts w:eastAsiaTheme="minorEastAsia"/>
        </w:rPr>
        <w:fldChar w:fldCharType="begin"/>
      </w:r>
      <w:r w:rsidR="00FC771E">
        <w:rPr>
          <w:rFonts w:eastAsiaTheme="minorEastAsia"/>
        </w:rPr>
        <w:instrText xml:space="preserve"> REF mesh \h </w:instrText>
      </w:r>
      <w:r w:rsidR="00FC771E">
        <w:rPr>
          <w:rFonts w:eastAsiaTheme="minorEastAsia"/>
        </w:rPr>
      </w:r>
      <w:r w:rsidR="00FC771E">
        <w:rPr>
          <w:rFonts w:eastAsiaTheme="minorEastAsia"/>
        </w:rPr>
        <w:fldChar w:fldCharType="separate"/>
      </w:r>
      <w:r w:rsidR="00C54509">
        <w:rPr>
          <w:noProof/>
        </w:rPr>
        <w:t>3</w:t>
      </w:r>
      <w:r w:rsidR="00FC771E">
        <w:rPr>
          <w:rFonts w:eastAsiaTheme="minorEastAsia"/>
        </w:rPr>
        <w:fldChar w:fldCharType="end"/>
      </w:r>
      <w:r w:rsidR="00FC771E">
        <w:rPr>
          <w:rFonts w:eastAsiaTheme="minorEastAsia"/>
        </w:rPr>
        <w:t>)</w:t>
      </w:r>
      <w:r w:rsidR="00A62FE5">
        <w:rPr>
          <w:rFonts w:eastAsiaTheme="minor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9767F2">
        <w:rPr>
          <w:rFonts w:eastAsiaTheme="minorEastAsia"/>
        </w:rPr>
        <w:t xml:space="preserve"> is the standard deviation of the observation </w:t>
      </w:r>
      <w:r w:rsidR="009767F2">
        <w:rPr>
          <w:rFonts w:eastAsiaTheme="minorEastAsia"/>
        </w:rPr>
        <w:lastRenderedPageBreak/>
        <w:t>error</w:t>
      </w:r>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m:t>
            </m:r>
          </m:sub>
        </m:sSub>
      </m:oMath>
      <w:r w:rsidR="00507FD1">
        <w:rPr>
          <w:rFonts w:eastAsiaTheme="minorEastAsia"/>
        </w:rPr>
        <w:t xml:space="preserve"> are the</w:t>
      </w:r>
      <w:r w:rsidR="00A62FE5">
        <w:rPr>
          <w:rFonts w:eastAsiaTheme="minorEastAsia"/>
        </w:rPr>
        <w:t xml:space="preserve"> </w:t>
      </w:r>
      <w:r w:rsidR="00A62FE5">
        <w:rPr>
          <w:rFonts w:eastAsiaTheme="minorEastAsia"/>
          <w:i/>
        </w:rPr>
        <w:t>CPUE</w:t>
      </w:r>
      <w:r w:rsidR="00A62FE5">
        <w:rPr>
          <w:rFonts w:eastAsiaTheme="minorEastAsia"/>
        </w:rPr>
        <w:t xml:space="preserve"> observations located in the triangulation vertex </w:t>
      </w:r>
      <w:proofErr w:type="spellStart"/>
      <w:r w:rsidR="00A62FE5">
        <w:rPr>
          <w:rFonts w:eastAsiaTheme="minorEastAsia"/>
          <w:i/>
        </w:rPr>
        <w:t>i</w:t>
      </w:r>
      <w:proofErr w:type="spellEnd"/>
      <w:r w:rsidR="00A62FE5">
        <w:rPr>
          <w:rFonts w:eastAsiaTheme="minorEastAsia"/>
        </w:rPr>
        <w:t xml:space="preserve"> in year </w:t>
      </w:r>
      <w:r w:rsidR="00A62FE5">
        <w:rPr>
          <w:rFonts w:eastAsiaTheme="minorEastAsia"/>
          <w:i/>
        </w:rPr>
        <w:t>t</w:t>
      </w:r>
      <w:r w:rsidR="009767F2">
        <w:rPr>
          <w:rFonts w:eastAsiaTheme="minorEastAsia"/>
        </w:rPr>
        <w:t>.</w:t>
      </w:r>
      <w:r w:rsidR="00A62FE5">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t+1</m:t>
            </m:r>
          </m:sub>
        </m:sSub>
      </m:oMath>
      <w:r w:rsidR="00A62FE5">
        <w:rPr>
          <w:rFonts w:eastAsiaTheme="minorEastAsia"/>
        </w:rPr>
        <w:t xml:space="preserve"> are statistically</w:t>
      </w:r>
      <w:r w:rsidR="00AA1AE5">
        <w:rPr>
          <w:rFonts w:eastAsiaTheme="minorEastAsia"/>
        </w:rPr>
        <w:t>-</w:t>
      </w:r>
      <w:r w:rsidR="00A62FE5">
        <w:rPr>
          <w:rFonts w:eastAsiaTheme="minorEastAsia"/>
        </w:rPr>
        <w:t xml:space="preserve">independent of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t-1</m:t>
            </m:r>
          </m:sub>
        </m:sSub>
      </m:oMath>
      <w:r w:rsidR="00A62FE5">
        <w:rPr>
          <w:rFonts w:eastAsiaTheme="minorEastAsia"/>
        </w:rPr>
        <w:t xml:space="preserve"> conditional on a fixed value for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m:t>
            </m:r>
          </m:sub>
        </m:sSub>
      </m:oMath>
      <w:r w:rsidR="00A62FE5">
        <w:rPr>
          <w:rFonts w:eastAsiaTheme="minorEastAsia"/>
        </w:rPr>
        <w:t xml:space="preserve">. </w:t>
      </w:r>
    </w:p>
    <w:p w14:paraId="61D9B616" w14:textId="123E7CC7" w:rsidR="00F166BF" w:rsidRDefault="00146883" w:rsidP="00706AC6">
      <w:pPr>
        <w:spacing w:line="240" w:lineRule="auto"/>
      </w:pPr>
      <w:r>
        <w:tab/>
        <w:t xml:space="preserve">GMRF matrices were computed using functions available in the INLA package (Rue </w:t>
      </w:r>
      <w:r>
        <w:rPr>
          <w:i/>
        </w:rPr>
        <w:t>et al</w:t>
      </w:r>
      <w:r>
        <w:t>., 2014</w:t>
      </w:r>
      <w:r w:rsidR="00FA05D3">
        <w:t xml:space="preserve">; </w:t>
      </w:r>
      <w:proofErr w:type="spellStart"/>
      <w:r w:rsidR="00FA05D3">
        <w:t>Illian</w:t>
      </w:r>
      <w:proofErr w:type="spellEnd"/>
      <w:r w:rsidR="00FA05D3">
        <w:t xml:space="preserve"> </w:t>
      </w:r>
      <w:r w:rsidR="00FA05D3">
        <w:rPr>
          <w:i/>
        </w:rPr>
        <w:t>et al</w:t>
      </w:r>
      <w:r w:rsidR="00FA05D3">
        <w:t>., 2012</w:t>
      </w:r>
      <w:r>
        <w:t>) implemented in the R statistical software environment (R Core Team, 2014).</w:t>
      </w:r>
      <w:r w:rsidR="00FA05D3">
        <w:t xml:space="preserve"> </w:t>
      </w:r>
      <w:r w:rsidR="00F875A6">
        <w:t>A single triangulation network</w:t>
      </w:r>
      <w:r w:rsidR="00570F0E">
        <w:t xml:space="preserve"> (Figure </w:t>
      </w:r>
      <w:r w:rsidR="00570F0E">
        <w:fldChar w:fldCharType="begin"/>
      </w:r>
      <w:r w:rsidR="00570F0E">
        <w:instrText xml:space="preserve"> REF mesh \h </w:instrText>
      </w:r>
      <w:r w:rsidR="00570F0E">
        <w:fldChar w:fldCharType="separate"/>
      </w:r>
      <w:r w:rsidR="00C54509">
        <w:rPr>
          <w:noProof/>
        </w:rPr>
        <w:t>3</w:t>
      </w:r>
      <w:r w:rsidR="00570F0E">
        <w:fldChar w:fldCharType="end"/>
      </w:r>
      <w:r w:rsidR="00FC771E">
        <w:t>)</w:t>
      </w:r>
      <w:r w:rsidR="00F166BF">
        <w:t xml:space="preserve">, created via the </w:t>
      </w:r>
      <w:r w:rsidR="00F166BF" w:rsidRPr="00F166BF">
        <w:rPr>
          <w:i/>
        </w:rPr>
        <w:t>inla.mesh.2d</w:t>
      </w:r>
      <w:r w:rsidR="00F166BF">
        <w:t xml:space="preserve"> function, was</w:t>
      </w:r>
      <w:r w:rsidR="00F875A6">
        <w:t xml:space="preserve"> used to facilitate the comparison</w:t>
      </w:r>
      <w:r w:rsidR="00F166BF">
        <w:t>s</w:t>
      </w:r>
      <w:r w:rsidR="00F875A6">
        <w:t xml:space="preserve"> across species. </w:t>
      </w:r>
      <w:r w:rsidR="00F166BF">
        <w:t xml:space="preserve">Nodes for the triangulation network were specified using locations of the raw data, with nodes added and removed according to </w:t>
      </w:r>
      <w:r w:rsidR="00820806">
        <w:t xml:space="preserve">arguments controlling </w:t>
      </w:r>
      <w:r w:rsidR="00F166BF">
        <w:t>the tradeoff between variance and precision. Subsequently</w:t>
      </w:r>
      <w:r w:rsidR="00820806">
        <w:t>,</w:t>
      </w:r>
      <w:r w:rsidR="00F166BF">
        <w:t xml:space="preserve"> INLA was used to calculate the precision matrix of the GMRF</w:t>
      </w:r>
    </w:p>
    <w:p w14:paraId="0882EF1C" w14:textId="00E2B1F5" w:rsidR="00F166BF" w:rsidRDefault="00F166BF" w:rsidP="004170EB">
      <w:pPr>
        <w:spacing w:line="240" w:lineRule="auto"/>
        <w:jc w:val="right"/>
      </w:pPr>
      <m:oMath>
        <m:r>
          <w:rPr>
            <w:rFonts w:ascii="Cambria Math" w:hAnsi="Cambria Math"/>
          </w:rPr>
          <m:t>Q=</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κ</m:t>
            </m:r>
          </m:e>
          <m:sup>
            <m:r>
              <w:rPr>
                <w:rFonts w:ascii="Cambria Math" w:hAnsi="Cambria Math"/>
              </w:rPr>
              <m:t>4</m:t>
            </m:r>
          </m:sup>
        </m:sSup>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κ</m:t>
            </m:r>
          </m:e>
          <m:sup>
            <m:r>
              <w:rPr>
                <w:rFonts w:ascii="Cambria Math" w:hAnsi="Cambria Math"/>
              </w:rPr>
              <m:t>2</m:t>
            </m:r>
          </m:sup>
        </m:sSup>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4170EB">
        <w:rPr>
          <w:rFonts w:eastAsiaTheme="minorEastAsia"/>
        </w:rPr>
        <w:tab/>
      </w:r>
      <w:r w:rsidR="004170EB">
        <w:rPr>
          <w:rFonts w:eastAsiaTheme="minorEastAsia"/>
        </w:rPr>
        <w:tab/>
      </w:r>
      <w:r w:rsidR="004170EB">
        <w:rPr>
          <w:rFonts w:eastAsiaTheme="minorEastAsia"/>
        </w:rPr>
        <w:tab/>
      </w:r>
      <w:r w:rsidR="004170EB">
        <w:rPr>
          <w:rFonts w:eastAsiaTheme="minorEastAsia"/>
        </w:rPr>
        <w:tab/>
        <w:t xml:space="preserve">Eq. </w:t>
      </w:r>
      <w:r w:rsidR="004170EB">
        <w:rPr>
          <w:rFonts w:eastAsiaTheme="minorEastAsia"/>
        </w:rPr>
        <w:fldChar w:fldCharType="begin"/>
      </w:r>
      <w:r w:rsidR="004170EB">
        <w:rPr>
          <w:rFonts w:eastAsiaTheme="minorEastAsia"/>
        </w:rPr>
        <w:instrText xml:space="preserve"> SEQ Eq \* MERGEFORMAT </w:instrText>
      </w:r>
      <w:r w:rsidR="004170EB">
        <w:rPr>
          <w:rFonts w:eastAsiaTheme="minorEastAsia"/>
        </w:rPr>
        <w:fldChar w:fldCharType="separate"/>
      </w:r>
      <w:r w:rsidR="00C54509">
        <w:rPr>
          <w:rFonts w:eastAsiaTheme="minorEastAsia"/>
          <w:noProof/>
        </w:rPr>
        <w:t>14</w:t>
      </w:r>
      <w:r w:rsidR="004170EB">
        <w:rPr>
          <w:rFonts w:eastAsiaTheme="minorEastAsia"/>
        </w:rPr>
        <w:fldChar w:fldCharType="end"/>
      </w:r>
    </w:p>
    <w:p w14:paraId="2FF02EB8" w14:textId="082563E3" w:rsidR="00BB6A92" w:rsidRDefault="00820806" w:rsidP="00706AC6">
      <w:pPr>
        <w:spacing w:line="240" w:lineRule="auto"/>
      </w:pPr>
      <w:r>
        <w:t xml:space="preserve">The three </w:t>
      </w:r>
      <w:r w:rsidR="00F166BF">
        <w:t xml:space="preserve">sparse precision matrices </w:t>
      </w:r>
      <w:r w:rsidR="004170EB">
        <w:t>(</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4170EB">
        <w:rPr>
          <w:rFonts w:eastAsiaTheme="minorEastAsia"/>
        </w:rPr>
        <w:t xml:space="preserve"> </w:t>
      </w:r>
      <w:r>
        <w:rPr>
          <w:rFonts w:eastAsiaTheme="minorEastAsia"/>
        </w:rPr>
        <w:t>were then passed to</w:t>
      </w:r>
      <w:r w:rsidR="004170EB">
        <w:t xml:space="preserve"> Template Model Builder (TMB) (</w:t>
      </w:r>
      <w:proofErr w:type="spellStart"/>
      <w:r w:rsidR="004170EB">
        <w:t>Kristensen</w:t>
      </w:r>
      <w:proofErr w:type="spellEnd"/>
      <w:r w:rsidR="004170EB">
        <w:t xml:space="preserve"> </w:t>
      </w:r>
      <w:r w:rsidR="004170EB">
        <w:rPr>
          <w:i/>
        </w:rPr>
        <w:t>et al</w:t>
      </w:r>
      <w:r w:rsidR="004170EB">
        <w:t>., 2013), the software program used for parameter estimation</w:t>
      </w:r>
      <w:r w:rsidR="00FA05D3">
        <w:t>. TMB uses the integrated nested Laplace approximation (</w:t>
      </w:r>
      <w:proofErr w:type="spellStart"/>
      <w:r w:rsidR="00FA05D3">
        <w:t>Skaug</w:t>
      </w:r>
      <w:proofErr w:type="spellEnd"/>
      <w:r w:rsidR="00FA05D3">
        <w:t xml:space="preserve"> and Fournier, 2006) to calculate the marginal likelihood of the fixed-effect parameters integrated across all random fields, while also calculating the gradient of the marginal likelihood via automatic differentiation. Fixed effects </w:t>
      </w:r>
      <w:r>
        <w:t>were</w:t>
      </w:r>
      <w:r w:rsidR="00FA05D3">
        <w:t xml:space="preserve"> then subsequently optimized using traditional tools in R by maximizing the log-marginal likelihood. Confidence intervals </w:t>
      </w:r>
      <w:r>
        <w:t xml:space="preserve">were calculated </w:t>
      </w:r>
      <w:r w:rsidR="00FA05D3">
        <w:t>using the delta-method</w:t>
      </w:r>
      <w:r w:rsidR="00F875A6">
        <w:t>.</w:t>
      </w:r>
    </w:p>
    <w:p w14:paraId="6D65F52D" w14:textId="543871E8" w:rsidR="00507FD1" w:rsidRPr="00C06806" w:rsidRDefault="00507FD1" w:rsidP="00507FD1">
      <w:pPr>
        <w:pStyle w:val="Heading2"/>
      </w:pPr>
      <w:r>
        <w:t>Model selection</w:t>
      </w:r>
    </w:p>
    <w:p w14:paraId="3DB5EC21" w14:textId="66E2E5CE" w:rsidR="00507FD1" w:rsidRPr="00FA05D3" w:rsidRDefault="001958BA" w:rsidP="00706AC6">
      <w:pPr>
        <w:spacing w:line="240" w:lineRule="auto"/>
      </w:pPr>
      <w:r>
        <w:t xml:space="preserve">Stock </w:t>
      </w:r>
      <w:r w:rsidR="003A5F62">
        <w:t>delineations were based on a pa</w:t>
      </w:r>
      <w:r>
        <w:t>rti</w:t>
      </w:r>
      <w:r w:rsidR="003A5F62">
        <w:t>ti</w:t>
      </w:r>
      <w:r>
        <w:t>oning routine</w:t>
      </w:r>
      <w:r w:rsidR="003A5F62">
        <w:t xml:space="preserve"> that recursively partition</w:t>
      </w:r>
      <w:r w:rsidR="0014138C">
        <w:t>ed</w:t>
      </w:r>
      <w:r w:rsidR="003A5F62">
        <w:t xml:space="preserve"> the data into successively smaller groups with binary splits based on a single predictor variable</w:t>
      </w:r>
      <w:r w:rsidR="00601ED2">
        <w:t xml:space="preserve">, known as </w:t>
      </w:r>
      <w:r w:rsidR="0014138C">
        <w:t>a Regression Tree (RT</w:t>
      </w:r>
      <w:r w:rsidR="00601ED2">
        <w:t>)</w:t>
      </w:r>
      <w:r w:rsidR="00B63F9A">
        <w:t xml:space="preserve">. Splits for predictor variables </w:t>
      </w:r>
      <w:r w:rsidR="0014138C">
        <w:t>were</w:t>
      </w:r>
      <w:r w:rsidR="00B63F9A">
        <w:t xml:space="preserve"> examined</w:t>
      </w:r>
      <w:r w:rsidR="003A5F62">
        <w:t xml:space="preserve"> using an exhaustive search procedure until the best split</w:t>
      </w:r>
      <w:r w:rsidR="00B63F9A">
        <w:t>s</w:t>
      </w:r>
      <w:r w:rsidR="003A5F62">
        <w:t xml:space="preserve"> </w:t>
      </w:r>
      <w:r w:rsidR="0014138C">
        <w:t>were</w:t>
      </w:r>
      <w:r w:rsidR="00691794">
        <w:t xml:space="preserve"> found</w:t>
      </w:r>
      <w:r w:rsidR="00A47B1F">
        <w:t xml:space="preserve">, defined as </w:t>
      </w:r>
      <w:r w:rsidR="00B63F9A">
        <w:t xml:space="preserve">values of the predictor variable that maximize the homogeneity of the two </w:t>
      </w:r>
      <w:r w:rsidR="00601ED2">
        <w:t xml:space="preserve">resulting </w:t>
      </w:r>
      <w:r w:rsidR="00B63F9A">
        <w:t xml:space="preserve">groups with respect to the response variable (i.e., maximizing the between-group sum of squares, as in an analysis of variance). </w:t>
      </w:r>
      <w:r w:rsidR="00601ED2">
        <w:t xml:space="preserve">Once the best splits </w:t>
      </w:r>
      <w:r w:rsidR="0014138C">
        <w:t>were</w:t>
      </w:r>
      <w:r w:rsidR="00601ED2">
        <w:t xml:space="preserve"> </w:t>
      </w:r>
      <w:r w:rsidR="00A47B1F">
        <w:t>found</w:t>
      </w:r>
      <w:r w:rsidR="00601ED2">
        <w:t xml:space="preserve">, RTs </w:t>
      </w:r>
      <w:r w:rsidR="0014138C">
        <w:t>were</w:t>
      </w:r>
      <w:r w:rsidR="00601ED2">
        <w:t xml:space="preserve"> pruned to collapse the weakest links by minimizing the cross-validated error (Hastie </w:t>
      </w:r>
      <w:r w:rsidR="00601ED2">
        <w:rPr>
          <w:i/>
        </w:rPr>
        <w:t>et al</w:t>
      </w:r>
      <w:r w:rsidR="00601ED2">
        <w:t xml:space="preserve">., 2001). </w:t>
      </w:r>
      <w:r w:rsidR="003A5F62">
        <w:t xml:space="preserve">Here, the response variable was </w:t>
      </w:r>
      <w:r w:rsidR="00B63F9A">
        <w:rPr>
          <w:rFonts w:ascii="Calibri" w:hAnsi="Calibri"/>
        </w:rPr>
        <w:t>Ω</w:t>
      </w:r>
      <w:r w:rsidR="00B63F9A">
        <w:t xml:space="preserve"> and the predictor was longitude.</w:t>
      </w:r>
      <w:r w:rsidR="00601ED2">
        <w:t xml:space="preserve"> A</w:t>
      </w:r>
      <w:r w:rsidR="00B63F9A">
        <w:t>nalyses were performed using</w:t>
      </w:r>
      <w:r>
        <w:t xml:space="preserve"> the </w:t>
      </w:r>
      <w:proofErr w:type="spellStart"/>
      <w:r>
        <w:t>rpart</w:t>
      </w:r>
      <w:proofErr w:type="spellEnd"/>
      <w:r>
        <w:t xml:space="preserve"> package (</w:t>
      </w:r>
      <w:proofErr w:type="spellStart"/>
      <w:r>
        <w:t>Therneau</w:t>
      </w:r>
      <w:proofErr w:type="spellEnd"/>
      <w:r>
        <w:t xml:space="preserve"> </w:t>
      </w:r>
      <w:r>
        <w:rPr>
          <w:i/>
        </w:rPr>
        <w:t>et al</w:t>
      </w:r>
      <w:r>
        <w:t xml:space="preserve">., 2014) implemented in R. </w:t>
      </w:r>
    </w:p>
    <w:p w14:paraId="2C3D0F21" w14:textId="77777777" w:rsidR="004D0D9F" w:rsidRDefault="004D0D9F" w:rsidP="00C06806">
      <w:pPr>
        <w:pStyle w:val="Heading1"/>
      </w:pPr>
      <w:r>
        <w:t>Results</w:t>
      </w:r>
    </w:p>
    <w:p w14:paraId="1F7934F8" w14:textId="7B494354" w:rsidR="00BE72EC" w:rsidRDefault="00EF5675" w:rsidP="00706AC6">
      <w:pPr>
        <w:spacing w:line="240" w:lineRule="auto"/>
      </w:pPr>
      <w:r>
        <w:t>The triangulation matrix had 187 vertices, with each species using a different number of vertices based on location</w:t>
      </w:r>
      <w:r w:rsidR="0014138C">
        <w:t>s</w:t>
      </w:r>
      <w:r>
        <w:t xml:space="preserve"> of trawls with non-zero CPUE measurements (Table</w:t>
      </w:r>
      <w:r w:rsidR="00C54509">
        <w:t xml:space="preserve"> </w:t>
      </w:r>
      <w:r w:rsidR="00C54509">
        <w:fldChar w:fldCharType="begin"/>
      </w:r>
      <w:r w:rsidR="00C54509">
        <w:instrText xml:space="preserve"> REF table_summary \h </w:instrText>
      </w:r>
      <w:r w:rsidR="00C54509">
        <w:fldChar w:fldCharType="separate"/>
      </w:r>
      <w:r w:rsidR="00C54509">
        <w:rPr>
          <w:noProof/>
        </w:rPr>
        <w:t>1</w:t>
      </w:r>
      <w:r w:rsidR="00C54509">
        <w:fldChar w:fldCharType="end"/>
      </w:r>
      <w:r>
        <w:t xml:space="preserve">). </w:t>
      </w:r>
    </w:p>
    <w:p w14:paraId="3D7A2700" w14:textId="49EEEF64" w:rsidR="004D0D9F" w:rsidRDefault="00BE72EC" w:rsidP="00706AC6">
      <w:pPr>
        <w:spacing w:line="240" w:lineRule="auto"/>
      </w:pPr>
      <w:r>
        <w:tab/>
        <w:t xml:space="preserve">Density dependence was weakest for </w:t>
      </w:r>
      <w:proofErr w:type="spellStart"/>
      <w:r>
        <w:t>pollock</w:t>
      </w:r>
      <w:proofErr w:type="spellEnd"/>
      <w:r>
        <w:t xml:space="preserve"> (ρ= 0.73, s</w:t>
      </w:r>
      <w:r w:rsidR="00535213">
        <w:t>e = 0.11), stronger for cod (ρ= 0.54, se = 0.13), and oscillatory for mackerel (ρ= -0.25, se = 0.09).</w:t>
      </w:r>
      <w:r w:rsidR="0004733C">
        <w:t xml:space="preserve"> </w:t>
      </w:r>
    </w:p>
    <w:p w14:paraId="687FECED" w14:textId="50219251" w:rsidR="0004733C" w:rsidRDefault="0004733C" w:rsidP="00706AC6">
      <w:pPr>
        <w:spacing w:line="240" w:lineRule="auto"/>
      </w:pPr>
      <w:r>
        <w:tab/>
        <w:t xml:space="preserve">Mean productivity was highest for mackerel (α= 1.09, se = 0.26), followed by </w:t>
      </w:r>
      <w:proofErr w:type="spellStart"/>
      <w:r>
        <w:t>pollock</w:t>
      </w:r>
      <w:proofErr w:type="spellEnd"/>
      <w:r>
        <w:t xml:space="preserve"> (α= 0.48, se = 0.22), and lowest for cod (α= 0.28, se = 0.14).</w:t>
      </w:r>
    </w:p>
    <w:p w14:paraId="57B8A2F9" w14:textId="1B8C4CA4" w:rsidR="007D1417" w:rsidRDefault="007D1417" w:rsidP="00706AC6">
      <w:pPr>
        <w:spacing w:line="240" w:lineRule="auto"/>
      </w:pPr>
      <w:r>
        <w:tab/>
        <w:t xml:space="preserve">Talk about spatial variation in productivity. </w:t>
      </w:r>
    </w:p>
    <w:p w14:paraId="0BC2066E" w14:textId="7EBA6C99" w:rsidR="00C54509" w:rsidRDefault="00C54509" w:rsidP="007D1417">
      <w:pPr>
        <w:pStyle w:val="ListParagraph"/>
        <w:numPr>
          <w:ilvl w:val="0"/>
          <w:numId w:val="3"/>
        </w:numPr>
        <w:spacing w:line="240" w:lineRule="auto"/>
      </w:pPr>
      <w:r>
        <w:t>Plot the spatial variation in productivity for each species, with lines delineating the stocks on the spatial map.</w:t>
      </w:r>
    </w:p>
    <w:p w14:paraId="3321321D" w14:textId="1246326F" w:rsidR="007D1417" w:rsidRPr="007D1417" w:rsidRDefault="007D1417" w:rsidP="007D1417">
      <w:pPr>
        <w:pStyle w:val="ListParagraph"/>
        <w:numPr>
          <w:ilvl w:val="0"/>
          <w:numId w:val="3"/>
        </w:numPr>
        <w:spacing w:line="240" w:lineRule="auto"/>
      </w:pPr>
      <w:r>
        <w:t xml:space="preserve">Where was </w:t>
      </w:r>
      <w:r>
        <w:rPr>
          <w:rFonts w:ascii="Calibri" w:hAnsi="Calibri"/>
        </w:rPr>
        <w:t>Ε</w:t>
      </w:r>
      <w:r w:rsidRPr="007D1417">
        <w:rPr>
          <w:rFonts w:ascii="Calibri" w:hAnsi="Calibri"/>
          <w:vertAlign w:val="subscript"/>
        </w:rPr>
        <w:t>Ω</w:t>
      </w:r>
      <w:r>
        <w:rPr>
          <w:rFonts w:ascii="Calibri" w:hAnsi="Calibri"/>
        </w:rPr>
        <w:t xml:space="preserve"> the highest, inshore, near the passes?</w:t>
      </w:r>
    </w:p>
    <w:p w14:paraId="48196BB7" w14:textId="66931ACC" w:rsidR="007D1417" w:rsidRPr="007D1417" w:rsidRDefault="007D1417" w:rsidP="007D1417">
      <w:pPr>
        <w:pStyle w:val="ListParagraph"/>
        <w:numPr>
          <w:ilvl w:val="0"/>
          <w:numId w:val="3"/>
        </w:numPr>
        <w:spacing w:line="240" w:lineRule="auto"/>
      </w:pPr>
      <w:r>
        <w:rPr>
          <w:rFonts w:ascii="Calibri" w:hAnsi="Calibri"/>
        </w:rPr>
        <w:t>Was the variation similar for each group</w:t>
      </w:r>
    </w:p>
    <w:p w14:paraId="5242C52C" w14:textId="3144438F" w:rsidR="007D1417" w:rsidRDefault="007D1417" w:rsidP="007D1417">
      <w:pPr>
        <w:spacing w:line="240" w:lineRule="auto"/>
        <w:ind w:firstLine="720"/>
      </w:pPr>
      <w:r>
        <w:t xml:space="preserve">Partitioning grouped cod and </w:t>
      </w:r>
      <w:proofErr w:type="spellStart"/>
      <w:r>
        <w:t>pollock</w:t>
      </w:r>
      <w:proofErr w:type="spellEnd"/>
      <w:r>
        <w:t xml:space="preserve"> into two distinct stocks, while mackerel was best grouped as a single stock (Table </w:t>
      </w:r>
      <w:r>
        <w:fldChar w:fldCharType="begin"/>
      </w:r>
      <w:r>
        <w:instrText xml:space="preserve"> REF table_stock \h </w:instrText>
      </w:r>
      <w:r>
        <w:fldChar w:fldCharType="separate"/>
      </w:r>
      <w:r w:rsidR="00C54509">
        <w:rPr>
          <w:noProof/>
        </w:rPr>
        <w:t>2</w:t>
      </w:r>
      <w:r>
        <w:fldChar w:fldCharType="end"/>
      </w:r>
      <w:r>
        <w:t xml:space="preserve">). </w:t>
      </w:r>
    </w:p>
    <w:p w14:paraId="123705D1" w14:textId="77777777" w:rsidR="004D0D9F" w:rsidRDefault="004D0D9F" w:rsidP="00C06806">
      <w:pPr>
        <w:pStyle w:val="Heading1"/>
      </w:pPr>
      <w:r>
        <w:lastRenderedPageBreak/>
        <w:t>Discussion</w:t>
      </w:r>
    </w:p>
    <w:p w14:paraId="63E6DC18" w14:textId="77777777" w:rsidR="004D0D9F" w:rsidRDefault="004D0D9F" w:rsidP="00706AC6">
      <w:pPr>
        <w:spacing w:line="240" w:lineRule="auto"/>
      </w:pPr>
      <w:proofErr w:type="spellStart"/>
      <w:r w:rsidRPr="00C54749">
        <w:rPr>
          <w:highlight w:val="yellow"/>
        </w:rPr>
        <w:t>Todo</w:t>
      </w:r>
      <w:proofErr w:type="spellEnd"/>
      <w:r w:rsidRPr="00C54749">
        <w:rPr>
          <w:highlight w:val="yellow"/>
        </w:rPr>
        <w:t>: Write discussion</w:t>
      </w:r>
    </w:p>
    <w:p w14:paraId="6378AE94" w14:textId="016D2BE8" w:rsidR="007945B1" w:rsidRDefault="00D928E4" w:rsidP="00706AC6">
      <w:pPr>
        <w:spacing w:line="240" w:lineRule="auto"/>
      </w:pPr>
      <w:r>
        <w:t>Spatial m</w:t>
      </w:r>
      <w:r w:rsidR="007945B1">
        <w:t xml:space="preserve">ismatches </w:t>
      </w:r>
      <w:r>
        <w:t xml:space="preserve">were identified between </w:t>
      </w:r>
      <w:r w:rsidR="008251CE">
        <w:t xml:space="preserve">stock boundaries </w:t>
      </w:r>
      <w:r>
        <w:t>current</w:t>
      </w:r>
      <w:r w:rsidR="008251CE">
        <w:t>ly used by the</w:t>
      </w:r>
      <w:r>
        <w:t xml:space="preserve"> PFMC</w:t>
      </w:r>
      <w:r w:rsidR="007945B1">
        <w:t xml:space="preserve"> </w:t>
      </w:r>
      <w:r>
        <w:t xml:space="preserve">and boundaries based on life-history characteristics for all three species (cod, </w:t>
      </w:r>
      <w:proofErr w:type="spellStart"/>
      <w:r>
        <w:t>pollock</w:t>
      </w:r>
      <w:proofErr w:type="spellEnd"/>
      <w:r>
        <w:t xml:space="preserve">, and mackerel). </w:t>
      </w:r>
    </w:p>
    <w:p w14:paraId="2864D573" w14:textId="0F8808D6" w:rsidR="00CA07D6" w:rsidRDefault="008251CE" w:rsidP="00706AC6">
      <w:pPr>
        <w:spacing w:line="240" w:lineRule="auto"/>
      </w:pPr>
      <w:r>
        <w:t xml:space="preserve">Each species is managed differently with </w:t>
      </w:r>
      <w:r w:rsidR="00CA07D6">
        <w:t xml:space="preserve">cod being managed as four stocks: </w:t>
      </w:r>
      <w:proofErr w:type="spellStart"/>
      <w:r w:rsidR="00CA07D6">
        <w:t>i</w:t>
      </w:r>
      <w:proofErr w:type="spellEnd"/>
      <w:r w:rsidR="00CA07D6">
        <w:t xml:space="preserve">) eastern BS, ii) AI, iii) GOA, and iv) ?; </w:t>
      </w:r>
      <w:proofErr w:type="spellStart"/>
      <w:r>
        <w:t>pollock</w:t>
      </w:r>
      <w:proofErr w:type="spellEnd"/>
      <w:r>
        <w:t xml:space="preserve"> being comprised of two stocks: </w:t>
      </w:r>
      <w:proofErr w:type="spellStart"/>
      <w:r>
        <w:t>i</w:t>
      </w:r>
      <w:proofErr w:type="spellEnd"/>
      <w:r>
        <w:t>) eastern BS and 2) GOA</w:t>
      </w:r>
      <w:r w:rsidR="00CA07D6">
        <w:t xml:space="preserve">; and mackerel </w:t>
      </w:r>
      <w:r w:rsidR="00D7392B">
        <w:t xml:space="preserve">being comprised of two stocks: </w:t>
      </w:r>
      <w:proofErr w:type="spellStart"/>
      <w:r w:rsidR="00D7392B">
        <w:t>i</w:t>
      </w:r>
      <w:proofErr w:type="spellEnd"/>
      <w:r w:rsidR="00D7392B">
        <w:t>) BS/AI (with the total allowable catch being split between three management units in the AI) and ii) GOA.</w:t>
      </w:r>
    </w:p>
    <w:p w14:paraId="134CE400" w14:textId="77777777" w:rsidR="00CA07D6" w:rsidRDefault="00CA07D6" w:rsidP="00706AC6">
      <w:pPr>
        <w:spacing w:line="240" w:lineRule="auto"/>
      </w:pPr>
    </w:p>
    <w:p w14:paraId="723D3851" w14:textId="3D2B17A8" w:rsidR="008251CE" w:rsidRPr="008251CE" w:rsidRDefault="00CA07D6" w:rsidP="00706AC6">
      <w:pPr>
        <w:spacing w:line="240" w:lineRule="auto"/>
      </w:pPr>
      <w:proofErr w:type="spellStart"/>
      <w:r>
        <w:t>pollock</w:t>
      </w:r>
      <w:proofErr w:type="spellEnd"/>
      <w:r w:rsidR="008251CE">
        <w:t xml:space="preserve"> based on larval drift (Bailey </w:t>
      </w:r>
      <w:r w:rsidR="008251CE">
        <w:rPr>
          <w:i/>
        </w:rPr>
        <w:t>et al</w:t>
      </w:r>
      <w:r w:rsidR="008251CE">
        <w:t>., 1997)</w:t>
      </w:r>
      <w:r>
        <w:t xml:space="preserve">, </w:t>
      </w:r>
      <w:proofErr w:type="spellStart"/>
      <w:r>
        <w:t>allozyme</w:t>
      </w:r>
      <w:proofErr w:type="spellEnd"/>
      <w:r>
        <w:t xml:space="preserve"> frequencies (Grant and Utter, 1980),</w:t>
      </w:r>
      <w:r w:rsidR="008251CE">
        <w:t xml:space="preserve"> and genetic differences (Mulligan </w:t>
      </w:r>
      <w:r w:rsidR="008251CE">
        <w:rPr>
          <w:i/>
        </w:rPr>
        <w:t>et al</w:t>
      </w:r>
      <w:r w:rsidR="008251CE">
        <w:t xml:space="preserve">., 1992; Bailey </w:t>
      </w:r>
      <w:r w:rsidR="008251CE">
        <w:rPr>
          <w:i/>
        </w:rPr>
        <w:t>et al</w:t>
      </w:r>
      <w:r w:rsidR="008251CE">
        <w:t xml:space="preserve">., 1997). </w:t>
      </w:r>
    </w:p>
    <w:p w14:paraId="2DB28DCA" w14:textId="77777777" w:rsidR="00D928E4" w:rsidRDefault="00D928E4" w:rsidP="00706AC6">
      <w:pPr>
        <w:spacing w:line="240" w:lineRule="auto"/>
      </w:pPr>
    </w:p>
    <w:p w14:paraId="55B6E58F" w14:textId="790C4A58" w:rsidR="00CA07D6" w:rsidRDefault="00CA07D6" w:rsidP="00706AC6">
      <w:pPr>
        <w:spacing w:line="240" w:lineRule="auto"/>
      </w:pPr>
      <w:r>
        <w:t xml:space="preserve">Mackerel is closed to directed fishing in the GOA and most parts of the AIs, with GOA catches well below the acceptable biological catches (ABC) since 2006 (Lowe, 2013). </w:t>
      </w:r>
    </w:p>
    <w:p w14:paraId="73A49599" w14:textId="77777777" w:rsidR="00CA07D6" w:rsidRDefault="00CA07D6" w:rsidP="00706AC6">
      <w:pPr>
        <w:spacing w:line="240" w:lineRule="auto"/>
      </w:pPr>
    </w:p>
    <w:p w14:paraId="77BC8C3E" w14:textId="27CE4F4A" w:rsidR="007945B1" w:rsidRDefault="007945B1" w:rsidP="00706AC6">
      <w:pPr>
        <w:spacing w:line="240" w:lineRule="auto"/>
      </w:pPr>
      <w:r>
        <w:t xml:space="preserve">political often default, and biological stock boundaries is not new nor isolated. In fact the mismatch is often offered as an explanation on the lack of recovery for iconic stocks such as the North Sea cod (). </w:t>
      </w:r>
    </w:p>
    <w:p w14:paraId="78AFA389" w14:textId="77777777" w:rsidR="007945B1" w:rsidRDefault="007945B1" w:rsidP="00706AC6">
      <w:pPr>
        <w:spacing w:line="240" w:lineRule="auto"/>
      </w:pPr>
    </w:p>
    <w:p w14:paraId="705FE6A6" w14:textId="175D1AAA" w:rsidR="00C54749" w:rsidRDefault="00C54749" w:rsidP="00706AC6">
      <w:pPr>
        <w:spacing w:line="240" w:lineRule="auto"/>
      </w:pPr>
      <w:r>
        <w:t xml:space="preserve">The methods described here offer an alternative way to classify stock structure using life-history characteristics for species of which survey data is available. </w:t>
      </w:r>
    </w:p>
    <w:p w14:paraId="091B5CB1" w14:textId="341AF648" w:rsidR="007945B1" w:rsidRDefault="007945B1" w:rsidP="00706AC6">
      <w:pPr>
        <w:spacing w:line="240" w:lineRule="auto"/>
      </w:pPr>
      <w:r>
        <w:t xml:space="preserve">Genetic data sufficient to delineate between stock boundaries is often not available (Reiss </w:t>
      </w:r>
      <w:r>
        <w:rPr>
          <w:i/>
        </w:rPr>
        <w:t>et al</w:t>
      </w:r>
      <w:r>
        <w:t xml:space="preserve">., 2009). </w:t>
      </w:r>
    </w:p>
    <w:p w14:paraId="53FDA5EE" w14:textId="77777777" w:rsidR="007945B1" w:rsidRDefault="007945B1" w:rsidP="00706AC6">
      <w:pPr>
        <w:spacing w:line="240" w:lineRule="auto"/>
      </w:pPr>
      <w:r>
        <w:t>Similarities does not imply population connectivity</w:t>
      </w:r>
    </w:p>
    <w:p w14:paraId="5556675E" w14:textId="605B6106" w:rsidR="007945B1" w:rsidRDefault="007945B1" w:rsidP="00706AC6">
      <w:pPr>
        <w:spacing w:line="240" w:lineRule="auto"/>
      </w:pPr>
      <w:r>
        <w:t xml:space="preserve">Similarities may be indicative of matched responses to similar fishing pressure. </w:t>
      </w:r>
    </w:p>
    <w:p w14:paraId="4F212FAD" w14:textId="7400940C" w:rsidR="00153365" w:rsidRDefault="00153365" w:rsidP="00706AC6">
      <w:pPr>
        <w:spacing w:line="240" w:lineRule="auto"/>
      </w:pPr>
      <w:r>
        <w:t xml:space="preserve">May not be the best method for mackerel because adult mackerel are less common than </w:t>
      </w:r>
      <w:proofErr w:type="spellStart"/>
      <w:r>
        <w:t>juvenilles</w:t>
      </w:r>
      <w:proofErr w:type="spellEnd"/>
      <w:r>
        <w:t>, if not absent, from the standardized eastern BS bottom trawl survey (</w:t>
      </w:r>
      <w:proofErr w:type="spellStart"/>
      <w:r>
        <w:t>Lauth</w:t>
      </w:r>
      <w:proofErr w:type="spellEnd"/>
      <w:r>
        <w:t xml:space="preserve"> and Acuna, 2009).</w:t>
      </w:r>
    </w:p>
    <w:p w14:paraId="691D5E6F" w14:textId="0B5D4477" w:rsidR="004D0D9F" w:rsidRDefault="004D0D9F" w:rsidP="00052835">
      <w:pPr>
        <w:pStyle w:val="Heading1"/>
      </w:pPr>
      <w:r>
        <w:t>Acknowledgements</w:t>
      </w:r>
    </w:p>
    <w:p w14:paraId="54AB685A" w14:textId="19F0EA57" w:rsidR="009C0870" w:rsidRDefault="009C0870" w:rsidP="00706AC6">
      <w:pPr>
        <w:spacing w:line="240" w:lineRule="auto"/>
      </w:pPr>
      <w:r>
        <w:t xml:space="preserve">This publication was partially funded by the Joint Institute for the Study of the Atmosphere and Ocean (JISAO) under NOAA Cooperative Agreement </w:t>
      </w:r>
      <w:commentRangeStart w:id="14"/>
      <w:r w:rsidRPr="009C0870">
        <w:rPr>
          <w:highlight w:val="yellow"/>
        </w:rPr>
        <w:t>NA10OAR4320148</w:t>
      </w:r>
      <w:commentRangeEnd w:id="14"/>
      <w:r>
        <w:rPr>
          <w:rStyle w:val="CommentReference"/>
        </w:rPr>
        <w:commentReference w:id="14"/>
      </w:r>
      <w:r>
        <w:t xml:space="preserve">, Contribution No. </w:t>
      </w:r>
      <w:commentRangeStart w:id="15"/>
      <w:r>
        <w:t>????</w:t>
      </w:r>
      <w:commentRangeEnd w:id="15"/>
      <w:r w:rsidR="005435CB">
        <w:rPr>
          <w:rStyle w:val="CommentReference"/>
        </w:rPr>
        <w:commentReference w:id="15"/>
      </w:r>
      <w:r>
        <w:t xml:space="preserve">. The authors thank Jim </w:t>
      </w:r>
      <w:proofErr w:type="spellStart"/>
      <w:r>
        <w:t>Ianelli</w:t>
      </w:r>
      <w:proofErr w:type="spellEnd"/>
      <w:r>
        <w:t>, Martin Renner, the guest editor, and two anonymous reviewers</w:t>
      </w:r>
      <w:r w:rsidR="000043DB">
        <w:t xml:space="preserve"> for</w:t>
      </w:r>
      <w:r>
        <w:t xml:space="preserve"> providing helpful comments, which improved this manuscript. </w:t>
      </w:r>
    </w:p>
    <w:p w14:paraId="26BCB306" w14:textId="77777777" w:rsidR="00776ADB" w:rsidRDefault="00EF76D7" w:rsidP="00C06806">
      <w:pPr>
        <w:pStyle w:val="Heading1"/>
      </w:pPr>
      <w:bookmarkStart w:id="16" w:name="references"/>
      <w:commentRangeStart w:id="17"/>
      <w:r>
        <w:t>References</w:t>
      </w:r>
      <w:commentRangeEnd w:id="17"/>
      <w:r w:rsidR="00617704">
        <w:rPr>
          <w:rStyle w:val="CommentReference"/>
          <w:rFonts w:asciiTheme="minorHAnsi" w:eastAsiaTheme="minorHAnsi" w:hAnsiTheme="minorHAnsi" w:cstheme="minorBidi"/>
          <w:b w:val="0"/>
          <w:bCs w:val="0"/>
        </w:rPr>
        <w:commentReference w:id="17"/>
      </w:r>
    </w:p>
    <w:p w14:paraId="7D3DB40A" w14:textId="77777777" w:rsidR="00421BA5" w:rsidRDefault="00421BA5" w:rsidP="00706AC6">
      <w:pPr>
        <w:spacing w:line="240" w:lineRule="auto"/>
        <w:ind w:left="720" w:hanging="720"/>
      </w:pPr>
      <w:proofErr w:type="spellStart"/>
      <w:r>
        <w:t>A’mar</w:t>
      </w:r>
      <w:proofErr w:type="spellEnd"/>
      <w:r>
        <w:t xml:space="preserve">, T., Aydin, K., </w:t>
      </w:r>
      <w:proofErr w:type="spellStart"/>
      <w:r>
        <w:t>Conners</w:t>
      </w:r>
      <w:proofErr w:type="spellEnd"/>
      <w:r>
        <w:t xml:space="preserve">, M. E., </w:t>
      </w:r>
      <w:proofErr w:type="spellStart"/>
      <w:r>
        <w:t>Conrath</w:t>
      </w:r>
      <w:proofErr w:type="spellEnd"/>
      <w:r>
        <w:t xml:space="preserve">, C., Dalton, M., Davis, O., Dorn, M., </w:t>
      </w:r>
      <w:proofErr w:type="spellStart"/>
      <w:r>
        <w:t>Echave</w:t>
      </w:r>
      <w:proofErr w:type="spellEnd"/>
      <w:r>
        <w:t xml:space="preserve">, K., Friday, N., Green, K., </w:t>
      </w:r>
      <w:proofErr w:type="spellStart"/>
      <w:r>
        <w:t>Hanselman</w:t>
      </w:r>
      <w:proofErr w:type="spellEnd"/>
      <w:r>
        <w:t xml:space="preserve">, D., Heifetz, J., </w:t>
      </w:r>
      <w:proofErr w:type="spellStart"/>
      <w:r>
        <w:t>Hulson</w:t>
      </w:r>
      <w:proofErr w:type="spellEnd"/>
      <w:r>
        <w:t xml:space="preserve">, P. J., </w:t>
      </w:r>
      <w:proofErr w:type="spellStart"/>
      <w:r>
        <w:t>Ianelli</w:t>
      </w:r>
      <w:proofErr w:type="spellEnd"/>
      <w:r>
        <w:t xml:space="preserve">, J., Jones, D., </w:t>
      </w:r>
      <w:proofErr w:type="spellStart"/>
      <w:r>
        <w:t>Jaenicke</w:t>
      </w:r>
      <w:proofErr w:type="spellEnd"/>
      <w:r>
        <w:t xml:space="preserve">, M., Lowe, S., Lunsford, C., Meyer, S., </w:t>
      </w:r>
      <w:proofErr w:type="spellStart"/>
      <w:r>
        <w:t>McGilliard</w:t>
      </w:r>
      <w:proofErr w:type="spellEnd"/>
      <w:r>
        <w:t xml:space="preserve">, C., Nichol, D., </w:t>
      </w:r>
      <w:proofErr w:type="spellStart"/>
      <w:r>
        <w:t>Ormseth</w:t>
      </w:r>
      <w:proofErr w:type="spellEnd"/>
      <w:r>
        <w:t xml:space="preserve">, O. A., </w:t>
      </w:r>
      <w:proofErr w:type="spellStart"/>
      <w:r>
        <w:t>Palsson</w:t>
      </w:r>
      <w:proofErr w:type="spellEnd"/>
      <w:r>
        <w:t xml:space="preserve">, W., </w:t>
      </w:r>
      <w:proofErr w:type="spellStart"/>
      <w:r>
        <w:t>Rodgveller</w:t>
      </w:r>
      <w:proofErr w:type="spellEnd"/>
      <w:r>
        <w:t xml:space="preserve">, C. J., Rumble, J., </w:t>
      </w:r>
      <w:proofErr w:type="spellStart"/>
      <w:r>
        <w:t>Shotwell</w:t>
      </w:r>
      <w:proofErr w:type="spellEnd"/>
      <w:r>
        <w:t xml:space="preserve">, K., Slater, L., </w:t>
      </w:r>
      <w:proofErr w:type="spellStart"/>
      <w:r>
        <w:t>Spalinger</w:t>
      </w:r>
      <w:proofErr w:type="spellEnd"/>
      <w:r>
        <w:t xml:space="preserve">, K., Spencer, P., Spies, I., </w:t>
      </w:r>
      <w:r w:rsidR="00721355">
        <w:t xml:space="preserve">Stewart, I., </w:t>
      </w:r>
      <w:proofErr w:type="spellStart"/>
      <w:r w:rsidR="00721355">
        <w:t>Stichart</w:t>
      </w:r>
      <w:proofErr w:type="spellEnd"/>
      <w:r w:rsidR="00721355">
        <w:t xml:space="preserve">, M., </w:t>
      </w:r>
      <w:r>
        <w:t xml:space="preserve">Stockhausen, W., </w:t>
      </w:r>
      <w:proofErr w:type="spellStart"/>
      <w:r w:rsidR="00721355">
        <w:t>Stram</w:t>
      </w:r>
      <w:proofErr w:type="spellEnd"/>
      <w:r w:rsidR="00721355">
        <w:t xml:space="preserve">, D., </w:t>
      </w:r>
      <w:proofErr w:type="spellStart"/>
      <w:r>
        <w:t>TenBrink</w:t>
      </w:r>
      <w:proofErr w:type="spellEnd"/>
      <w:r>
        <w:t xml:space="preserve">, T., </w:t>
      </w:r>
      <w:proofErr w:type="spellStart"/>
      <w:r>
        <w:t>Tribuzio</w:t>
      </w:r>
      <w:proofErr w:type="spellEnd"/>
      <w:r>
        <w:t xml:space="preserve">, C., </w:t>
      </w:r>
      <w:proofErr w:type="spellStart"/>
      <w:r w:rsidR="00721355">
        <w:t>Turnock</w:t>
      </w:r>
      <w:proofErr w:type="spellEnd"/>
      <w:r w:rsidR="00721355">
        <w:t>, J.</w:t>
      </w:r>
      <w:r>
        <w:t xml:space="preserve"> 2013. </w:t>
      </w:r>
      <w:r w:rsidR="007921F1">
        <w:t xml:space="preserve">Stock assessment and fishery evaluation report for the </w:t>
      </w:r>
      <w:proofErr w:type="spellStart"/>
      <w:r w:rsidR="007921F1">
        <w:t>groundfish</w:t>
      </w:r>
      <w:proofErr w:type="spellEnd"/>
      <w:r w:rsidR="007921F1">
        <w:t xml:space="preserve"> resources of the </w:t>
      </w:r>
      <w:r w:rsidR="00721355">
        <w:t>Gulf of Alaska</w:t>
      </w:r>
      <w:r>
        <w:t>. North Pacific Fisheries Management Council, Anchorage, AK.</w:t>
      </w:r>
    </w:p>
    <w:p w14:paraId="7DD1E2AA" w14:textId="3557A247" w:rsidR="00303172" w:rsidRDefault="00303172" w:rsidP="001632C8">
      <w:pPr>
        <w:spacing w:line="240" w:lineRule="auto"/>
        <w:ind w:left="720" w:hanging="720"/>
      </w:pPr>
      <w:proofErr w:type="spellStart"/>
      <w:r>
        <w:lastRenderedPageBreak/>
        <w:t>Altukhov</w:t>
      </w:r>
      <w:proofErr w:type="spellEnd"/>
      <w:r>
        <w:t xml:space="preserve">, Y. P. 1981. The stock concept from the viewpoint of population genetics. Can. J. Fish. </w:t>
      </w:r>
      <w:proofErr w:type="spellStart"/>
      <w:r>
        <w:t>Aquat</w:t>
      </w:r>
      <w:proofErr w:type="spellEnd"/>
      <w:r>
        <w:t xml:space="preserve">. Sci. 38: 1523-1538. </w:t>
      </w:r>
      <w:proofErr w:type="spellStart"/>
      <w:r>
        <w:t>doi</w:t>
      </w:r>
      <w:proofErr w:type="spellEnd"/>
      <w:r>
        <w:t xml:space="preserve">: </w:t>
      </w:r>
      <w:r w:rsidRPr="00303172">
        <w:t>10.1139/f81-205</w:t>
      </w:r>
      <w:r>
        <w:t>.</w:t>
      </w:r>
    </w:p>
    <w:p w14:paraId="1AF17310" w14:textId="77777777" w:rsidR="001632C8" w:rsidRDefault="001632C8" w:rsidP="001632C8">
      <w:pPr>
        <w:spacing w:line="240" w:lineRule="auto"/>
        <w:ind w:left="720" w:hanging="720"/>
      </w:pPr>
      <w:r>
        <w:t xml:space="preserve">Aydin, K., </w:t>
      </w:r>
      <w:proofErr w:type="spellStart"/>
      <w:r>
        <w:t>Barbeaux</w:t>
      </w:r>
      <w:proofErr w:type="spellEnd"/>
      <w:r>
        <w:t xml:space="preserve">, S. J., </w:t>
      </w:r>
      <w:proofErr w:type="spellStart"/>
      <w:r>
        <w:t>Conners</w:t>
      </w:r>
      <w:proofErr w:type="spellEnd"/>
      <w:r>
        <w:t xml:space="preserve">, M. E., </w:t>
      </w:r>
      <w:proofErr w:type="spellStart"/>
      <w:r>
        <w:t>Conrath</w:t>
      </w:r>
      <w:proofErr w:type="spellEnd"/>
      <w:r>
        <w:t xml:space="preserve">, C., Dalton, M., </w:t>
      </w:r>
      <w:proofErr w:type="spellStart"/>
      <w:r>
        <w:t>DiCosimo</w:t>
      </w:r>
      <w:proofErr w:type="spellEnd"/>
      <w:r>
        <w:t xml:space="preserve">, J., </w:t>
      </w:r>
      <w:proofErr w:type="spellStart"/>
      <w:r>
        <w:t>Echave</w:t>
      </w:r>
      <w:proofErr w:type="spellEnd"/>
      <w:r>
        <w:t xml:space="preserve">, K., </w:t>
      </w:r>
      <w:proofErr w:type="spellStart"/>
      <w:r>
        <w:t>Hanselman</w:t>
      </w:r>
      <w:proofErr w:type="spellEnd"/>
      <w:r>
        <w:t xml:space="preserve">, D., Hoff, J., </w:t>
      </w:r>
      <w:proofErr w:type="spellStart"/>
      <w:r>
        <w:t>Honkalehto</w:t>
      </w:r>
      <w:proofErr w:type="spellEnd"/>
      <w:r>
        <w:t xml:space="preserve">, T., </w:t>
      </w:r>
      <w:proofErr w:type="spellStart"/>
      <w:r>
        <w:t>Hulson</w:t>
      </w:r>
      <w:proofErr w:type="spellEnd"/>
      <w:r>
        <w:t xml:space="preserve">, P. J., </w:t>
      </w:r>
      <w:proofErr w:type="spellStart"/>
      <w:r>
        <w:t>Ianelli</w:t>
      </w:r>
      <w:proofErr w:type="spellEnd"/>
      <w:r>
        <w:t xml:space="preserve">, J., </w:t>
      </w:r>
      <w:proofErr w:type="spellStart"/>
      <w:r>
        <w:t>Kotwicki</w:t>
      </w:r>
      <w:proofErr w:type="spellEnd"/>
      <w:r>
        <w:t xml:space="preserve">, S., Lowe, S., Lunsford, C., </w:t>
      </w:r>
      <w:proofErr w:type="spellStart"/>
      <w:r>
        <w:t>McKelvey</w:t>
      </w:r>
      <w:proofErr w:type="spellEnd"/>
      <w:r>
        <w:t xml:space="preserve">, D., Nichol, D., </w:t>
      </w:r>
      <w:proofErr w:type="spellStart"/>
      <w:r>
        <w:t>Ormseth</w:t>
      </w:r>
      <w:proofErr w:type="spellEnd"/>
      <w:r>
        <w:t xml:space="preserve">, O. A., </w:t>
      </w:r>
      <w:proofErr w:type="spellStart"/>
      <w:r>
        <w:t>Palsson</w:t>
      </w:r>
      <w:proofErr w:type="spellEnd"/>
      <w:r>
        <w:t xml:space="preserve">, W., </w:t>
      </w:r>
      <w:proofErr w:type="spellStart"/>
      <w:r>
        <w:t>Rodgveller</w:t>
      </w:r>
      <w:proofErr w:type="spellEnd"/>
      <w:r>
        <w:t xml:space="preserve">, C. J., </w:t>
      </w:r>
      <w:proofErr w:type="spellStart"/>
      <w:r>
        <w:t>Rooper</w:t>
      </w:r>
      <w:proofErr w:type="spellEnd"/>
      <w:r>
        <w:t xml:space="preserve">, C. N., Spencer, P., Spies, I., Stockhausen, W., </w:t>
      </w:r>
      <w:proofErr w:type="spellStart"/>
      <w:r>
        <w:t>TenBrink</w:t>
      </w:r>
      <w:proofErr w:type="spellEnd"/>
      <w:r>
        <w:t xml:space="preserve">, T., Thompson, G., </w:t>
      </w:r>
      <w:proofErr w:type="spellStart"/>
      <w:r>
        <w:t>Tribuzio</w:t>
      </w:r>
      <w:proofErr w:type="spellEnd"/>
      <w:r>
        <w:t xml:space="preserve">, C., </w:t>
      </w:r>
      <w:proofErr w:type="spellStart"/>
      <w:r>
        <w:t>Wilderbuer</w:t>
      </w:r>
      <w:proofErr w:type="spellEnd"/>
      <w:r>
        <w:t xml:space="preserve">, T., Williamson, N. 2013. Stock assessment and fishery evaluation report for the </w:t>
      </w:r>
      <w:proofErr w:type="spellStart"/>
      <w:r>
        <w:t>groundfish</w:t>
      </w:r>
      <w:proofErr w:type="spellEnd"/>
      <w:r>
        <w:t xml:space="preserve"> resources of the Bering Sea/Aleutian Islands region. North Pacific Fisheries Management Council, Anchorage, AK.</w:t>
      </w:r>
    </w:p>
    <w:p w14:paraId="28C19D20" w14:textId="51311E0F" w:rsidR="008251CE" w:rsidRPr="00CA07D6" w:rsidRDefault="00CA07D6" w:rsidP="001632C8">
      <w:pPr>
        <w:spacing w:line="240" w:lineRule="auto"/>
        <w:ind w:left="720" w:hanging="720"/>
      </w:pPr>
      <w:r>
        <w:t xml:space="preserve">Bailey, K. M., </w:t>
      </w:r>
      <w:proofErr w:type="spellStart"/>
      <w:r>
        <w:t>Stabeno</w:t>
      </w:r>
      <w:proofErr w:type="spellEnd"/>
      <w:r>
        <w:t xml:space="preserve">, P. J., Powers, D. A. 1997. The role of larval retention and transport features in mortality and potential gene flow of walleye </w:t>
      </w:r>
      <w:proofErr w:type="spellStart"/>
      <w:r>
        <w:t>pollock</w:t>
      </w:r>
      <w:proofErr w:type="spellEnd"/>
      <w:r>
        <w:t>. J. Fish. Biol. 51(</w:t>
      </w:r>
      <w:proofErr w:type="spellStart"/>
      <w:r>
        <w:t>Suppl</w:t>
      </w:r>
      <w:proofErr w:type="spellEnd"/>
      <w:r>
        <w:t xml:space="preserve"> A): 135-154.</w:t>
      </w:r>
    </w:p>
    <w:p w14:paraId="4330E303" w14:textId="77777777" w:rsidR="007A4D35" w:rsidRDefault="007A4D35" w:rsidP="00706AC6">
      <w:pPr>
        <w:spacing w:line="240" w:lineRule="auto"/>
        <w:ind w:left="720" w:hanging="720"/>
      </w:pPr>
      <w:r>
        <w:t xml:space="preserve">Banerjee, S., Carlin, B. P., </w:t>
      </w:r>
      <w:proofErr w:type="spellStart"/>
      <w:r>
        <w:t>Gelfand</w:t>
      </w:r>
      <w:proofErr w:type="spellEnd"/>
      <w:r>
        <w:t xml:space="preserve">, A. E. 2004. Hierarchical Modeling and Analysis for Spatial Data. </w:t>
      </w:r>
      <w:proofErr w:type="spellStart"/>
      <w:r w:rsidR="0067100A">
        <w:t>Crc</w:t>
      </w:r>
      <w:proofErr w:type="spellEnd"/>
      <w:r w:rsidR="0067100A">
        <w:t xml:space="preserve"> Press</w:t>
      </w:r>
      <w:r>
        <w:t>.</w:t>
      </w:r>
    </w:p>
    <w:p w14:paraId="6C79EDF6" w14:textId="4FB1EFB5" w:rsidR="00CE22C1" w:rsidRDefault="00CE22C1" w:rsidP="001A72F1">
      <w:pPr>
        <w:spacing w:line="240" w:lineRule="auto"/>
        <w:ind w:left="720" w:hanging="720"/>
      </w:pPr>
      <w:proofErr w:type="spellStart"/>
      <w:r>
        <w:t>Begg</w:t>
      </w:r>
      <w:proofErr w:type="spellEnd"/>
      <w:r>
        <w:t xml:space="preserve">, G. A., Hare, J. A., Sheehan, D. D. 1999. The role of life history parameters as indicators of stock structure. Fish. Res. 43(1-3): 141-163. </w:t>
      </w:r>
      <w:proofErr w:type="spellStart"/>
      <w:r>
        <w:t>doi</w:t>
      </w:r>
      <w:proofErr w:type="spellEnd"/>
      <w:r>
        <w:t xml:space="preserve">: </w:t>
      </w:r>
      <w:r w:rsidRPr="00CE22C1">
        <w:t>10.1016/S0165-7836(99)00071-5</w:t>
      </w:r>
      <w:r>
        <w:t>.</w:t>
      </w:r>
    </w:p>
    <w:p w14:paraId="423C13D0" w14:textId="6F421ACD" w:rsidR="001A72F1" w:rsidRDefault="001A72F1" w:rsidP="001A72F1">
      <w:pPr>
        <w:spacing w:line="240" w:lineRule="auto"/>
        <w:ind w:left="720" w:hanging="720"/>
      </w:pPr>
      <w:proofErr w:type="spellStart"/>
      <w:r>
        <w:t>Begg</w:t>
      </w:r>
      <w:proofErr w:type="spellEnd"/>
      <w:r>
        <w:t xml:space="preserve">, G. A., Waldman, J. R. 1999. An holistic approach to fish stock identification. Fish. Res. 43(1-3): 35-44. </w:t>
      </w:r>
      <w:proofErr w:type="spellStart"/>
      <w:r>
        <w:t>doi</w:t>
      </w:r>
      <w:proofErr w:type="spellEnd"/>
      <w:r>
        <w:t xml:space="preserve">: </w:t>
      </w:r>
      <w:r w:rsidR="00CE22C1">
        <w:rPr>
          <w:rStyle w:val="scdddoi"/>
        </w:rPr>
        <w:t>10.1016/S0165-7836(99)00065-X</w:t>
      </w:r>
      <w:r>
        <w:t>.</w:t>
      </w:r>
    </w:p>
    <w:p w14:paraId="5DB9947E" w14:textId="77777777" w:rsidR="00A23714" w:rsidRDefault="00A23714" w:rsidP="00A23714">
      <w:pPr>
        <w:spacing w:line="240" w:lineRule="auto"/>
        <w:ind w:left="720" w:hanging="720"/>
      </w:pPr>
      <w:proofErr w:type="spellStart"/>
      <w:r>
        <w:t>Botsford</w:t>
      </w:r>
      <w:proofErr w:type="spellEnd"/>
      <w:r>
        <w:t xml:space="preserve">, L. W, </w:t>
      </w:r>
      <w:proofErr w:type="spellStart"/>
      <w:r>
        <w:t>Castilla</w:t>
      </w:r>
      <w:proofErr w:type="spellEnd"/>
      <w:r>
        <w:t xml:space="preserve">, J. C., Peterson, C. H. 1997. The management of fisheries and marine ecosystems. Science 277: 509-515. </w:t>
      </w:r>
      <w:proofErr w:type="spellStart"/>
      <w:r>
        <w:t>doi</w:t>
      </w:r>
      <w:proofErr w:type="spellEnd"/>
      <w:r>
        <w:t xml:space="preserve">: </w:t>
      </w:r>
      <w:r w:rsidRPr="00C16B9B">
        <w:t>10.1126/science.277.5325.509</w:t>
      </w:r>
      <w:r>
        <w:t>.</w:t>
      </w:r>
    </w:p>
    <w:p w14:paraId="10237A36" w14:textId="221366AD" w:rsidR="00303172" w:rsidRDefault="00303172" w:rsidP="00706AC6">
      <w:pPr>
        <w:spacing w:line="240" w:lineRule="auto"/>
        <w:ind w:left="720" w:hanging="720"/>
      </w:pPr>
      <w:proofErr w:type="spellStart"/>
      <w:r>
        <w:t>Campana</w:t>
      </w:r>
      <w:proofErr w:type="spellEnd"/>
      <w:r>
        <w:t xml:space="preserve">, S. E., </w:t>
      </w:r>
      <w:proofErr w:type="spellStart"/>
      <w:r>
        <w:t>Gagn</w:t>
      </w:r>
      <w:r w:rsidR="00B47639">
        <w:rPr>
          <w:rFonts w:ascii="Calibri" w:hAnsi="Calibri"/>
        </w:rPr>
        <w:t>é</w:t>
      </w:r>
      <w:proofErr w:type="spellEnd"/>
      <w:r w:rsidR="00B47639">
        <w:t xml:space="preserve">, J. A., McLaren, J. W. 1995. Elemental fingerprinting of fish </w:t>
      </w:r>
      <w:proofErr w:type="spellStart"/>
      <w:r w:rsidR="00B47639">
        <w:t>otoliths</w:t>
      </w:r>
      <w:proofErr w:type="spellEnd"/>
      <w:r w:rsidR="00B47639">
        <w:t xml:space="preserve"> using ID-ICPMS. Mar. Ecol. </w:t>
      </w:r>
      <w:proofErr w:type="spellStart"/>
      <w:r w:rsidR="00B47639">
        <w:t>Prog</w:t>
      </w:r>
      <w:proofErr w:type="spellEnd"/>
      <w:r w:rsidR="00B47639">
        <w:t>. Ser. 122: 115-120.</w:t>
      </w:r>
    </w:p>
    <w:p w14:paraId="61051C78" w14:textId="77777777" w:rsidR="00FF5221" w:rsidRDefault="00FF5221" w:rsidP="00FF5221">
      <w:pPr>
        <w:spacing w:line="240" w:lineRule="auto"/>
        <w:ind w:left="720" w:hanging="720"/>
      </w:pPr>
      <w:proofErr w:type="spellStart"/>
      <w:r>
        <w:t>Carvalho</w:t>
      </w:r>
      <w:proofErr w:type="spellEnd"/>
      <w:r>
        <w:t xml:space="preserve">, G. R., Hauser, L. 1995. Molecular genetics and the stock concept in fisheries. </w:t>
      </w:r>
      <w:r w:rsidRPr="00A23714">
        <w:rPr>
          <w:i/>
        </w:rPr>
        <w:t>In</w:t>
      </w:r>
      <w:r>
        <w:t xml:space="preserve"> Molecular Genetics in Fisheries. </w:t>
      </w:r>
      <w:r w:rsidRPr="00A23714">
        <w:rPr>
          <w:i/>
        </w:rPr>
        <w:t>Edited by</w:t>
      </w:r>
      <w:r>
        <w:t xml:space="preserve"> G. R. </w:t>
      </w:r>
      <w:proofErr w:type="spellStart"/>
      <w:r>
        <w:t>Carvalho</w:t>
      </w:r>
      <w:proofErr w:type="spellEnd"/>
      <w:r>
        <w:t xml:space="preserve"> and T. J. Pitcher. Chapman and Hall, London, UK. pp. 55-79.</w:t>
      </w:r>
    </w:p>
    <w:p w14:paraId="3E20A801" w14:textId="62882694" w:rsidR="009D6D6A" w:rsidRDefault="009D6D6A" w:rsidP="00706AC6">
      <w:pPr>
        <w:spacing w:line="240" w:lineRule="auto"/>
        <w:ind w:left="720" w:hanging="720"/>
      </w:pPr>
      <w:r>
        <w:t xml:space="preserve">Conover, D. O., Clarke, L. M., Munch, S. B., Wagner, G. N. 2006. </w:t>
      </w:r>
      <w:r w:rsidRPr="009D6D6A">
        <w:t>Spatial and temporal scales of adaptive divergence in marine fishes and the implications for conservation</w:t>
      </w:r>
      <w:r>
        <w:t xml:space="preserve">. J. Fish Bio. 69: 21-47. </w:t>
      </w:r>
      <w:proofErr w:type="spellStart"/>
      <w:r>
        <w:t>doi</w:t>
      </w:r>
      <w:proofErr w:type="spellEnd"/>
      <w:r>
        <w:t xml:space="preserve">: </w:t>
      </w:r>
      <w:r w:rsidRPr="009D6D6A">
        <w:t>10.1111/j.1095-8649.2006.01274.x</w:t>
      </w:r>
      <w:r>
        <w:t>.</w:t>
      </w:r>
    </w:p>
    <w:p w14:paraId="06845D52" w14:textId="0714A7F1" w:rsidR="009D6D6A" w:rsidRDefault="009D6D6A" w:rsidP="00706AC6">
      <w:pPr>
        <w:spacing w:line="240" w:lineRule="auto"/>
        <w:ind w:left="720" w:hanging="720"/>
      </w:pPr>
      <w:r>
        <w:t xml:space="preserve">Cope, J. M., Punt, A. E. 2009. Drawing the lines: resolving fishery management units with simple fisheries data. Can. J. Fish. </w:t>
      </w:r>
      <w:proofErr w:type="spellStart"/>
      <w:r>
        <w:t>Aquat</w:t>
      </w:r>
      <w:proofErr w:type="spellEnd"/>
      <w:r>
        <w:t xml:space="preserve">. Sci. 66(8): 1256-1273. </w:t>
      </w:r>
      <w:proofErr w:type="spellStart"/>
      <w:r>
        <w:t>doi</w:t>
      </w:r>
      <w:proofErr w:type="spellEnd"/>
      <w:r>
        <w:t xml:space="preserve">: </w:t>
      </w:r>
      <w:r w:rsidRPr="009D6D6A">
        <w:t>10.1139/F09-084</w:t>
      </w:r>
      <w:r>
        <w:t>.</w:t>
      </w:r>
    </w:p>
    <w:p w14:paraId="4581BBD6" w14:textId="77777777" w:rsidR="00C642CA" w:rsidRDefault="00C642CA" w:rsidP="00706AC6">
      <w:pPr>
        <w:spacing w:line="240" w:lineRule="auto"/>
        <w:ind w:left="720" w:hanging="720"/>
      </w:pPr>
      <w:proofErr w:type="spellStart"/>
      <w:r>
        <w:t>Cressie</w:t>
      </w:r>
      <w:proofErr w:type="spellEnd"/>
      <w:r>
        <w:t>, N. A. C. 1993. Statistics for Spatial Data. Wiley, NY.</w:t>
      </w:r>
    </w:p>
    <w:p w14:paraId="1C830388" w14:textId="2931D087" w:rsidR="00F843A6" w:rsidRDefault="00F843A6" w:rsidP="00706AC6">
      <w:pPr>
        <w:spacing w:line="240" w:lineRule="auto"/>
        <w:ind w:left="720" w:hanging="720"/>
      </w:pPr>
      <w:proofErr w:type="spellStart"/>
      <w:r>
        <w:t>Cressie</w:t>
      </w:r>
      <w:proofErr w:type="spellEnd"/>
      <w:r>
        <w:t xml:space="preserve">, N., </w:t>
      </w:r>
      <w:proofErr w:type="spellStart"/>
      <w:r>
        <w:t>Wikle</w:t>
      </w:r>
      <w:proofErr w:type="spellEnd"/>
      <w:r>
        <w:t xml:space="preserve">, C. K. 2011. Statistics for </w:t>
      </w:r>
      <w:proofErr w:type="spellStart"/>
      <w:r>
        <w:t>Spatio</w:t>
      </w:r>
      <w:proofErr w:type="spellEnd"/>
      <w:r>
        <w:t xml:space="preserve">-Temporal Data. John Wiley &amp; Sons, </w:t>
      </w:r>
      <w:r w:rsidR="005519D1">
        <w:t xml:space="preserve">Inc., </w:t>
      </w:r>
      <w:r>
        <w:t>Hoboken, New Jersey.</w:t>
      </w:r>
    </w:p>
    <w:p w14:paraId="43506405" w14:textId="27582A73" w:rsidR="003F10D8" w:rsidRDefault="003F10D8" w:rsidP="003F10D8">
      <w:pPr>
        <w:spacing w:line="240" w:lineRule="auto"/>
        <w:ind w:left="720" w:hanging="720"/>
      </w:pPr>
      <w:proofErr w:type="spellStart"/>
      <w:r>
        <w:t>Dulvy</w:t>
      </w:r>
      <w:proofErr w:type="spellEnd"/>
      <w:r>
        <w:t>, N. K., Rogers</w:t>
      </w:r>
      <w:r w:rsidR="008621EE">
        <w:t xml:space="preserve">, S. I., Jennings, S., </w:t>
      </w:r>
      <w:proofErr w:type="spellStart"/>
      <w:r w:rsidR="008621EE">
        <w:t>Stelzenm</w:t>
      </w:r>
      <w:r w:rsidR="00E4301E">
        <w:t>ü</w:t>
      </w:r>
      <w:r>
        <w:t>ller</w:t>
      </w:r>
      <w:proofErr w:type="spellEnd"/>
      <w:r>
        <w:t xml:space="preserve">, V., Dye, S. R.,  </w:t>
      </w:r>
      <w:proofErr w:type="spellStart"/>
      <w:r>
        <w:t>Skjoldal</w:t>
      </w:r>
      <w:proofErr w:type="spellEnd"/>
      <w:r>
        <w:t>, H. R. 2008. Climate change and deepening of the North Sea fish assemblage: a biotic indic</w:t>
      </w:r>
      <w:r w:rsidR="00E4301E">
        <w:t>ator of warming seas. J. Appl.</w:t>
      </w:r>
      <w:r>
        <w:t xml:space="preserve"> Eco. 45(4): 1029-1039.</w:t>
      </w:r>
    </w:p>
    <w:p w14:paraId="1387168E" w14:textId="4AC90284" w:rsidR="005B129F" w:rsidRDefault="005B129F" w:rsidP="00706AC6">
      <w:pPr>
        <w:spacing w:line="240" w:lineRule="auto"/>
        <w:ind w:left="720" w:hanging="720"/>
      </w:pPr>
      <w:r>
        <w:t xml:space="preserve">Frank, K., Brickman, D. 2000. </w:t>
      </w:r>
      <w:proofErr w:type="spellStart"/>
      <w:r w:rsidRPr="005B129F">
        <w:t>Allee</w:t>
      </w:r>
      <w:proofErr w:type="spellEnd"/>
      <w:r w:rsidRPr="005B129F">
        <w:t xml:space="preserve"> effects and compensatory population dynamics within a stock complex</w:t>
      </w:r>
      <w:r>
        <w:t xml:space="preserve">. Can. J. Fish. </w:t>
      </w:r>
      <w:proofErr w:type="spellStart"/>
      <w:r>
        <w:t>Aquat</w:t>
      </w:r>
      <w:proofErr w:type="spellEnd"/>
      <w:r>
        <w:t xml:space="preserve">. Sci. 57(3): 513-517. </w:t>
      </w:r>
      <w:proofErr w:type="spellStart"/>
      <w:r>
        <w:t>doi</w:t>
      </w:r>
      <w:proofErr w:type="spellEnd"/>
      <w:r>
        <w:t xml:space="preserve">: </w:t>
      </w:r>
      <w:r w:rsidRPr="005B129F">
        <w:t>10.1139/f00-024</w:t>
      </w:r>
      <w:r>
        <w:t xml:space="preserve">. </w:t>
      </w:r>
    </w:p>
    <w:p w14:paraId="57E210ED" w14:textId="25A161F8" w:rsidR="005519D1" w:rsidRDefault="005519D1" w:rsidP="00706AC6">
      <w:pPr>
        <w:spacing w:line="240" w:lineRule="auto"/>
        <w:ind w:left="720" w:hanging="720"/>
      </w:pPr>
      <w:proofErr w:type="spellStart"/>
      <w:r>
        <w:t>Gelman</w:t>
      </w:r>
      <w:proofErr w:type="spellEnd"/>
      <w:r>
        <w:t xml:space="preserve">, A., Carlin, J. B., Stern, H. S., Dunson, D. B., </w:t>
      </w:r>
      <w:proofErr w:type="spellStart"/>
      <w:r>
        <w:t>Vehtari</w:t>
      </w:r>
      <w:proofErr w:type="spellEnd"/>
      <w:r>
        <w:t>, A., Rubin, D. B. 2013. Bayesian Data Analysis. CRC Press.</w:t>
      </w:r>
    </w:p>
    <w:p w14:paraId="311CEEB5" w14:textId="04674498" w:rsidR="008251CE" w:rsidRPr="008251CE" w:rsidRDefault="008251CE" w:rsidP="00706AC6">
      <w:pPr>
        <w:spacing w:line="240" w:lineRule="auto"/>
        <w:ind w:left="720" w:hanging="720"/>
      </w:pPr>
      <w:r>
        <w:t xml:space="preserve">Grant, W. S., Utter, F. M. 1980. Biochemical variation in walleye </w:t>
      </w:r>
      <w:proofErr w:type="spellStart"/>
      <w:r>
        <w:t>pollock</w:t>
      </w:r>
      <w:proofErr w:type="spellEnd"/>
      <w:r>
        <w:t xml:space="preserve"> </w:t>
      </w:r>
      <w:proofErr w:type="spellStart"/>
      <w:r>
        <w:rPr>
          <w:i/>
        </w:rPr>
        <w:t>Theragra</w:t>
      </w:r>
      <w:proofErr w:type="spellEnd"/>
      <w:r>
        <w:rPr>
          <w:i/>
        </w:rPr>
        <w:t xml:space="preserve"> </w:t>
      </w:r>
      <w:proofErr w:type="spellStart"/>
      <w:r>
        <w:rPr>
          <w:i/>
        </w:rPr>
        <w:t>chalcogramma</w:t>
      </w:r>
      <w:proofErr w:type="spellEnd"/>
      <w:r>
        <w:t xml:space="preserve">: population structure in the southeastern Bering Sea and Gulf of Alaska. Can J. Fish. </w:t>
      </w:r>
      <w:proofErr w:type="spellStart"/>
      <w:r>
        <w:t>Aquat</w:t>
      </w:r>
      <w:proofErr w:type="spellEnd"/>
      <w:r>
        <w:t>. Sci. 37: 1093-1100.</w:t>
      </w:r>
    </w:p>
    <w:p w14:paraId="68A73D9F" w14:textId="6B58E6CB" w:rsidR="00D01F3B" w:rsidRDefault="00D01F3B" w:rsidP="00706AC6">
      <w:pPr>
        <w:spacing w:line="240" w:lineRule="auto"/>
        <w:ind w:left="720" w:hanging="720"/>
      </w:pPr>
      <w:r w:rsidRPr="00D01F3B">
        <w:t xml:space="preserve">Hastie, T., </w:t>
      </w:r>
      <w:proofErr w:type="spellStart"/>
      <w:r w:rsidRPr="00D01F3B">
        <w:t>Tibshirani</w:t>
      </w:r>
      <w:proofErr w:type="spellEnd"/>
      <w:r w:rsidRPr="00D01F3B">
        <w:t>, R.</w:t>
      </w:r>
      <w:r>
        <w:t xml:space="preserve">, </w:t>
      </w:r>
      <w:r w:rsidRPr="00D01F3B">
        <w:t>Friedman, J.</w:t>
      </w:r>
      <w:r>
        <w:t xml:space="preserve"> </w:t>
      </w:r>
      <w:r w:rsidRPr="00D01F3B">
        <w:t>H. 2001</w:t>
      </w:r>
      <w:r>
        <w:t>.</w:t>
      </w:r>
      <w:r w:rsidRPr="00D01F3B">
        <w:t xml:space="preserve"> The Elements of Statistical Learning: Data Mining, Inference, and Prediction. Springer-</w:t>
      </w:r>
      <w:proofErr w:type="spellStart"/>
      <w:r w:rsidRPr="00D01F3B">
        <w:t>Verlag</w:t>
      </w:r>
      <w:proofErr w:type="spellEnd"/>
      <w:r w:rsidRPr="00D01F3B">
        <w:t>, New York.</w:t>
      </w:r>
    </w:p>
    <w:p w14:paraId="3199C775" w14:textId="1C039991" w:rsidR="00D86A3A" w:rsidRDefault="00D86A3A" w:rsidP="00706AC6">
      <w:pPr>
        <w:spacing w:line="240" w:lineRule="auto"/>
        <w:ind w:left="720" w:hanging="720"/>
      </w:pPr>
      <w:r>
        <w:lastRenderedPageBreak/>
        <w:t xml:space="preserve">Hauser, L., </w:t>
      </w:r>
      <w:proofErr w:type="spellStart"/>
      <w:r>
        <w:t>Adock</w:t>
      </w:r>
      <w:proofErr w:type="spellEnd"/>
      <w:r>
        <w:t xml:space="preserve">, G. J., Smith, P. J., Bernal </w:t>
      </w:r>
      <w:proofErr w:type="spellStart"/>
      <w:r>
        <w:t>Ram</w:t>
      </w:r>
      <w:r>
        <w:rPr>
          <w:rFonts w:ascii="Calibri" w:hAnsi="Calibri"/>
        </w:rPr>
        <w:t>í</w:t>
      </w:r>
      <w:r>
        <w:t>rez</w:t>
      </w:r>
      <w:proofErr w:type="spellEnd"/>
      <w:r>
        <w:t xml:space="preserve">, J. H., </w:t>
      </w:r>
      <w:proofErr w:type="spellStart"/>
      <w:r>
        <w:t>Carvalho</w:t>
      </w:r>
      <w:proofErr w:type="spellEnd"/>
      <w:r>
        <w:t xml:space="preserve">, G. R. 2005. </w:t>
      </w:r>
      <w:r w:rsidRPr="00D86A3A">
        <w:t>Loss of microsatellite diversity and low effective population size in an overexploited population of New Zealand snapper (</w:t>
      </w:r>
      <w:proofErr w:type="spellStart"/>
      <w:r w:rsidRPr="00D86A3A">
        <w:rPr>
          <w:i/>
        </w:rPr>
        <w:t>Pagrus</w:t>
      </w:r>
      <w:proofErr w:type="spellEnd"/>
      <w:r w:rsidRPr="00D86A3A">
        <w:rPr>
          <w:i/>
        </w:rPr>
        <w:t xml:space="preserve"> </w:t>
      </w:r>
      <w:proofErr w:type="spellStart"/>
      <w:r w:rsidRPr="00D86A3A">
        <w:rPr>
          <w:i/>
        </w:rPr>
        <w:t>auratus</w:t>
      </w:r>
      <w:proofErr w:type="spellEnd"/>
      <w:r w:rsidRPr="00D86A3A">
        <w:t>)</w:t>
      </w:r>
      <w:r>
        <w:t xml:space="preserve">. PNAS 99(18): 11742-11747. </w:t>
      </w:r>
      <w:proofErr w:type="spellStart"/>
      <w:r>
        <w:t>doi</w:t>
      </w:r>
      <w:proofErr w:type="spellEnd"/>
      <w:r>
        <w:t xml:space="preserve">: </w:t>
      </w:r>
      <w:r w:rsidRPr="00D86A3A">
        <w:t>10.1073/pnas.172242899</w:t>
      </w:r>
      <w:r>
        <w:t>.</w:t>
      </w:r>
    </w:p>
    <w:p w14:paraId="46A39D46" w14:textId="59F8E931" w:rsidR="001617F9" w:rsidRDefault="001617F9" w:rsidP="00706AC6">
      <w:pPr>
        <w:spacing w:line="240" w:lineRule="auto"/>
        <w:ind w:left="720" w:hanging="720"/>
      </w:pPr>
      <w:proofErr w:type="spellStart"/>
      <w:r>
        <w:t>Hilborn</w:t>
      </w:r>
      <w:proofErr w:type="spellEnd"/>
      <w:r>
        <w:t>, R., Walters, C. J. 1992. Quantitative Fisheries Stock Assessment: Choice, Dynamics, and Uncertainty. Chapman and Hall, New York.</w:t>
      </w:r>
    </w:p>
    <w:p w14:paraId="1D0FE11A" w14:textId="77777777" w:rsidR="00146883" w:rsidRDefault="00146883" w:rsidP="00706AC6">
      <w:pPr>
        <w:spacing w:line="240" w:lineRule="auto"/>
        <w:ind w:left="720" w:hanging="720"/>
      </w:pPr>
      <w:proofErr w:type="spellStart"/>
      <w:r>
        <w:t>Illian</w:t>
      </w:r>
      <w:proofErr w:type="spellEnd"/>
      <w:r>
        <w:t xml:space="preserve">, J. B., </w:t>
      </w:r>
      <w:proofErr w:type="spellStart"/>
      <w:r>
        <w:t>S</w:t>
      </w:r>
      <w:r w:rsidR="00FA05D3">
        <w:rPr>
          <w:rFonts w:ascii="Cambria" w:hAnsi="Cambria" w:cs="Cambria"/>
        </w:rPr>
        <w:t>ørbye</w:t>
      </w:r>
      <w:proofErr w:type="spellEnd"/>
      <w:r w:rsidR="00FA05D3">
        <w:rPr>
          <w:rFonts w:ascii="Cambria" w:hAnsi="Cambria" w:cs="Cambria"/>
        </w:rPr>
        <w:t>, S. H., Rue, H. 2012. A toolbox for fitting complex spatial point process models using integrated nested Laplace approximation (INLA). The Annals of Applied Statistics, 6:1499-1530.</w:t>
      </w:r>
    </w:p>
    <w:p w14:paraId="053B6C8E" w14:textId="77777777" w:rsidR="0067100A" w:rsidRDefault="0067100A" w:rsidP="00706AC6">
      <w:pPr>
        <w:spacing w:line="240" w:lineRule="auto"/>
        <w:ind w:left="720" w:hanging="720"/>
      </w:pPr>
      <w:proofErr w:type="spellStart"/>
      <w:r>
        <w:t>Jona-Lasinio</w:t>
      </w:r>
      <w:proofErr w:type="spellEnd"/>
      <w:r>
        <w:t xml:space="preserve">, G., </w:t>
      </w:r>
      <w:proofErr w:type="spellStart"/>
      <w:r>
        <w:t>Mastrantonio</w:t>
      </w:r>
      <w:proofErr w:type="spellEnd"/>
      <w:r>
        <w:t xml:space="preserve">, G. </w:t>
      </w:r>
      <w:proofErr w:type="spellStart"/>
      <w:r>
        <w:t>Pollice</w:t>
      </w:r>
      <w:proofErr w:type="spellEnd"/>
      <w:r>
        <w:t>, A. 2012. Discussing the “big n problem”. Statistical Methods and Applications, 22(1):97-112.</w:t>
      </w:r>
    </w:p>
    <w:p w14:paraId="53C02959" w14:textId="1DF33955" w:rsidR="00FA05D3" w:rsidRDefault="00FA05D3" w:rsidP="00706AC6">
      <w:pPr>
        <w:spacing w:line="240" w:lineRule="auto"/>
        <w:ind w:left="720" w:hanging="720"/>
      </w:pPr>
      <w:proofErr w:type="spellStart"/>
      <w:r>
        <w:t>Kristensen</w:t>
      </w:r>
      <w:proofErr w:type="spellEnd"/>
      <w:r>
        <w:t xml:space="preserve">, K. </w:t>
      </w:r>
      <w:proofErr w:type="spellStart"/>
      <w:r>
        <w:t>Thygesen</w:t>
      </w:r>
      <w:proofErr w:type="spellEnd"/>
      <w:r>
        <w:t xml:space="preserve">, U. H., Andersen, K. H., Beyer, J. E. 2013. Estimating </w:t>
      </w:r>
      <w:proofErr w:type="spellStart"/>
      <w:r>
        <w:t>spatio</w:t>
      </w:r>
      <w:proofErr w:type="spellEnd"/>
      <w:r>
        <w:t>-temporal dynamics of size-stru</w:t>
      </w:r>
      <w:r w:rsidR="00B71036">
        <w:t>ctured populations. Can.</w:t>
      </w:r>
      <w:r>
        <w:t xml:space="preserve"> J</w:t>
      </w:r>
      <w:r w:rsidR="003F10D8">
        <w:t>.</w:t>
      </w:r>
      <w:r w:rsidR="00B71036">
        <w:t xml:space="preserve"> </w:t>
      </w:r>
      <w:r>
        <w:t>Fish</w:t>
      </w:r>
      <w:r w:rsidR="003F10D8">
        <w:t>.</w:t>
      </w:r>
      <w:r>
        <w:t xml:space="preserve"> </w:t>
      </w:r>
      <w:proofErr w:type="spellStart"/>
      <w:r>
        <w:t>Aquat</w:t>
      </w:r>
      <w:proofErr w:type="spellEnd"/>
      <w:r w:rsidR="00B71036">
        <w:t>.</w:t>
      </w:r>
      <w:r>
        <w:t xml:space="preserve"> Sci</w:t>
      </w:r>
      <w:r w:rsidR="00B71036">
        <w:t>.</w:t>
      </w:r>
      <w:r>
        <w:t xml:space="preserve"> 71:326-336.</w:t>
      </w:r>
    </w:p>
    <w:p w14:paraId="09CE3EFE" w14:textId="3F38DFB7" w:rsidR="009D6D6A" w:rsidRDefault="009D6D6A" w:rsidP="00B47639">
      <w:pPr>
        <w:spacing w:line="240" w:lineRule="auto"/>
        <w:ind w:left="720" w:hanging="720"/>
      </w:pPr>
      <w:r>
        <w:t xml:space="preserve">Lacy, R. C. 1987. </w:t>
      </w:r>
      <w:r w:rsidRPr="009D6D6A">
        <w:t>Loss of genetic diversity from managed populations: interacting effects of drift, mutation, immigration, selection, and population subdivision</w:t>
      </w:r>
      <w:r>
        <w:t xml:space="preserve">. </w:t>
      </w:r>
      <w:proofErr w:type="spellStart"/>
      <w:r>
        <w:t>Conserv</w:t>
      </w:r>
      <w:proofErr w:type="spellEnd"/>
      <w:r>
        <w:t>. Biol. 1(2): 143-158.</w:t>
      </w:r>
    </w:p>
    <w:p w14:paraId="09D98797" w14:textId="77777777" w:rsidR="00B47639" w:rsidRDefault="00B47639" w:rsidP="00B47639">
      <w:pPr>
        <w:spacing w:line="240" w:lineRule="auto"/>
        <w:ind w:left="720" w:hanging="720"/>
      </w:pPr>
      <w:proofErr w:type="spellStart"/>
      <w:r>
        <w:t>Laikre</w:t>
      </w:r>
      <w:proofErr w:type="spellEnd"/>
      <w:r>
        <w:t xml:space="preserve">, L., Palm, S., Ryman, N. 2005. Genetic population structure of fishes: implications for coastal zone management. </w:t>
      </w:r>
      <w:proofErr w:type="spellStart"/>
      <w:r>
        <w:t>Ambio</w:t>
      </w:r>
      <w:proofErr w:type="spellEnd"/>
      <w:r>
        <w:t xml:space="preserve"> 34: 111-119.</w:t>
      </w:r>
    </w:p>
    <w:p w14:paraId="2457CCB1" w14:textId="3D933BBB" w:rsidR="009D6D6A" w:rsidRDefault="009D6D6A" w:rsidP="00706AC6">
      <w:pPr>
        <w:spacing w:line="240" w:lineRule="auto"/>
        <w:ind w:left="720" w:hanging="720"/>
      </w:pPr>
      <w:proofErr w:type="spellStart"/>
      <w:r>
        <w:t>Lande</w:t>
      </w:r>
      <w:proofErr w:type="spellEnd"/>
      <w:r>
        <w:t xml:space="preserve">, R. 1993. </w:t>
      </w:r>
      <w:r w:rsidRPr="009D6D6A">
        <w:t xml:space="preserve">Risks of population extinction from demographic and environmental </w:t>
      </w:r>
      <w:proofErr w:type="spellStart"/>
      <w:r w:rsidRPr="009D6D6A">
        <w:t>stochasticity</w:t>
      </w:r>
      <w:proofErr w:type="spellEnd"/>
      <w:r w:rsidRPr="009D6D6A">
        <w:t xml:space="preserve"> and random catastrophes</w:t>
      </w:r>
      <w:r>
        <w:t>. Am. Nat. 142(6): 911-927.</w:t>
      </w:r>
    </w:p>
    <w:p w14:paraId="75C1B394" w14:textId="19201F30" w:rsidR="00153365" w:rsidRDefault="00153365" w:rsidP="00706AC6">
      <w:pPr>
        <w:spacing w:line="240" w:lineRule="auto"/>
        <w:ind w:left="720" w:hanging="720"/>
      </w:pPr>
      <w:proofErr w:type="spellStart"/>
      <w:r>
        <w:t>Lauth</w:t>
      </w:r>
      <w:proofErr w:type="spellEnd"/>
      <w:r>
        <w:t xml:space="preserve">, R. R., Acuna, E. 2009. Results of the 2008 eastern Bering Sea continental shelf bottom trawl survey of </w:t>
      </w:r>
      <w:proofErr w:type="spellStart"/>
      <w:r>
        <w:t>groundfish</w:t>
      </w:r>
      <w:proofErr w:type="spellEnd"/>
      <w:r>
        <w:t xml:space="preserve"> and invertebrate resources. U.S. Dep. </w:t>
      </w:r>
      <w:proofErr w:type="spellStart"/>
      <w:r>
        <w:t>Commer</w:t>
      </w:r>
      <w:proofErr w:type="spellEnd"/>
      <w:r>
        <w:t>., NOAA Tech. Memo., NMFS-AFSC-195, pp. 229.</w:t>
      </w:r>
    </w:p>
    <w:p w14:paraId="0DFF2A28" w14:textId="6A7BE060" w:rsidR="00F7653E" w:rsidRDefault="00F7653E" w:rsidP="00706AC6">
      <w:pPr>
        <w:spacing w:line="240" w:lineRule="auto"/>
        <w:ind w:left="720" w:hanging="720"/>
      </w:pPr>
      <w:r>
        <w:t xml:space="preserve">Lindgren, F., Rue, H., </w:t>
      </w:r>
      <w:proofErr w:type="spellStart"/>
      <w:r>
        <w:t>Lindstrӧm</w:t>
      </w:r>
      <w:proofErr w:type="spellEnd"/>
      <w:r>
        <w:t>, J. 2011. An explicit link between Gaussian fields and Gaussian Markov random fields: the stochastic partial differential equation approach [with discussion]. J</w:t>
      </w:r>
      <w:r w:rsidR="003F10D8">
        <w:t>.</w:t>
      </w:r>
      <w:r>
        <w:t xml:space="preserve"> of the Royal Statistical Society B, 73(4):423-498.</w:t>
      </w:r>
    </w:p>
    <w:p w14:paraId="50148DE6" w14:textId="1DA9CF4D" w:rsidR="00CA07D6" w:rsidRDefault="00CA07D6" w:rsidP="00706AC6">
      <w:pPr>
        <w:spacing w:line="240" w:lineRule="auto"/>
        <w:ind w:left="720" w:hanging="720"/>
      </w:pPr>
      <w:r>
        <w:t>Lowe, S. A. 2013. Assessment of the Atka mackerel stock in the Gulf of Alaska. North Pacific Fisheries Management Council, Anchorage, AK.</w:t>
      </w:r>
    </w:p>
    <w:p w14:paraId="057E295A" w14:textId="3F948899" w:rsidR="008251CE" w:rsidRPr="008251CE" w:rsidRDefault="008251CE" w:rsidP="00706AC6">
      <w:pPr>
        <w:spacing w:line="240" w:lineRule="auto"/>
        <w:ind w:left="720" w:hanging="720"/>
      </w:pPr>
      <w:r>
        <w:t xml:space="preserve">Mulligan, T. J., Chapman, R. W., Brown, B. L. 1992. Mitochondrial DNA analysis of walleye </w:t>
      </w:r>
      <w:proofErr w:type="spellStart"/>
      <w:r>
        <w:t>pollock</w:t>
      </w:r>
      <w:proofErr w:type="spellEnd"/>
      <w:r>
        <w:t xml:space="preserve">, </w:t>
      </w:r>
      <w:proofErr w:type="spellStart"/>
      <w:r>
        <w:rPr>
          <w:i/>
        </w:rPr>
        <w:t>Theragra</w:t>
      </w:r>
      <w:proofErr w:type="spellEnd"/>
      <w:r>
        <w:rPr>
          <w:i/>
        </w:rPr>
        <w:t xml:space="preserve"> </w:t>
      </w:r>
      <w:proofErr w:type="spellStart"/>
      <w:r>
        <w:rPr>
          <w:i/>
        </w:rPr>
        <w:t>chalcogramma</w:t>
      </w:r>
      <w:proofErr w:type="spellEnd"/>
      <w:r>
        <w:t xml:space="preserve">, from the eastern Bering Sea and Shelikof Strait, Gulf of Alaska. Can. J. Fish. </w:t>
      </w:r>
      <w:proofErr w:type="spellStart"/>
      <w:r>
        <w:t>Aquat</w:t>
      </w:r>
      <w:proofErr w:type="spellEnd"/>
      <w:r>
        <w:t>. Sci. 49: 319-326.</w:t>
      </w:r>
    </w:p>
    <w:p w14:paraId="1100E673" w14:textId="77777777" w:rsidR="00D83C91" w:rsidRDefault="00D83C91" w:rsidP="00706AC6">
      <w:pPr>
        <w:spacing w:line="240" w:lineRule="auto"/>
        <w:ind w:left="720" w:hanging="720"/>
      </w:pPr>
      <w:r>
        <w:t xml:space="preserve">Munro, P. T., Hoff, R. Z. 1995. Two demersal trawl surveys in the Gulf of Alaska: implications of survey design and methods. </w:t>
      </w:r>
      <w:r w:rsidR="00647EBD">
        <w:t xml:space="preserve">U.S. Dep. </w:t>
      </w:r>
      <w:proofErr w:type="spellStart"/>
      <w:r w:rsidR="00647EBD">
        <w:t>Commer</w:t>
      </w:r>
      <w:proofErr w:type="spellEnd"/>
      <w:r w:rsidR="00647EBD">
        <w:t>., NOAA Tech. Memo. NMFS-AFSC-</w:t>
      </w:r>
      <w:r>
        <w:t>50, 139 p.</w:t>
      </w:r>
    </w:p>
    <w:p w14:paraId="51E87661" w14:textId="582A5F0C" w:rsidR="003F10D8" w:rsidRDefault="003F10D8" w:rsidP="003F10D8">
      <w:pPr>
        <w:spacing w:line="240" w:lineRule="auto"/>
        <w:ind w:left="720" w:hanging="720"/>
      </w:pPr>
      <w:r>
        <w:t xml:space="preserve">Nye, J. A., Link, J. S. 2009. Changing spatial distribution of fish stocks in relation to climate and population size on the Northeast United States continental shelf. </w:t>
      </w:r>
      <w:r w:rsidRPr="003F10D8">
        <w:t xml:space="preserve">Mar. Ecol. </w:t>
      </w:r>
      <w:proofErr w:type="spellStart"/>
      <w:r w:rsidRPr="003F10D8">
        <w:t>Prog</w:t>
      </w:r>
      <w:proofErr w:type="spellEnd"/>
      <w:r w:rsidRPr="003F10D8">
        <w:t>. Ser.</w:t>
      </w:r>
      <w:r>
        <w:t xml:space="preserve"> 393: 111-129.</w:t>
      </w:r>
    </w:p>
    <w:p w14:paraId="0CA352FE" w14:textId="3DD783C4" w:rsidR="00AE2BE0" w:rsidRDefault="00AE2BE0" w:rsidP="00A773A8">
      <w:pPr>
        <w:spacing w:line="240" w:lineRule="auto"/>
        <w:ind w:left="720" w:hanging="720"/>
      </w:pPr>
      <w:r>
        <w:t xml:space="preserve">Ortiz, I. 2007. </w:t>
      </w:r>
      <w:r w:rsidRPr="00AE2BE0">
        <w:t>Ecosystem dynamics of the Aleutian Islands</w:t>
      </w:r>
      <w:r>
        <w:t xml:space="preserve">. Doctoral dissertation, University of Washington. </w:t>
      </w:r>
      <w:proofErr w:type="spellStart"/>
      <w:r>
        <w:t>uri</w:t>
      </w:r>
      <w:proofErr w:type="spellEnd"/>
      <w:r w:rsidRPr="00AE2BE0">
        <w:t>: http://hdl.handle.net/1773/5370</w:t>
      </w:r>
      <w:r>
        <w:t>.</w:t>
      </w:r>
    </w:p>
    <w:p w14:paraId="05BBC3F7" w14:textId="10F9A561" w:rsidR="00A773A8" w:rsidRDefault="00A773A8" w:rsidP="00A773A8">
      <w:pPr>
        <w:spacing w:line="240" w:lineRule="auto"/>
        <w:ind w:left="720" w:hanging="720"/>
      </w:pPr>
      <w:r>
        <w:t>Perry, A. L., Low, P. J., Ellis, J. R., Reynolds, J. D. 2005. Climate change and distribution shifts in marine fishes. Sci. 308(5730): 1912-1915.</w:t>
      </w:r>
    </w:p>
    <w:p w14:paraId="432D4CD3" w14:textId="5E40CDB6" w:rsidR="005B18B9" w:rsidRDefault="005B18B9" w:rsidP="005B18B9">
      <w:pPr>
        <w:spacing w:line="240" w:lineRule="auto"/>
        <w:ind w:left="720" w:hanging="720"/>
      </w:pPr>
      <w:r>
        <w:t xml:space="preserve">Punt, A. E., Cope, J. M., </w:t>
      </w:r>
      <w:proofErr w:type="spellStart"/>
      <w:r>
        <w:t>Haltuch</w:t>
      </w:r>
      <w:proofErr w:type="spellEnd"/>
      <w:r>
        <w:t xml:space="preserve">, M. A. 2006. Reference points and decision rules in U.S. federal fisheries: west coast </w:t>
      </w:r>
      <w:proofErr w:type="spellStart"/>
      <w:r>
        <w:t>groundfish</w:t>
      </w:r>
      <w:proofErr w:type="spellEnd"/>
      <w:r>
        <w:t xml:space="preserve"> experiences. Am. Fish. Soc. </w:t>
      </w:r>
      <w:proofErr w:type="spellStart"/>
      <w:r>
        <w:t>Symp</w:t>
      </w:r>
      <w:proofErr w:type="spellEnd"/>
      <w:r>
        <w:t>. 49: 587–600.</w:t>
      </w:r>
    </w:p>
    <w:p w14:paraId="59D3D029" w14:textId="77777777" w:rsidR="00FF5221" w:rsidRDefault="00FF5221" w:rsidP="00FF5221">
      <w:pPr>
        <w:spacing w:line="240" w:lineRule="auto"/>
        <w:ind w:left="720" w:hanging="720"/>
      </w:pPr>
      <w:r>
        <w:t xml:space="preserve">Quinn, T. J., II, </w:t>
      </w:r>
      <w:proofErr w:type="spellStart"/>
      <w:r>
        <w:t>Deriso</w:t>
      </w:r>
      <w:proofErr w:type="spellEnd"/>
      <w:r>
        <w:t>, R. B. 1999. Quantitative Fish Dynamics. Oxford University Press, New York, NY.</w:t>
      </w:r>
    </w:p>
    <w:p w14:paraId="6A9579CE" w14:textId="77777777" w:rsidR="00146883" w:rsidRDefault="00146883" w:rsidP="00706AC6">
      <w:pPr>
        <w:spacing w:line="240" w:lineRule="auto"/>
        <w:ind w:left="720" w:hanging="720"/>
      </w:pPr>
      <w:r>
        <w:lastRenderedPageBreak/>
        <w:t>R Core Team. 2014. R: a language and environment for statistical computing. R Foundation for Statistical Computing, Vienna, Austria. URL http://www.R-project.org/.</w:t>
      </w:r>
    </w:p>
    <w:p w14:paraId="036EBE3D" w14:textId="77777777" w:rsidR="00647EBD" w:rsidRPr="004D0D9F" w:rsidRDefault="00647EBD" w:rsidP="00706AC6">
      <w:pPr>
        <w:spacing w:line="240" w:lineRule="auto"/>
        <w:ind w:left="720" w:hanging="720"/>
      </w:pPr>
      <w:r>
        <w:t xml:space="preserve">Raring, N. W., von </w:t>
      </w:r>
      <w:proofErr w:type="spellStart"/>
      <w:r>
        <w:t>Szalay</w:t>
      </w:r>
      <w:proofErr w:type="spellEnd"/>
      <w:r>
        <w:t xml:space="preserve">, P. G., Shaw, F. R., Wilkins, M. E. 2011. Data Report: 2001 Gulf of Alaska bottom trawl survey. U.S. Dep. </w:t>
      </w:r>
      <w:proofErr w:type="spellStart"/>
      <w:r>
        <w:t>Commer</w:t>
      </w:r>
      <w:proofErr w:type="spellEnd"/>
      <w:r>
        <w:t xml:space="preserve">., NOAA Tech. Memo. NMFS-AFSC-225, 179 p. </w:t>
      </w:r>
    </w:p>
    <w:p w14:paraId="7F8E1457" w14:textId="2C52BBDA" w:rsidR="008621EE" w:rsidRDefault="008621EE" w:rsidP="00706AC6">
      <w:pPr>
        <w:spacing w:line="240" w:lineRule="auto"/>
        <w:ind w:left="720" w:hanging="720"/>
      </w:pPr>
      <w:r>
        <w:t xml:space="preserve">Reiss, H., </w:t>
      </w:r>
      <w:proofErr w:type="spellStart"/>
      <w:r>
        <w:t>Hoarau</w:t>
      </w:r>
      <w:proofErr w:type="spellEnd"/>
      <w:r>
        <w:t>, G., Dickey-</w:t>
      </w:r>
      <w:proofErr w:type="spellStart"/>
      <w:r>
        <w:t>Collas</w:t>
      </w:r>
      <w:proofErr w:type="spellEnd"/>
      <w:r>
        <w:t xml:space="preserve">, M., Wolff, W. J. 2009. Genetic population structure of marine fish: mismatch between biological and fisheries management units. Fish </w:t>
      </w:r>
      <w:proofErr w:type="spellStart"/>
      <w:r>
        <w:t>Fish</w:t>
      </w:r>
      <w:proofErr w:type="spellEnd"/>
      <w:r>
        <w:t xml:space="preserve">. 10(4): 361-395. </w:t>
      </w:r>
      <w:proofErr w:type="spellStart"/>
      <w:r>
        <w:t>doi</w:t>
      </w:r>
      <w:proofErr w:type="spellEnd"/>
      <w:r>
        <w:t xml:space="preserve">: </w:t>
      </w:r>
      <w:r w:rsidRPr="008621EE">
        <w:t>10.1111/j.1467-2979.2008.00324.x</w:t>
      </w:r>
      <w:r>
        <w:t>.</w:t>
      </w:r>
    </w:p>
    <w:p w14:paraId="4408F1DB" w14:textId="6C772B97" w:rsidR="002B6FA9" w:rsidRDefault="002B6FA9" w:rsidP="00706AC6">
      <w:pPr>
        <w:spacing w:line="240" w:lineRule="auto"/>
        <w:ind w:left="720" w:hanging="720"/>
      </w:pPr>
      <w:r>
        <w:t xml:space="preserve">Ricker, W. E. 1981. Changes in the average size and average age of pacific salmon. Can. J. Fish. </w:t>
      </w:r>
      <w:proofErr w:type="spellStart"/>
      <w:r>
        <w:t>Aquat</w:t>
      </w:r>
      <w:proofErr w:type="spellEnd"/>
      <w:r>
        <w:t>. Sci. 38: 1636-1656.</w:t>
      </w:r>
    </w:p>
    <w:p w14:paraId="28DFEE81" w14:textId="20AA6ED8" w:rsidR="00DD6E57" w:rsidRDefault="00DD6E57" w:rsidP="00706AC6">
      <w:pPr>
        <w:spacing w:line="240" w:lineRule="auto"/>
        <w:ind w:left="720" w:hanging="720"/>
      </w:pPr>
      <w:r w:rsidRPr="00DD6E57">
        <w:t>Rothsc</w:t>
      </w:r>
      <w:r>
        <w:t>h</w:t>
      </w:r>
      <w:r w:rsidRPr="00DD6E57">
        <w:t>ild, B. J., Jiao, Y. 2011. Characterizing uncertainty in fish stock assessments: the case of the southern New England-mid-Atlantic winter flounder. Trans. Am. Fish. Soc. 140(3): 557-569.</w:t>
      </w:r>
    </w:p>
    <w:p w14:paraId="4A84DAF0" w14:textId="31CD944B" w:rsidR="00146883" w:rsidRDefault="00146883" w:rsidP="00706AC6">
      <w:pPr>
        <w:spacing w:line="240" w:lineRule="auto"/>
        <w:ind w:left="720" w:hanging="720"/>
      </w:pPr>
      <w:r>
        <w:t xml:space="preserve">Rue, H., Martino, S., Lindgren, F., Simpson, D., </w:t>
      </w:r>
      <w:proofErr w:type="spellStart"/>
      <w:r>
        <w:t>Riebler</w:t>
      </w:r>
      <w:proofErr w:type="spellEnd"/>
      <w:r>
        <w:t>, A. 2014. INLA: functions which allow to perform full Bayesian analysis of latent Gaussian models using Integrated Nested Laplace Approximation. R package version 0.0-1392038736.</w:t>
      </w:r>
    </w:p>
    <w:p w14:paraId="202DAC96" w14:textId="7A11A790" w:rsidR="006B10D5" w:rsidRDefault="006B10D5" w:rsidP="006B10D5">
      <w:pPr>
        <w:spacing w:line="240" w:lineRule="auto"/>
        <w:ind w:left="720" w:hanging="720"/>
      </w:pPr>
      <w:r>
        <w:t xml:space="preserve">Schindler, D. E., </w:t>
      </w:r>
      <w:proofErr w:type="spellStart"/>
      <w:r>
        <w:t>Hilborn</w:t>
      </w:r>
      <w:proofErr w:type="spellEnd"/>
      <w:r>
        <w:t xml:space="preserve">, R., </w:t>
      </w:r>
      <w:proofErr w:type="spellStart"/>
      <w:r>
        <w:t>Chasco</w:t>
      </w:r>
      <w:proofErr w:type="spellEnd"/>
      <w:r>
        <w:t xml:space="preserve">, B., </w:t>
      </w:r>
      <w:proofErr w:type="spellStart"/>
      <w:r>
        <w:t>Boatright</w:t>
      </w:r>
      <w:proofErr w:type="spellEnd"/>
      <w:r>
        <w:t>, C. P., Quinn, T. P., Rogers, L. A., Webster, M. S. 2010. Population diversity and the portfolio effect</w:t>
      </w:r>
      <w:r w:rsidR="00B71036">
        <w:t xml:space="preserve"> in an exploited species. Nat.</w:t>
      </w:r>
      <w:r>
        <w:t xml:space="preserve"> 465: 609-612. </w:t>
      </w:r>
      <w:proofErr w:type="spellStart"/>
      <w:r>
        <w:t>doi</w:t>
      </w:r>
      <w:proofErr w:type="spellEnd"/>
      <w:r>
        <w:t>: 10.1038/nature09060.</w:t>
      </w:r>
    </w:p>
    <w:p w14:paraId="39C5A086" w14:textId="674383B6" w:rsidR="00AE2BE0" w:rsidRDefault="00AE2BE0" w:rsidP="00706AC6">
      <w:pPr>
        <w:spacing w:line="240" w:lineRule="auto"/>
        <w:ind w:left="720" w:hanging="720"/>
      </w:pPr>
      <w:r w:rsidRPr="00AE2BE0">
        <w:t>Sinclair, E. H.</w:t>
      </w:r>
      <w:r>
        <w:t>,</w:t>
      </w:r>
      <w:r w:rsidRPr="00AE2BE0">
        <w:t xml:space="preserve"> Zeppelin, T. K. </w:t>
      </w:r>
      <w:r>
        <w:t xml:space="preserve">2002. </w:t>
      </w:r>
      <w:r w:rsidRPr="00AE2BE0">
        <w:t>Seasonal and spatial differences in diet in the western stock of Steller sea lions (</w:t>
      </w:r>
      <w:proofErr w:type="spellStart"/>
      <w:r w:rsidRPr="00AE2BE0">
        <w:rPr>
          <w:i/>
        </w:rPr>
        <w:t>Eumetopias</w:t>
      </w:r>
      <w:proofErr w:type="spellEnd"/>
      <w:r w:rsidRPr="00AE2BE0">
        <w:rPr>
          <w:i/>
        </w:rPr>
        <w:t xml:space="preserve"> </w:t>
      </w:r>
      <w:proofErr w:type="spellStart"/>
      <w:r w:rsidRPr="00AE2BE0">
        <w:rPr>
          <w:i/>
        </w:rPr>
        <w:t>jubatus</w:t>
      </w:r>
      <w:proofErr w:type="spellEnd"/>
      <w:r w:rsidRPr="00AE2BE0">
        <w:t>)</w:t>
      </w:r>
      <w:r>
        <w:t>.</w:t>
      </w:r>
      <w:r w:rsidRPr="00AE2BE0">
        <w:t xml:space="preserve"> J</w:t>
      </w:r>
      <w:r>
        <w:t>.</w:t>
      </w:r>
      <w:r w:rsidRPr="00AE2BE0">
        <w:t xml:space="preserve"> Mammal</w:t>
      </w:r>
      <w:r>
        <w:t>.</w:t>
      </w:r>
      <w:r w:rsidRPr="00AE2BE0">
        <w:t xml:space="preserve"> 83</w:t>
      </w:r>
      <w:r>
        <w:t>:</w:t>
      </w:r>
      <w:r w:rsidRPr="00AE2BE0">
        <w:t xml:space="preserve"> 973-990</w:t>
      </w:r>
      <w:r>
        <w:t>.</w:t>
      </w:r>
    </w:p>
    <w:p w14:paraId="65D00C8A" w14:textId="77777777" w:rsidR="00FA05D3" w:rsidRDefault="00FA05D3" w:rsidP="00706AC6">
      <w:pPr>
        <w:spacing w:line="240" w:lineRule="auto"/>
        <w:ind w:left="720" w:hanging="720"/>
      </w:pPr>
      <w:proofErr w:type="spellStart"/>
      <w:r>
        <w:t>Skaug</w:t>
      </w:r>
      <w:proofErr w:type="spellEnd"/>
      <w:r>
        <w:t>, H., Fournier, D. 2006. Automatic approximation of the marginal likelihood in non-Gaussian hierarchical models. Computational Statistics &amp; Data Analysis, 51:699-709.</w:t>
      </w:r>
    </w:p>
    <w:p w14:paraId="6FFFBE9C" w14:textId="1F1FF7F3" w:rsidR="00DD6E57" w:rsidRDefault="000A2B65" w:rsidP="006B10D5">
      <w:pPr>
        <w:spacing w:line="240" w:lineRule="auto"/>
        <w:ind w:left="720" w:hanging="720"/>
      </w:pPr>
      <w:proofErr w:type="spellStart"/>
      <w:r>
        <w:t>Smedbol</w:t>
      </w:r>
      <w:proofErr w:type="spellEnd"/>
      <w:r>
        <w:t>, R. K.,</w:t>
      </w:r>
      <w:r w:rsidR="00DD6E57" w:rsidRPr="00DD6E57">
        <w:t xml:space="preserve"> Stephenson, R. </w:t>
      </w:r>
      <w:r>
        <w:t xml:space="preserve">2001. </w:t>
      </w:r>
      <w:r w:rsidR="00DD6E57" w:rsidRPr="00DD6E57">
        <w:t>The importance of managing within-species diversity in cod and herring fisheries of the north-western Atlantic</w:t>
      </w:r>
      <w:r>
        <w:t>. J. Fish Bio.</w:t>
      </w:r>
      <w:r w:rsidR="00DD6E57" w:rsidRPr="00DD6E57">
        <w:t xml:space="preserve"> 59</w:t>
      </w:r>
      <w:r>
        <w:t>:</w:t>
      </w:r>
      <w:r w:rsidR="00DD6E57" w:rsidRPr="00DD6E57">
        <w:t xml:space="preserve"> 109-128</w:t>
      </w:r>
      <w:r>
        <w:t>.</w:t>
      </w:r>
    </w:p>
    <w:p w14:paraId="1671F572" w14:textId="77777777" w:rsidR="006B10D5" w:rsidRDefault="006B10D5" w:rsidP="006B10D5">
      <w:pPr>
        <w:spacing w:line="240" w:lineRule="auto"/>
        <w:ind w:left="720" w:hanging="720"/>
      </w:pPr>
      <w:r>
        <w:t xml:space="preserve">Sterner. T. 2007. Unobserved diversity, depletion and irreversibility The importance of subpopulations for management of cod stocks. Ecol. Econ. 61: 566-574. </w:t>
      </w:r>
      <w:proofErr w:type="spellStart"/>
      <w:r>
        <w:t>doi</w:t>
      </w:r>
      <w:proofErr w:type="spellEnd"/>
      <w:r>
        <w:t xml:space="preserve">: </w:t>
      </w:r>
      <w:r w:rsidRPr="00B47639">
        <w:t>10.1016/j.ecolecon.2006.05.015</w:t>
      </w:r>
      <w:r>
        <w:t>.</w:t>
      </w:r>
    </w:p>
    <w:p w14:paraId="00BB0DAF" w14:textId="02B37594" w:rsidR="001958BA" w:rsidRDefault="001958BA" w:rsidP="001958BA">
      <w:pPr>
        <w:spacing w:line="240" w:lineRule="auto"/>
        <w:ind w:left="720" w:hanging="720"/>
      </w:pPr>
      <w:proofErr w:type="spellStart"/>
      <w:r>
        <w:t>Therneau</w:t>
      </w:r>
      <w:proofErr w:type="spellEnd"/>
      <w:r>
        <w:t xml:space="preserve">, T., Atkinson, B., Ripley, B. 2014. </w:t>
      </w:r>
      <w:proofErr w:type="spellStart"/>
      <w:r>
        <w:t>rpart</w:t>
      </w:r>
      <w:proofErr w:type="spellEnd"/>
      <w:r>
        <w:t>: Recursive Partitioning and Regression Trees. R package version 4.1-8. http://CRAN.R-project.org/package=rpart</w:t>
      </w:r>
    </w:p>
    <w:p w14:paraId="797E04CA" w14:textId="77777777" w:rsidR="00647EBD" w:rsidRPr="004D0D9F" w:rsidRDefault="00647EBD" w:rsidP="00706AC6">
      <w:pPr>
        <w:spacing w:line="240" w:lineRule="auto"/>
        <w:ind w:left="720" w:hanging="720"/>
      </w:pPr>
      <w:r>
        <w:t xml:space="preserve">von </w:t>
      </w:r>
      <w:proofErr w:type="spellStart"/>
      <w:r>
        <w:t>Szalay</w:t>
      </w:r>
      <w:proofErr w:type="spellEnd"/>
      <w:r>
        <w:t xml:space="preserve">, P. G., </w:t>
      </w:r>
      <w:proofErr w:type="spellStart"/>
      <w:r>
        <w:t>Rooper</w:t>
      </w:r>
      <w:proofErr w:type="spellEnd"/>
      <w:r>
        <w:t>, C. N., Raring, N. W., Martin, M. H. 2011. Data Report: 20</w:t>
      </w:r>
      <w:r w:rsidR="00343DB2">
        <w:t>10</w:t>
      </w:r>
      <w:r>
        <w:t xml:space="preserve"> </w:t>
      </w:r>
      <w:r w:rsidR="00343DB2">
        <w:t xml:space="preserve">Aleutian Islands bottom </w:t>
      </w:r>
      <w:r>
        <w:t xml:space="preserve">trawl survey. U.S. Dep. </w:t>
      </w:r>
      <w:proofErr w:type="spellStart"/>
      <w:r>
        <w:t>Commer</w:t>
      </w:r>
      <w:proofErr w:type="spellEnd"/>
      <w:r>
        <w:t>., NOA</w:t>
      </w:r>
      <w:r w:rsidR="00343DB2">
        <w:t>A Tech. Memo. NMFS-AFSC-215, 153</w:t>
      </w:r>
      <w:r>
        <w:t xml:space="preserve"> p. </w:t>
      </w:r>
    </w:p>
    <w:p w14:paraId="391AB5F5" w14:textId="57722822" w:rsidR="00B71036" w:rsidRPr="00B71036" w:rsidRDefault="00B71036" w:rsidP="00706AC6">
      <w:pPr>
        <w:spacing w:line="240" w:lineRule="auto"/>
        <w:ind w:left="720" w:hanging="720"/>
      </w:pPr>
      <w:r>
        <w:t xml:space="preserve">Waldman, J. R. 2005. Definition of stocks: an evolving concept. </w:t>
      </w:r>
      <w:r>
        <w:rPr>
          <w:i/>
        </w:rPr>
        <w:t>In</w:t>
      </w:r>
      <w:r>
        <w:t xml:space="preserve"> Stock Identification Methods</w:t>
      </w:r>
      <w:r w:rsidR="00A23714">
        <w:t>: Applications in Fishery Science</w:t>
      </w:r>
      <w:r>
        <w:t xml:space="preserve">. </w:t>
      </w:r>
      <w:r>
        <w:rPr>
          <w:i/>
        </w:rPr>
        <w:t>Edited by</w:t>
      </w:r>
      <w:r>
        <w:t xml:space="preserve"> S. X. </w:t>
      </w:r>
      <w:proofErr w:type="spellStart"/>
      <w:r>
        <w:t>Cadrin</w:t>
      </w:r>
      <w:proofErr w:type="spellEnd"/>
      <w:r>
        <w:t xml:space="preserve">, K. D. </w:t>
      </w:r>
      <w:proofErr w:type="spellStart"/>
      <w:r>
        <w:t>Friedland</w:t>
      </w:r>
      <w:proofErr w:type="spellEnd"/>
      <w:r>
        <w:t xml:space="preserve">, and J. R. Waldman. Elsevier Inc., </w:t>
      </w:r>
      <w:r w:rsidR="00A23714">
        <w:t xml:space="preserve">Burlington, MA. </w:t>
      </w:r>
      <w:r>
        <w:t>pp 7-16.</w:t>
      </w:r>
    </w:p>
    <w:p w14:paraId="728AA07B" w14:textId="462E5587" w:rsidR="0062744E" w:rsidRDefault="0062744E" w:rsidP="00706AC6">
      <w:pPr>
        <w:spacing w:line="240" w:lineRule="auto"/>
        <w:ind w:left="720" w:hanging="720"/>
      </w:pPr>
      <w:r w:rsidRPr="0062744E">
        <w:t xml:space="preserve">Ward, E. J., </w:t>
      </w:r>
      <w:proofErr w:type="spellStart"/>
      <w:r w:rsidRPr="0062744E">
        <w:t>Chirakkal</w:t>
      </w:r>
      <w:proofErr w:type="spellEnd"/>
      <w:r w:rsidRPr="0062744E">
        <w:t xml:space="preserve">, H., González-Suárez, M., </w:t>
      </w:r>
      <w:proofErr w:type="spellStart"/>
      <w:r w:rsidRPr="0062744E">
        <w:t>Aurioles-Gamboa</w:t>
      </w:r>
      <w:proofErr w:type="spellEnd"/>
      <w:r w:rsidRPr="0062744E">
        <w:t xml:space="preserve">, D., Holmes, E. E., Gerber, L. 2010. Inferring spatial structure from time-series data: </w:t>
      </w:r>
      <w:r>
        <w:t>u</w:t>
      </w:r>
      <w:r w:rsidRPr="0062744E">
        <w:t xml:space="preserve">sing multivariate state-space models to detect </w:t>
      </w:r>
      <w:proofErr w:type="spellStart"/>
      <w:r w:rsidRPr="0062744E">
        <w:t>metapopulation</w:t>
      </w:r>
      <w:proofErr w:type="spellEnd"/>
      <w:r w:rsidRPr="0062744E">
        <w:t xml:space="preserve"> structure of California sea lions in the Gulf of California, Mexico. J</w:t>
      </w:r>
      <w:r w:rsidR="003F10D8">
        <w:t>.</w:t>
      </w:r>
      <w:r w:rsidRPr="0062744E">
        <w:t xml:space="preserve"> of Applied Ecology, 47: 47–56. </w:t>
      </w:r>
    </w:p>
    <w:p w14:paraId="4B3B8C7D" w14:textId="77777777" w:rsidR="00D83C91" w:rsidRPr="004D0D9F" w:rsidRDefault="00D83C91" w:rsidP="00706AC6">
      <w:pPr>
        <w:spacing w:line="240" w:lineRule="auto"/>
        <w:ind w:left="720" w:hanging="720"/>
      </w:pPr>
      <w:r>
        <w:t xml:space="preserve">Wilkins, M. 2009. Bottom trawl survey of </w:t>
      </w:r>
      <w:proofErr w:type="spellStart"/>
      <w:r>
        <w:t>groundfish</w:t>
      </w:r>
      <w:proofErr w:type="spellEnd"/>
      <w:r>
        <w:t xml:space="preserve"> resources in the Aleutian Islands region. Alaska Fisheries Science Center, Seattle, WA.</w:t>
      </w:r>
    </w:p>
    <w:bookmarkEnd w:id="16"/>
    <w:p w14:paraId="7450E385" w14:textId="77777777" w:rsidR="00FF5221" w:rsidRDefault="00FF5221">
      <w:pPr>
        <w:spacing w:after="200" w:line="240" w:lineRule="auto"/>
        <w:jc w:val="left"/>
        <w:rPr>
          <w:rFonts w:asciiTheme="majorHAnsi" w:eastAsiaTheme="majorEastAsia" w:hAnsiTheme="majorHAnsi" w:cstheme="majorBidi"/>
          <w:b/>
          <w:bCs/>
          <w:sz w:val="36"/>
          <w:szCs w:val="36"/>
        </w:rPr>
      </w:pPr>
      <w:r>
        <w:br w:type="page"/>
      </w:r>
    </w:p>
    <w:p w14:paraId="21A7F77A" w14:textId="5DA093BF" w:rsidR="003F5A1F" w:rsidRDefault="003F5A1F" w:rsidP="00C06806">
      <w:pPr>
        <w:pStyle w:val="Heading1"/>
      </w:pPr>
      <w:r>
        <w:lastRenderedPageBreak/>
        <w:t>Tables</w:t>
      </w:r>
    </w:p>
    <w:p w14:paraId="41E78890" w14:textId="25C46733" w:rsidR="003F4A9D" w:rsidRDefault="003F5A1F" w:rsidP="003F4A9D">
      <w:pPr>
        <w:spacing w:line="240" w:lineRule="auto"/>
      </w:pPr>
      <w:proofErr w:type="spellStart"/>
      <w:r w:rsidRPr="00052835">
        <w:rPr>
          <w:highlight w:val="yellow"/>
        </w:rPr>
        <w:t>Todo</w:t>
      </w:r>
      <w:proofErr w:type="spellEnd"/>
      <w:r w:rsidRPr="00052835">
        <w:rPr>
          <w:highlight w:val="yellow"/>
        </w:rPr>
        <w:t>: result tables</w:t>
      </w:r>
      <w:r w:rsidR="003F4A9D">
        <w:t xml:space="preserve"> </w:t>
      </w:r>
    </w:p>
    <w:p w14:paraId="1D7A964F" w14:textId="2FA31963" w:rsidR="004F4D0B" w:rsidRDefault="004F4D0B" w:rsidP="003F4A9D">
      <w:pPr>
        <w:spacing w:line="240" w:lineRule="auto"/>
      </w:pPr>
      <w:r>
        <w:t xml:space="preserve">Table </w:t>
      </w:r>
      <w:bookmarkStart w:id="18" w:name="table_summary"/>
      <w:r>
        <w:fldChar w:fldCharType="begin"/>
      </w:r>
      <w:r>
        <w:instrText xml:space="preserve"> SEQ Table \* MERGEFORMAT </w:instrText>
      </w:r>
      <w:r>
        <w:fldChar w:fldCharType="separate"/>
      </w:r>
      <w:r w:rsidR="00C54509">
        <w:rPr>
          <w:noProof/>
        </w:rPr>
        <w:t>1</w:t>
      </w:r>
      <w:r>
        <w:fldChar w:fldCharType="end"/>
      </w:r>
      <w:bookmarkEnd w:id="18"/>
      <w:r>
        <w:t>. Summary statistics.</w:t>
      </w:r>
    </w:p>
    <w:p w14:paraId="172633EF" w14:textId="77777777" w:rsidR="004F4D0B" w:rsidRDefault="004F4D0B" w:rsidP="003F4A9D">
      <w:pPr>
        <w:spacing w:line="240" w:lineRule="auto"/>
      </w:pPr>
    </w:p>
    <w:p w14:paraId="0B24C5B3" w14:textId="56451C78" w:rsidR="001958BA" w:rsidRDefault="001958BA" w:rsidP="00706AC6">
      <w:pPr>
        <w:spacing w:line="240" w:lineRule="auto"/>
      </w:pPr>
      <w:r>
        <w:t xml:space="preserve">Table </w:t>
      </w:r>
      <w:bookmarkStart w:id="19" w:name="table_stock"/>
      <w:r>
        <w:fldChar w:fldCharType="begin"/>
      </w:r>
      <w:r>
        <w:instrText xml:space="preserve"> SEQ Table \* MERGEFORMAT </w:instrText>
      </w:r>
      <w:r>
        <w:fldChar w:fldCharType="separate"/>
      </w:r>
      <w:r w:rsidR="00C54509">
        <w:rPr>
          <w:noProof/>
        </w:rPr>
        <w:t>2</w:t>
      </w:r>
      <w:r>
        <w:fldChar w:fldCharType="end"/>
      </w:r>
      <w:bookmarkEnd w:id="19"/>
      <w:r>
        <w:t>. Stock definitions based on partitioning the spatial variation in Σ</w:t>
      </w:r>
      <w:r>
        <w:rPr>
          <w:vertAlign w:val="subscript"/>
        </w:rPr>
        <w:t>Ω</w:t>
      </w:r>
      <w:r>
        <w:t xml:space="preserve"> for each species.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300"/>
        <w:gridCol w:w="560"/>
        <w:gridCol w:w="600"/>
        <w:gridCol w:w="1195"/>
      </w:tblGrid>
      <w:tr w:rsidR="001958BA" w:rsidRPr="001958BA" w14:paraId="5FB1AC5E" w14:textId="77777777" w:rsidTr="003F4A9D">
        <w:trPr>
          <w:trHeight w:val="395"/>
          <w:tblCellSpacing w:w="15" w:type="dxa"/>
        </w:trPr>
        <w:tc>
          <w:tcPr>
            <w:tcW w:w="0" w:type="auto"/>
            <w:tcBorders>
              <w:top w:val="single" w:sz="4" w:space="0" w:color="auto"/>
              <w:bottom w:val="single" w:sz="4" w:space="0" w:color="auto"/>
            </w:tcBorders>
            <w:vAlign w:val="center"/>
            <w:hideMark/>
          </w:tcPr>
          <w:p w14:paraId="25FB8AA5" w14:textId="77777777" w:rsidR="001958BA" w:rsidRPr="001958BA" w:rsidRDefault="001958BA" w:rsidP="001958BA">
            <w:pPr>
              <w:spacing w:line="240" w:lineRule="auto"/>
              <w:jc w:val="center"/>
              <w:rPr>
                <w:rFonts w:ascii="Times New Roman" w:eastAsia="Times New Roman" w:hAnsi="Times New Roman" w:cs="Times New Roman"/>
                <w:b/>
                <w:bCs/>
                <w:lang w:val="en-GB" w:eastAsia="en-GB"/>
              </w:rPr>
            </w:pPr>
            <w:r w:rsidRPr="001958BA">
              <w:rPr>
                <w:rFonts w:ascii="Times New Roman" w:eastAsia="Times New Roman" w:hAnsi="Times New Roman" w:cs="Times New Roman"/>
                <w:b/>
                <w:bCs/>
                <w:lang w:val="en-GB" w:eastAsia="en-GB"/>
              </w:rPr>
              <w:t xml:space="preserve">name </w:t>
            </w:r>
          </w:p>
        </w:tc>
        <w:tc>
          <w:tcPr>
            <w:tcW w:w="0" w:type="auto"/>
            <w:tcBorders>
              <w:top w:val="single" w:sz="4" w:space="0" w:color="auto"/>
              <w:bottom w:val="single" w:sz="4" w:space="0" w:color="auto"/>
            </w:tcBorders>
            <w:vAlign w:val="center"/>
            <w:hideMark/>
          </w:tcPr>
          <w:p w14:paraId="3E02AAB1" w14:textId="77777777" w:rsidR="001958BA" w:rsidRPr="001958BA" w:rsidRDefault="001958BA" w:rsidP="001958BA">
            <w:pPr>
              <w:spacing w:line="240" w:lineRule="auto"/>
              <w:jc w:val="center"/>
              <w:rPr>
                <w:rFonts w:ascii="Times New Roman" w:eastAsia="Times New Roman" w:hAnsi="Times New Roman" w:cs="Times New Roman"/>
                <w:b/>
                <w:bCs/>
                <w:lang w:val="en-GB" w:eastAsia="en-GB"/>
              </w:rPr>
            </w:pPr>
            <w:r w:rsidRPr="001958BA">
              <w:rPr>
                <w:rFonts w:ascii="Times New Roman" w:eastAsia="Times New Roman" w:hAnsi="Times New Roman" w:cs="Times New Roman"/>
                <w:b/>
                <w:bCs/>
                <w:lang w:val="en-GB" w:eastAsia="en-GB"/>
              </w:rPr>
              <w:t xml:space="preserve">n </w:t>
            </w:r>
          </w:p>
        </w:tc>
        <w:tc>
          <w:tcPr>
            <w:tcW w:w="0" w:type="auto"/>
            <w:tcBorders>
              <w:top w:val="single" w:sz="4" w:space="0" w:color="auto"/>
              <w:bottom w:val="single" w:sz="4" w:space="0" w:color="auto"/>
            </w:tcBorders>
            <w:vAlign w:val="center"/>
            <w:hideMark/>
          </w:tcPr>
          <w:p w14:paraId="075B1E79" w14:textId="014BDB9E" w:rsidR="001958BA" w:rsidRPr="001958BA" w:rsidRDefault="00461842" w:rsidP="001958BA">
            <w:pPr>
              <w:spacing w:line="240" w:lineRule="auto"/>
              <w:jc w:val="center"/>
              <w:rPr>
                <w:rFonts w:ascii="Times New Roman" w:eastAsia="Times New Roman" w:hAnsi="Times New Roman" w:cs="Times New Roman"/>
                <w:b/>
                <w:bCs/>
                <w:lang w:val="en-GB" w:eastAsia="en-GB"/>
              </w:rPr>
            </w:pPr>
            <m:oMathPara>
              <m:oMath>
                <m:sSub>
                  <m:sSubPr>
                    <m:ctrlPr>
                      <w:rPr>
                        <w:rFonts w:ascii="Cambria Math" w:eastAsia="Times New Roman" w:hAnsi="Cambria Math" w:cs="Times New Roman"/>
                        <w:b/>
                        <w:bCs/>
                        <w:i/>
                        <w:lang w:val="en-GB" w:eastAsia="en-GB"/>
                      </w:rPr>
                    </m:ctrlPr>
                  </m:sSubPr>
                  <m:e>
                    <m:acc>
                      <m:accPr>
                        <m:chr m:val="̅"/>
                        <m:ctrlPr>
                          <w:rPr>
                            <w:rFonts w:ascii="Cambria Math" w:eastAsia="Times New Roman" w:hAnsi="Cambria Math" w:cs="Times New Roman"/>
                            <w:b/>
                            <w:bCs/>
                            <w:lang w:val="en-GB" w:eastAsia="en-GB"/>
                          </w:rPr>
                        </m:ctrlPr>
                      </m:accPr>
                      <m:e>
                        <m:r>
                          <m:rPr>
                            <m:sty m:val="b"/>
                          </m:rPr>
                          <w:rPr>
                            <w:rFonts w:ascii="Cambria Math" w:eastAsia="Times New Roman" w:hAnsi="Cambria Math" w:cs="Times New Roman"/>
                            <w:lang w:val="en-GB" w:eastAsia="en-GB"/>
                          </w:rPr>
                          <m:t>Ε</m:t>
                        </m:r>
                      </m:e>
                    </m:acc>
                  </m:e>
                  <m:sub>
                    <m:r>
                      <m:rPr>
                        <m:sty m:val="b"/>
                      </m:rPr>
                      <w:rPr>
                        <w:rFonts w:ascii="Cambria Math" w:eastAsia="Times New Roman" w:hAnsi="Cambria Math" w:cs="Times New Roman"/>
                        <w:lang w:val="en-GB" w:eastAsia="en-GB"/>
                      </w:rPr>
                      <m:t>Ω</m:t>
                    </m:r>
                  </m:sub>
                </m:sSub>
              </m:oMath>
            </m:oMathPara>
          </w:p>
        </w:tc>
        <w:tc>
          <w:tcPr>
            <w:tcW w:w="0" w:type="auto"/>
            <w:tcBorders>
              <w:top w:val="single" w:sz="4" w:space="0" w:color="auto"/>
              <w:bottom w:val="single" w:sz="4" w:space="0" w:color="auto"/>
            </w:tcBorders>
            <w:vAlign w:val="center"/>
            <w:hideMark/>
          </w:tcPr>
          <w:p w14:paraId="4DACB716" w14:textId="77777777" w:rsidR="001958BA" w:rsidRPr="001958BA" w:rsidRDefault="001958BA" w:rsidP="001958BA">
            <w:pPr>
              <w:spacing w:line="240" w:lineRule="auto"/>
              <w:jc w:val="center"/>
              <w:rPr>
                <w:rFonts w:ascii="Times New Roman" w:eastAsia="Times New Roman" w:hAnsi="Times New Roman" w:cs="Times New Roman"/>
                <w:b/>
                <w:bCs/>
                <w:lang w:val="en-GB" w:eastAsia="en-GB"/>
              </w:rPr>
            </w:pPr>
            <w:proofErr w:type="spellStart"/>
            <w:r w:rsidRPr="001958BA">
              <w:rPr>
                <w:rFonts w:ascii="Times New Roman" w:eastAsia="Times New Roman" w:hAnsi="Times New Roman" w:cs="Times New Roman"/>
                <w:b/>
                <w:bCs/>
                <w:lang w:val="en-GB" w:eastAsia="en-GB"/>
              </w:rPr>
              <w:t>dev</w:t>
            </w:r>
            <w:proofErr w:type="spellEnd"/>
            <w:r w:rsidRPr="001958BA">
              <w:rPr>
                <w:rFonts w:ascii="Times New Roman" w:eastAsia="Times New Roman" w:hAnsi="Times New Roman" w:cs="Times New Roman"/>
                <w:b/>
                <w:bCs/>
                <w:lang w:val="en-GB" w:eastAsia="en-GB"/>
              </w:rPr>
              <w:t xml:space="preserve"> </w:t>
            </w:r>
          </w:p>
        </w:tc>
        <w:tc>
          <w:tcPr>
            <w:tcW w:w="0" w:type="auto"/>
            <w:tcBorders>
              <w:top w:val="single" w:sz="4" w:space="0" w:color="auto"/>
              <w:bottom w:val="single" w:sz="4" w:space="0" w:color="auto"/>
            </w:tcBorders>
            <w:vAlign w:val="center"/>
            <w:hideMark/>
          </w:tcPr>
          <w:p w14:paraId="75F8AA7E" w14:textId="77777777" w:rsidR="001958BA" w:rsidRPr="001958BA" w:rsidRDefault="001958BA" w:rsidP="001958BA">
            <w:pPr>
              <w:spacing w:line="240" w:lineRule="auto"/>
              <w:jc w:val="center"/>
              <w:rPr>
                <w:rFonts w:ascii="Times New Roman" w:eastAsia="Times New Roman" w:hAnsi="Times New Roman" w:cs="Times New Roman"/>
                <w:b/>
                <w:bCs/>
                <w:lang w:val="en-GB" w:eastAsia="en-GB"/>
              </w:rPr>
            </w:pPr>
            <w:r w:rsidRPr="001958BA">
              <w:rPr>
                <w:rFonts w:ascii="Times New Roman" w:eastAsia="Times New Roman" w:hAnsi="Times New Roman" w:cs="Times New Roman"/>
                <w:b/>
                <w:bCs/>
                <w:lang w:val="en-GB" w:eastAsia="en-GB"/>
              </w:rPr>
              <w:t xml:space="preserve">complexity </w:t>
            </w:r>
          </w:p>
        </w:tc>
      </w:tr>
      <w:tr w:rsidR="001958BA" w:rsidRPr="001958BA" w14:paraId="63C37FDD" w14:textId="77777777" w:rsidTr="003F4A9D">
        <w:trPr>
          <w:tblCellSpacing w:w="15" w:type="dxa"/>
        </w:trPr>
        <w:tc>
          <w:tcPr>
            <w:tcW w:w="0" w:type="auto"/>
            <w:tcBorders>
              <w:bottom w:val="single" w:sz="4" w:space="0" w:color="auto"/>
            </w:tcBorders>
            <w:vAlign w:val="center"/>
            <w:hideMark/>
          </w:tcPr>
          <w:p w14:paraId="3E2E7115" w14:textId="77777777" w:rsidR="001958BA" w:rsidRPr="001958BA" w:rsidRDefault="001958BA" w:rsidP="001958BA">
            <w:pPr>
              <w:spacing w:line="240" w:lineRule="auto"/>
              <w:jc w:val="lef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Pacific cod </w:t>
            </w:r>
          </w:p>
        </w:tc>
        <w:tc>
          <w:tcPr>
            <w:tcW w:w="0" w:type="auto"/>
            <w:tcBorders>
              <w:bottom w:val="single" w:sz="4" w:space="0" w:color="auto"/>
            </w:tcBorders>
            <w:vAlign w:val="center"/>
            <w:hideMark/>
          </w:tcPr>
          <w:p w14:paraId="16B511CA"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56 </w:t>
            </w:r>
          </w:p>
        </w:tc>
        <w:tc>
          <w:tcPr>
            <w:tcW w:w="0" w:type="auto"/>
            <w:tcBorders>
              <w:bottom w:val="single" w:sz="4" w:space="0" w:color="auto"/>
            </w:tcBorders>
            <w:vAlign w:val="center"/>
            <w:hideMark/>
          </w:tcPr>
          <w:p w14:paraId="3B784016"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-0.04 </w:t>
            </w:r>
          </w:p>
        </w:tc>
        <w:tc>
          <w:tcPr>
            <w:tcW w:w="0" w:type="auto"/>
            <w:tcBorders>
              <w:bottom w:val="single" w:sz="4" w:space="0" w:color="auto"/>
            </w:tcBorders>
            <w:vAlign w:val="center"/>
            <w:hideMark/>
          </w:tcPr>
          <w:p w14:paraId="0F3F4D55"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7.41 </w:t>
            </w:r>
          </w:p>
        </w:tc>
        <w:tc>
          <w:tcPr>
            <w:tcW w:w="0" w:type="auto"/>
            <w:tcBorders>
              <w:bottom w:val="single" w:sz="4" w:space="0" w:color="auto"/>
            </w:tcBorders>
            <w:vAlign w:val="center"/>
            <w:hideMark/>
          </w:tcPr>
          <w:p w14:paraId="0A867858"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0.55 </w:t>
            </w:r>
          </w:p>
        </w:tc>
      </w:tr>
      <w:tr w:rsidR="001958BA" w:rsidRPr="001958BA" w14:paraId="1638FF7F" w14:textId="77777777" w:rsidTr="001958BA">
        <w:trPr>
          <w:tblCellSpacing w:w="15" w:type="dxa"/>
        </w:trPr>
        <w:tc>
          <w:tcPr>
            <w:tcW w:w="0" w:type="auto"/>
            <w:vAlign w:val="center"/>
            <w:hideMark/>
          </w:tcPr>
          <w:p w14:paraId="5E0D2E74" w14:textId="77777777" w:rsidR="001958BA" w:rsidRPr="001958BA" w:rsidRDefault="001958BA" w:rsidP="001958BA">
            <w:pPr>
              <w:spacing w:line="240" w:lineRule="auto"/>
              <w:jc w:val="lef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&gt;=-178.12 </w:t>
            </w:r>
          </w:p>
        </w:tc>
        <w:tc>
          <w:tcPr>
            <w:tcW w:w="0" w:type="auto"/>
            <w:vAlign w:val="center"/>
            <w:hideMark/>
          </w:tcPr>
          <w:p w14:paraId="3ABC0AEE"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43 </w:t>
            </w:r>
          </w:p>
        </w:tc>
        <w:tc>
          <w:tcPr>
            <w:tcW w:w="0" w:type="auto"/>
            <w:vAlign w:val="center"/>
            <w:hideMark/>
          </w:tcPr>
          <w:p w14:paraId="5AFC30CA"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-0.18 </w:t>
            </w:r>
          </w:p>
        </w:tc>
        <w:tc>
          <w:tcPr>
            <w:tcW w:w="0" w:type="auto"/>
            <w:vAlign w:val="center"/>
            <w:hideMark/>
          </w:tcPr>
          <w:p w14:paraId="17E8978B"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1.09 </w:t>
            </w:r>
          </w:p>
        </w:tc>
        <w:tc>
          <w:tcPr>
            <w:tcW w:w="0" w:type="auto"/>
            <w:vAlign w:val="center"/>
            <w:hideMark/>
          </w:tcPr>
          <w:p w14:paraId="510A6106"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0.07 </w:t>
            </w:r>
          </w:p>
        </w:tc>
      </w:tr>
      <w:tr w:rsidR="001958BA" w:rsidRPr="001958BA" w14:paraId="6086DC97" w14:textId="77777777" w:rsidTr="001958BA">
        <w:trPr>
          <w:tblCellSpacing w:w="15" w:type="dxa"/>
        </w:trPr>
        <w:tc>
          <w:tcPr>
            <w:tcW w:w="0" w:type="auto"/>
            <w:vAlign w:val="center"/>
            <w:hideMark/>
          </w:tcPr>
          <w:p w14:paraId="23AE5639" w14:textId="77777777" w:rsidR="001958BA" w:rsidRPr="001958BA" w:rsidRDefault="001958BA" w:rsidP="001958BA">
            <w:pPr>
              <w:spacing w:line="240" w:lineRule="auto"/>
              <w:jc w:val="lef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&lt;-178.12 </w:t>
            </w:r>
          </w:p>
        </w:tc>
        <w:tc>
          <w:tcPr>
            <w:tcW w:w="0" w:type="auto"/>
            <w:vAlign w:val="center"/>
            <w:hideMark/>
          </w:tcPr>
          <w:p w14:paraId="722E8D30"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13 </w:t>
            </w:r>
          </w:p>
        </w:tc>
        <w:tc>
          <w:tcPr>
            <w:tcW w:w="0" w:type="auto"/>
            <w:vAlign w:val="center"/>
            <w:hideMark/>
          </w:tcPr>
          <w:p w14:paraId="7EEB6B63"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0.46 </w:t>
            </w:r>
          </w:p>
        </w:tc>
        <w:tc>
          <w:tcPr>
            <w:tcW w:w="0" w:type="auto"/>
            <w:vAlign w:val="center"/>
            <w:hideMark/>
          </w:tcPr>
          <w:p w14:paraId="2883A609"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2.21 </w:t>
            </w:r>
          </w:p>
        </w:tc>
        <w:tc>
          <w:tcPr>
            <w:tcW w:w="0" w:type="auto"/>
            <w:vAlign w:val="center"/>
            <w:hideMark/>
          </w:tcPr>
          <w:p w14:paraId="5D855E7D"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0.01 </w:t>
            </w:r>
          </w:p>
        </w:tc>
      </w:tr>
      <w:tr w:rsidR="001958BA" w:rsidRPr="001958BA" w14:paraId="4C71563B" w14:textId="77777777" w:rsidTr="003F4A9D">
        <w:trPr>
          <w:tblCellSpacing w:w="15" w:type="dxa"/>
        </w:trPr>
        <w:tc>
          <w:tcPr>
            <w:tcW w:w="0" w:type="auto"/>
            <w:tcBorders>
              <w:bottom w:val="single" w:sz="4" w:space="0" w:color="auto"/>
            </w:tcBorders>
            <w:vAlign w:val="center"/>
            <w:hideMark/>
          </w:tcPr>
          <w:p w14:paraId="30C97E60" w14:textId="77777777" w:rsidR="001958BA" w:rsidRPr="001958BA" w:rsidRDefault="001958BA" w:rsidP="001958BA">
            <w:pPr>
              <w:spacing w:line="240" w:lineRule="auto"/>
              <w:jc w:val="lef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walleye </w:t>
            </w:r>
            <w:proofErr w:type="spellStart"/>
            <w:r w:rsidRPr="001958BA">
              <w:rPr>
                <w:rFonts w:ascii="Times New Roman" w:eastAsia="Times New Roman" w:hAnsi="Times New Roman" w:cs="Times New Roman"/>
                <w:lang w:val="en-GB" w:eastAsia="en-GB"/>
              </w:rPr>
              <w:t>pollock</w:t>
            </w:r>
            <w:proofErr w:type="spellEnd"/>
            <w:r w:rsidRPr="001958BA">
              <w:rPr>
                <w:rFonts w:ascii="Times New Roman" w:eastAsia="Times New Roman" w:hAnsi="Times New Roman" w:cs="Times New Roman"/>
                <w:lang w:val="en-GB" w:eastAsia="en-GB"/>
              </w:rPr>
              <w:t xml:space="preserve"> </w:t>
            </w:r>
          </w:p>
        </w:tc>
        <w:tc>
          <w:tcPr>
            <w:tcW w:w="0" w:type="auto"/>
            <w:tcBorders>
              <w:bottom w:val="single" w:sz="4" w:space="0" w:color="auto"/>
            </w:tcBorders>
            <w:vAlign w:val="center"/>
            <w:hideMark/>
          </w:tcPr>
          <w:p w14:paraId="3D01E378"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60 </w:t>
            </w:r>
          </w:p>
        </w:tc>
        <w:tc>
          <w:tcPr>
            <w:tcW w:w="0" w:type="auto"/>
            <w:tcBorders>
              <w:bottom w:val="single" w:sz="4" w:space="0" w:color="auto"/>
            </w:tcBorders>
            <w:vAlign w:val="center"/>
            <w:hideMark/>
          </w:tcPr>
          <w:p w14:paraId="0C804E16"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-0.00 </w:t>
            </w:r>
          </w:p>
        </w:tc>
        <w:tc>
          <w:tcPr>
            <w:tcW w:w="0" w:type="auto"/>
            <w:tcBorders>
              <w:bottom w:val="single" w:sz="4" w:space="0" w:color="auto"/>
            </w:tcBorders>
            <w:vAlign w:val="center"/>
            <w:hideMark/>
          </w:tcPr>
          <w:p w14:paraId="31404D27"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1.02 </w:t>
            </w:r>
          </w:p>
        </w:tc>
        <w:tc>
          <w:tcPr>
            <w:tcW w:w="0" w:type="auto"/>
            <w:tcBorders>
              <w:bottom w:val="single" w:sz="4" w:space="0" w:color="auto"/>
            </w:tcBorders>
            <w:vAlign w:val="center"/>
            <w:hideMark/>
          </w:tcPr>
          <w:p w14:paraId="0ADC9CA0"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0.56 </w:t>
            </w:r>
          </w:p>
        </w:tc>
      </w:tr>
      <w:tr w:rsidR="001958BA" w:rsidRPr="001958BA" w14:paraId="5E0E2155" w14:textId="77777777" w:rsidTr="001958BA">
        <w:trPr>
          <w:tblCellSpacing w:w="15" w:type="dxa"/>
        </w:trPr>
        <w:tc>
          <w:tcPr>
            <w:tcW w:w="0" w:type="auto"/>
            <w:vAlign w:val="center"/>
            <w:hideMark/>
          </w:tcPr>
          <w:p w14:paraId="3305E070" w14:textId="77777777" w:rsidR="001958BA" w:rsidRPr="001958BA" w:rsidRDefault="001958BA" w:rsidP="001958BA">
            <w:pPr>
              <w:spacing w:line="240" w:lineRule="auto"/>
              <w:jc w:val="lef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&gt;=-149.82 </w:t>
            </w:r>
          </w:p>
        </w:tc>
        <w:tc>
          <w:tcPr>
            <w:tcW w:w="0" w:type="auto"/>
            <w:vAlign w:val="center"/>
            <w:hideMark/>
          </w:tcPr>
          <w:p w14:paraId="037FFBB6"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11 </w:t>
            </w:r>
          </w:p>
        </w:tc>
        <w:tc>
          <w:tcPr>
            <w:tcW w:w="0" w:type="auto"/>
            <w:vAlign w:val="center"/>
            <w:hideMark/>
          </w:tcPr>
          <w:p w14:paraId="5FE8327B"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-0.21 </w:t>
            </w:r>
          </w:p>
        </w:tc>
        <w:tc>
          <w:tcPr>
            <w:tcW w:w="0" w:type="auto"/>
            <w:vAlign w:val="center"/>
            <w:hideMark/>
          </w:tcPr>
          <w:p w14:paraId="69E58FD1"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0.03 </w:t>
            </w:r>
          </w:p>
        </w:tc>
        <w:tc>
          <w:tcPr>
            <w:tcW w:w="0" w:type="auto"/>
            <w:vAlign w:val="center"/>
            <w:hideMark/>
          </w:tcPr>
          <w:p w14:paraId="26CB3DC9"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0.01 </w:t>
            </w:r>
          </w:p>
        </w:tc>
      </w:tr>
      <w:tr w:rsidR="001958BA" w:rsidRPr="001958BA" w14:paraId="6071D5A6" w14:textId="77777777" w:rsidTr="001958BA">
        <w:trPr>
          <w:tblCellSpacing w:w="15" w:type="dxa"/>
        </w:trPr>
        <w:tc>
          <w:tcPr>
            <w:tcW w:w="0" w:type="auto"/>
            <w:vAlign w:val="center"/>
            <w:hideMark/>
          </w:tcPr>
          <w:p w14:paraId="5F21A77F" w14:textId="77777777" w:rsidR="001958BA" w:rsidRPr="001958BA" w:rsidRDefault="001958BA" w:rsidP="001958BA">
            <w:pPr>
              <w:spacing w:line="240" w:lineRule="auto"/>
              <w:jc w:val="lef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&lt;-149.82 </w:t>
            </w:r>
          </w:p>
        </w:tc>
        <w:tc>
          <w:tcPr>
            <w:tcW w:w="0" w:type="auto"/>
            <w:vAlign w:val="center"/>
            <w:hideMark/>
          </w:tcPr>
          <w:p w14:paraId="2923A960"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49 </w:t>
            </w:r>
          </w:p>
        </w:tc>
        <w:tc>
          <w:tcPr>
            <w:tcW w:w="0" w:type="auto"/>
            <w:vAlign w:val="center"/>
            <w:hideMark/>
          </w:tcPr>
          <w:p w14:paraId="5825937A"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0.04 </w:t>
            </w:r>
          </w:p>
        </w:tc>
        <w:tc>
          <w:tcPr>
            <w:tcW w:w="0" w:type="auto"/>
            <w:vAlign w:val="center"/>
            <w:hideMark/>
          </w:tcPr>
          <w:p w14:paraId="349793BA"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0.42 </w:t>
            </w:r>
          </w:p>
        </w:tc>
        <w:tc>
          <w:tcPr>
            <w:tcW w:w="0" w:type="auto"/>
            <w:vAlign w:val="center"/>
            <w:hideMark/>
          </w:tcPr>
          <w:p w14:paraId="360B0955"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0.16 </w:t>
            </w:r>
          </w:p>
        </w:tc>
      </w:tr>
      <w:tr w:rsidR="001958BA" w:rsidRPr="001958BA" w14:paraId="6E7E30B3" w14:textId="77777777" w:rsidTr="003F4A9D">
        <w:trPr>
          <w:tblCellSpacing w:w="15" w:type="dxa"/>
        </w:trPr>
        <w:tc>
          <w:tcPr>
            <w:tcW w:w="0" w:type="auto"/>
            <w:tcBorders>
              <w:bottom w:val="single" w:sz="4" w:space="0" w:color="auto"/>
            </w:tcBorders>
            <w:vAlign w:val="center"/>
            <w:hideMark/>
          </w:tcPr>
          <w:p w14:paraId="0A1E1DFF" w14:textId="77777777" w:rsidR="001958BA" w:rsidRPr="001958BA" w:rsidRDefault="001958BA" w:rsidP="001958BA">
            <w:pPr>
              <w:spacing w:line="240" w:lineRule="auto"/>
              <w:jc w:val="lef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Atka mackerel </w:t>
            </w:r>
          </w:p>
        </w:tc>
        <w:tc>
          <w:tcPr>
            <w:tcW w:w="0" w:type="auto"/>
            <w:tcBorders>
              <w:bottom w:val="single" w:sz="4" w:space="0" w:color="auto"/>
            </w:tcBorders>
            <w:vAlign w:val="center"/>
            <w:hideMark/>
          </w:tcPr>
          <w:p w14:paraId="40716733"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64 </w:t>
            </w:r>
          </w:p>
        </w:tc>
        <w:tc>
          <w:tcPr>
            <w:tcW w:w="0" w:type="auto"/>
            <w:tcBorders>
              <w:bottom w:val="single" w:sz="4" w:space="0" w:color="auto"/>
            </w:tcBorders>
            <w:vAlign w:val="center"/>
            <w:hideMark/>
          </w:tcPr>
          <w:p w14:paraId="5990E5C5"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-0.01 </w:t>
            </w:r>
          </w:p>
        </w:tc>
        <w:tc>
          <w:tcPr>
            <w:tcW w:w="0" w:type="auto"/>
            <w:tcBorders>
              <w:bottom w:val="single" w:sz="4" w:space="0" w:color="auto"/>
            </w:tcBorders>
            <w:vAlign w:val="center"/>
            <w:hideMark/>
          </w:tcPr>
          <w:p w14:paraId="26CB9308"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36.30 </w:t>
            </w:r>
          </w:p>
        </w:tc>
        <w:tc>
          <w:tcPr>
            <w:tcW w:w="0" w:type="auto"/>
            <w:tcBorders>
              <w:bottom w:val="single" w:sz="4" w:space="0" w:color="auto"/>
            </w:tcBorders>
            <w:vAlign w:val="center"/>
            <w:hideMark/>
          </w:tcPr>
          <w:p w14:paraId="6AD452ED" w14:textId="77777777" w:rsidR="001958BA" w:rsidRPr="001958BA" w:rsidRDefault="001958BA" w:rsidP="001958BA">
            <w:pPr>
              <w:spacing w:line="240" w:lineRule="auto"/>
              <w:jc w:val="right"/>
              <w:rPr>
                <w:rFonts w:ascii="Times New Roman" w:eastAsia="Times New Roman" w:hAnsi="Times New Roman" w:cs="Times New Roman"/>
                <w:lang w:val="en-GB" w:eastAsia="en-GB"/>
              </w:rPr>
            </w:pPr>
            <w:r w:rsidRPr="001958BA">
              <w:rPr>
                <w:rFonts w:ascii="Times New Roman" w:eastAsia="Times New Roman" w:hAnsi="Times New Roman" w:cs="Times New Roman"/>
                <w:lang w:val="en-GB" w:eastAsia="en-GB"/>
              </w:rPr>
              <w:t xml:space="preserve">0.15 </w:t>
            </w:r>
          </w:p>
        </w:tc>
      </w:tr>
    </w:tbl>
    <w:p w14:paraId="3B496A32" w14:textId="1D7FA8A3" w:rsidR="005A7D4E" w:rsidRDefault="005A7D4E" w:rsidP="00706AC6">
      <w:pPr>
        <w:spacing w:line="240" w:lineRule="auto"/>
      </w:pPr>
    </w:p>
    <w:p w14:paraId="4782AF6B" w14:textId="77777777" w:rsidR="003F5A1F" w:rsidRDefault="003F5A1F" w:rsidP="00C06806">
      <w:pPr>
        <w:pStyle w:val="Heading1"/>
      </w:pPr>
      <w:r>
        <w:t>Figures</w:t>
      </w:r>
    </w:p>
    <w:p w14:paraId="7B906B84" w14:textId="77777777" w:rsidR="003F5A1F" w:rsidRDefault="003F5A1F" w:rsidP="00706AC6">
      <w:pPr>
        <w:spacing w:line="240" w:lineRule="auto"/>
      </w:pPr>
      <w:proofErr w:type="spellStart"/>
      <w:r w:rsidRPr="00123E34">
        <w:rPr>
          <w:highlight w:val="yellow"/>
        </w:rPr>
        <w:t>Todo</w:t>
      </w:r>
      <w:proofErr w:type="spellEnd"/>
      <w:r w:rsidRPr="00123E34">
        <w:rPr>
          <w:highlight w:val="yellow"/>
        </w:rPr>
        <w:t>: Add remaining figures</w:t>
      </w:r>
    </w:p>
    <w:p w14:paraId="6E79AA60" w14:textId="1653D433" w:rsidR="003F5A1F" w:rsidRDefault="00D56541" w:rsidP="00706AC6">
      <w:pPr>
        <w:spacing w:line="240" w:lineRule="auto"/>
        <w:jc w:val="left"/>
      </w:pPr>
      <w:r>
        <w:rPr>
          <w:noProof/>
          <w:lang w:val="en-GB" w:eastAsia="en-GB"/>
        </w:rPr>
        <w:drawing>
          <wp:inline distT="0" distB="0" distL="0" distR="0" wp14:anchorId="290058B5" wp14:editId="3AC506B3">
            <wp:extent cx="5731510" cy="3854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ska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4C8A15CB" w14:textId="4AADF215" w:rsidR="003F5A1F" w:rsidRDefault="003F5A1F" w:rsidP="00706AC6">
      <w:pPr>
        <w:spacing w:line="240" w:lineRule="auto"/>
      </w:pPr>
      <w:r>
        <w:t xml:space="preserve">Figure </w:t>
      </w:r>
      <w:bookmarkStart w:id="20" w:name="AlaskaMap"/>
      <w:r>
        <w:fldChar w:fldCharType="begin"/>
      </w:r>
      <w:r>
        <w:instrText xml:space="preserve"> SEQ Figure \* MERGEFORMAT </w:instrText>
      </w:r>
      <w:r>
        <w:fldChar w:fldCharType="separate"/>
      </w:r>
      <w:r w:rsidR="00C54509">
        <w:rPr>
          <w:noProof/>
        </w:rPr>
        <w:t>1</w:t>
      </w:r>
      <w:r>
        <w:fldChar w:fldCharType="end"/>
      </w:r>
      <w:bookmarkEnd w:id="20"/>
      <w:r>
        <w:t>. Map of the study area with major currents.</w:t>
      </w:r>
      <w:r w:rsidR="00545D3E">
        <w:t xml:space="preserve"> </w:t>
      </w:r>
      <w:r w:rsidR="009843F5">
        <w:t xml:space="preserve">Dashed boundary line marks the United States Exclusive </w:t>
      </w:r>
      <w:r w:rsidR="00545D3E">
        <w:t>Economic Zone</w:t>
      </w:r>
      <w:r w:rsidR="009843F5">
        <w:t xml:space="preserve"> (EEZ)</w:t>
      </w:r>
      <w:r w:rsidR="00545D3E">
        <w:t>.</w:t>
      </w:r>
      <w:r w:rsidR="00634EE5">
        <w:t xml:space="preserve"> </w:t>
      </w:r>
      <w:r w:rsidR="009B0C00">
        <w:t>The l</w:t>
      </w:r>
      <w:r w:rsidR="009843F5">
        <w:t xml:space="preserve">ight gray polygon near Dixon Entrance demarks the </w:t>
      </w:r>
      <w:r w:rsidR="00634EE5">
        <w:t>Southeast Alaska Outside Trawl Closure.</w:t>
      </w:r>
    </w:p>
    <w:p w14:paraId="6872DC65" w14:textId="77777777" w:rsidR="00545D3E" w:rsidRDefault="00545D3E" w:rsidP="00706AC6">
      <w:pPr>
        <w:spacing w:line="240" w:lineRule="auto"/>
      </w:pPr>
    </w:p>
    <w:p w14:paraId="197DEBC1" w14:textId="65052795" w:rsidR="00545D3E" w:rsidRDefault="00D56541" w:rsidP="00706AC6">
      <w:pPr>
        <w:spacing w:line="240" w:lineRule="auto"/>
      </w:pPr>
      <w:r>
        <w:rPr>
          <w:noProof/>
          <w:lang w:val="en-GB" w:eastAsia="en-GB"/>
        </w:rPr>
        <w:lastRenderedPageBreak/>
        <w:drawing>
          <wp:inline distT="0" distB="0" distL="0" distR="0" wp14:anchorId="11CC779E" wp14:editId="0E00DB87">
            <wp:extent cx="4393565" cy="886333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Da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3565" cy="8863330"/>
                    </a:xfrm>
                    <a:prstGeom prst="rect">
                      <a:avLst/>
                    </a:prstGeom>
                  </pic:spPr>
                </pic:pic>
              </a:graphicData>
            </a:graphic>
          </wp:inline>
        </w:drawing>
      </w:r>
    </w:p>
    <w:p w14:paraId="0ECA1585" w14:textId="263F0EA4" w:rsidR="00545D3E" w:rsidRDefault="00545D3E" w:rsidP="00706AC6">
      <w:pPr>
        <w:spacing w:line="240" w:lineRule="auto"/>
      </w:pPr>
      <w:r>
        <w:lastRenderedPageBreak/>
        <w:t xml:space="preserve">Figure </w:t>
      </w:r>
      <w:bookmarkStart w:id="21" w:name="surveyData"/>
      <w:r>
        <w:fldChar w:fldCharType="begin"/>
      </w:r>
      <w:r>
        <w:instrText xml:space="preserve"> SEQ Figure \* MERGEFORMAT </w:instrText>
      </w:r>
      <w:r>
        <w:fldChar w:fldCharType="separate"/>
      </w:r>
      <w:r w:rsidR="00C54509">
        <w:rPr>
          <w:noProof/>
        </w:rPr>
        <w:t>2</w:t>
      </w:r>
      <w:r>
        <w:fldChar w:fldCharType="end"/>
      </w:r>
      <w:bookmarkEnd w:id="21"/>
      <w:r>
        <w:t>. Log catch per unit effort (CPUE, kg ha</w:t>
      </w:r>
      <w:r w:rsidRPr="00545D3E">
        <w:rPr>
          <w:vertAlign w:val="superscript"/>
        </w:rPr>
        <w:t>-1</w:t>
      </w:r>
      <w:r>
        <w:t xml:space="preserve">) for (a)Pacific cod, (b) walleye </w:t>
      </w:r>
      <w:proofErr w:type="spellStart"/>
      <w:r>
        <w:t>pollock</w:t>
      </w:r>
      <w:proofErr w:type="spellEnd"/>
      <w:r>
        <w:t>, and (c) Atka mackerel for all years (1990-2013)</w:t>
      </w:r>
      <w:r w:rsidR="00D56541">
        <w:t xml:space="preserve">. Point size is proportional to the maximum </w:t>
      </w:r>
      <w:r>
        <w:t>observed CPUE</w:t>
      </w:r>
      <w:r w:rsidR="00D56541">
        <w:t xml:space="preserve"> for a given species</w:t>
      </w:r>
      <w:r w:rsidR="00A05F91">
        <w:t xml:space="preserve"> and points are shown with transparency to depict areas with higher sampling effort</w:t>
      </w:r>
      <w:r>
        <w:t xml:space="preserve">. </w:t>
      </w:r>
    </w:p>
    <w:p w14:paraId="3050186B" w14:textId="77777777" w:rsidR="00D618D0" w:rsidRDefault="00D618D0" w:rsidP="00706AC6">
      <w:pPr>
        <w:spacing w:line="240" w:lineRule="auto"/>
      </w:pPr>
    </w:p>
    <w:p w14:paraId="3EC18C5C" w14:textId="7D6F47D0" w:rsidR="00D618D0" w:rsidRDefault="00D618D0">
      <w:pPr>
        <w:spacing w:after="200" w:line="240" w:lineRule="auto"/>
        <w:jc w:val="left"/>
      </w:pPr>
      <w:r>
        <w:br w:type="page"/>
      </w:r>
    </w:p>
    <w:p w14:paraId="3122F8CA" w14:textId="37A234D5" w:rsidR="00D618D0" w:rsidRDefault="00093EB8" w:rsidP="00093EB8">
      <w:pPr>
        <w:spacing w:line="240" w:lineRule="auto"/>
        <w:jc w:val="center"/>
      </w:pPr>
      <w:commentRangeStart w:id="22"/>
      <w:r>
        <w:rPr>
          <w:noProof/>
          <w:lang w:val="en-GB" w:eastAsia="en-GB"/>
        </w:rPr>
        <w:lastRenderedPageBreak/>
        <w:drawing>
          <wp:inline distT="0" distB="0" distL="0" distR="0" wp14:anchorId="64D1943C" wp14:editId="5730BF3A">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commentRangeEnd w:id="22"/>
      <w:r w:rsidR="00A64FBD">
        <w:rPr>
          <w:rStyle w:val="CommentReference"/>
        </w:rPr>
        <w:commentReference w:id="22"/>
      </w:r>
    </w:p>
    <w:p w14:paraId="4879E643" w14:textId="1CFCD4CD" w:rsidR="00093EB8" w:rsidRDefault="00093EB8" w:rsidP="00706AC6">
      <w:pPr>
        <w:spacing w:line="240" w:lineRule="auto"/>
      </w:pPr>
      <w:r>
        <w:t xml:space="preserve">Figure </w:t>
      </w:r>
      <w:bookmarkStart w:id="23" w:name="mesh"/>
      <w:r>
        <w:fldChar w:fldCharType="begin"/>
      </w:r>
      <w:r>
        <w:instrText xml:space="preserve"> SEQ Figure \* MERGEFORMAT </w:instrText>
      </w:r>
      <w:r>
        <w:fldChar w:fldCharType="separate"/>
      </w:r>
      <w:r w:rsidR="00C54509">
        <w:rPr>
          <w:noProof/>
        </w:rPr>
        <w:t>3</w:t>
      </w:r>
      <w:r>
        <w:fldChar w:fldCharType="end"/>
      </w:r>
      <w:bookmarkEnd w:id="23"/>
      <w:r>
        <w:t>. The triangulation matrix used to represent a continuous Gaussian Random Field (GF) using a Gaussian Markov Random Field (GMRF). The blue line represents the border defining the “inner” more precise nodes, while the black line represents the “outer” border defining the boundary. Points are of all species for all years, represented using transparency to visualize areas with a high density.</w:t>
      </w:r>
    </w:p>
    <w:p w14:paraId="3A55085E" w14:textId="77777777" w:rsidR="00852334" w:rsidRDefault="00852334" w:rsidP="00706AC6">
      <w:pPr>
        <w:spacing w:line="240" w:lineRule="auto"/>
      </w:pPr>
    </w:p>
    <w:p w14:paraId="004982DE" w14:textId="1806A211" w:rsidR="00852334" w:rsidRDefault="00F034D4" w:rsidP="00706AC6">
      <w:pPr>
        <w:spacing w:line="240" w:lineRule="auto"/>
      </w:pPr>
      <w:commentRangeStart w:id="24"/>
      <w:r>
        <w:rPr>
          <w:noProof/>
          <w:lang w:val="en-GB" w:eastAsia="en-GB"/>
        </w:rPr>
        <w:lastRenderedPageBreak/>
        <w:drawing>
          <wp:inline distT="0" distB="0" distL="0" distR="0" wp14:anchorId="518420C5" wp14:editId="54EA010E">
            <wp:extent cx="3657608" cy="68580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_abundance.png"/>
                    <pic:cNvPicPr/>
                  </pic:nvPicPr>
                  <pic:blipFill>
                    <a:blip r:embed="rId11">
                      <a:extLst>
                        <a:ext uri="{28A0092B-C50C-407E-A947-70E740481C1C}">
                          <a14:useLocalDpi xmlns:a14="http://schemas.microsoft.com/office/drawing/2010/main" val="0"/>
                        </a:ext>
                      </a:extLst>
                    </a:blip>
                    <a:stretch>
                      <a:fillRect/>
                    </a:stretch>
                  </pic:blipFill>
                  <pic:spPr>
                    <a:xfrm>
                      <a:off x="0" y="0"/>
                      <a:ext cx="3657608" cy="6858014"/>
                    </a:xfrm>
                    <a:prstGeom prst="rect">
                      <a:avLst/>
                    </a:prstGeom>
                  </pic:spPr>
                </pic:pic>
              </a:graphicData>
            </a:graphic>
          </wp:inline>
        </w:drawing>
      </w:r>
      <w:commentRangeEnd w:id="24"/>
      <w:r w:rsidR="005B18B9">
        <w:rPr>
          <w:rStyle w:val="CommentReference"/>
        </w:rPr>
        <w:commentReference w:id="24"/>
      </w:r>
    </w:p>
    <w:p w14:paraId="4D1D3334" w14:textId="432BD065" w:rsidR="00852334" w:rsidRDefault="00852334" w:rsidP="00706AC6">
      <w:pPr>
        <w:spacing w:line="240" w:lineRule="auto"/>
      </w:pPr>
      <w:r>
        <w:t xml:space="preserve">Figure </w:t>
      </w:r>
      <w:bookmarkStart w:id="25" w:name="hat_abundance"/>
      <w:r>
        <w:fldChar w:fldCharType="begin"/>
      </w:r>
      <w:r>
        <w:instrText xml:space="preserve"> SEQ Figure \* MERGEFORMAT </w:instrText>
      </w:r>
      <w:r>
        <w:fldChar w:fldCharType="separate"/>
      </w:r>
      <w:r w:rsidR="00C54509">
        <w:rPr>
          <w:noProof/>
        </w:rPr>
        <w:t>4</w:t>
      </w:r>
      <w:r>
        <w:fldChar w:fldCharType="end"/>
      </w:r>
      <w:bookmarkEnd w:id="25"/>
      <w:r>
        <w:t xml:space="preserve">. Estimated mean log biomass for </w:t>
      </w:r>
      <w:r w:rsidR="00043BFD">
        <w:t xml:space="preserve">each species across </w:t>
      </w:r>
      <w:r>
        <w:t>the Aleutian Islands and the Gulf of Alaska.</w:t>
      </w:r>
      <w:r w:rsidR="00043BFD">
        <w:t xml:space="preserve"> Parameter estimates</w:t>
      </w:r>
      <w:r>
        <w:t xml:space="preserve"> along with their standard errors</w:t>
      </w:r>
      <w:r w:rsidR="00043BFD">
        <w:t>,</w:t>
      </w:r>
      <w:r>
        <w:t xml:space="preserve"> in parentheses, are given for density dependence (ρ) and the log-ratio </w:t>
      </w:r>
      <w:r>
        <w:rPr>
          <w:rFonts w:ascii="Cambria Math" w:eastAsiaTheme="minorEastAsia" w:hAnsi="Cambria Math" w:cs="Cambria Math"/>
        </w:rPr>
        <w:t>of expected abundance in the initial year (</w:t>
      </w:r>
      <w:r>
        <w:rPr>
          <w:rFonts w:ascii="Cambria Math" w:eastAsiaTheme="minorEastAsia" w:hAnsi="Cambria Math" w:cs="Cambria Math"/>
          <w:i/>
        </w:rPr>
        <w:t>t</w:t>
      </w:r>
      <w:r>
        <w:rPr>
          <w:rFonts w:ascii="Cambria Math" w:eastAsiaTheme="minorEastAsia" w:hAnsi="Cambria Math" w:cs="Cambria Math"/>
        </w:rPr>
        <w:t>=1) and the median of the stationary distribution for abundance at equilibrium</w:t>
      </w:r>
      <w:r>
        <w:t xml:space="preserve"> (ϕ).</w:t>
      </w:r>
      <w:r w:rsidR="00F034D4">
        <w:t xml:space="preserve"> Dashed lines display the mean abundance for each hypothesized stock.</w:t>
      </w:r>
    </w:p>
    <w:p w14:paraId="295AC493" w14:textId="74EE2B22" w:rsidR="00381F05" w:rsidRDefault="00381F05" w:rsidP="00C06806">
      <w:pPr>
        <w:pStyle w:val="Heading1"/>
      </w:pPr>
      <w:r>
        <w:t>Appendix</w:t>
      </w:r>
    </w:p>
    <w:p w14:paraId="1A341552" w14:textId="21613C5E" w:rsidR="00381F05" w:rsidRDefault="00381F05" w:rsidP="00381F05">
      <w:pPr>
        <w:spacing w:line="240" w:lineRule="auto"/>
      </w:pPr>
      <w:r>
        <w:t>Log normal likelihood function:</w:t>
      </w:r>
    </w:p>
    <w:p w14:paraId="17187C32" w14:textId="638CA25B" w:rsidR="00381F05" w:rsidRPr="005C5CED" w:rsidRDefault="00381F05" w:rsidP="00381F05">
      <w:pPr>
        <w:spacing w:line="240" w:lineRule="auto"/>
        <w:rPr>
          <w:rFonts w:eastAsiaTheme="minorEastAsia"/>
        </w:rPr>
      </w:pPr>
      <m:oMathPara>
        <m:oMath>
          <m:r>
            <w:rPr>
              <w:rFonts w:ascii="Cambria Math" w:hAnsi="Cambria Math"/>
            </w:rPr>
            <m:t xml:space="preserve">Likelihood= </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obs</m:t>
                  </m:r>
                </m:sub>
                <m:sup>
                  <m:r>
                    <w:rPr>
                      <w:rFonts w:ascii="Cambria Math" w:hAnsi="Cambria Math"/>
                    </w:rPr>
                    <m:t>2</m:t>
                  </m:r>
                </m:sup>
              </m:sSubSup>
            </m:den>
          </m:f>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(ln</m:t>
                  </m:r>
                  <m:sSub>
                    <m:sSubPr>
                      <m:ctrlPr>
                        <w:rPr>
                          <w:rFonts w:ascii="Cambria Math" w:hAnsi="Cambria Math"/>
                          <w:i/>
                        </w:rPr>
                      </m:ctrlPr>
                    </m:sSubPr>
                    <m:e>
                      <m:r>
                        <w:rPr>
                          <w:rFonts w:ascii="Cambria Math" w:hAnsi="Cambria Math"/>
                        </w:rPr>
                        <m:t>Obs</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Pred</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00A685DD" w14:textId="554FB7BA" w:rsidR="005C5CED" w:rsidRDefault="005C5CED" w:rsidP="00381F05">
      <w:pPr>
        <w:spacing w:line="240" w:lineRule="auto"/>
        <w:rPr>
          <w:rFonts w:eastAsiaTheme="minorEastAsia"/>
        </w:rPr>
      </w:pPr>
      <w:r>
        <w:rPr>
          <w:rFonts w:eastAsiaTheme="minorEastAsia"/>
        </w:rPr>
        <w:lastRenderedPageBreak/>
        <w:t>Normal likelihood function:</w:t>
      </w:r>
    </w:p>
    <w:p w14:paraId="024612E6" w14:textId="58DF0DD4" w:rsidR="005C5CED" w:rsidRPr="002B1B02" w:rsidRDefault="005C5CED" w:rsidP="00381F05">
      <w:pPr>
        <w:spacing w:line="240" w:lineRule="auto"/>
        <w:rPr>
          <w:rFonts w:eastAsiaTheme="minorEastAsia"/>
        </w:rPr>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 xml:space="preserve"> β,</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pred</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3CF7EC4B" w14:textId="77777777" w:rsidR="002B1B02" w:rsidRDefault="002B1B02" w:rsidP="00381F05">
      <w:pPr>
        <w:spacing w:line="240" w:lineRule="auto"/>
        <w:rPr>
          <w:rFonts w:eastAsiaTheme="minorEastAsia"/>
        </w:rPr>
      </w:pPr>
    </w:p>
    <w:p w14:paraId="1F6FC56A" w14:textId="77777777" w:rsidR="00381F05" w:rsidRPr="004D0D9F" w:rsidRDefault="00381F05" w:rsidP="00706AC6">
      <w:pPr>
        <w:spacing w:line="240" w:lineRule="auto"/>
      </w:pPr>
    </w:p>
    <w:sectPr w:rsidR="00381F05" w:rsidRPr="004D0D9F"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elli Johnson" w:date="2014-09-01T02:24:00Z" w:initials="KFJ">
    <w:p w14:paraId="216AD0E4" w14:textId="342DE8C0" w:rsidR="00C54749" w:rsidRDefault="00C54749">
      <w:pPr>
        <w:pStyle w:val="CommentText"/>
      </w:pPr>
      <w:r>
        <w:rPr>
          <w:rStyle w:val="CommentReference"/>
        </w:rPr>
        <w:annotationRef/>
      </w:r>
      <w:r>
        <w:t>Bad reference for this, find something else</w:t>
      </w:r>
    </w:p>
  </w:comment>
  <w:comment w:id="7" w:author="Punt, Andre (O&amp;A, Hobart)" w:date="2014-08-11T21:38:00Z" w:initials="PA(H">
    <w:p w14:paraId="01614ABE" w14:textId="77777777" w:rsidR="00C54749" w:rsidRDefault="00C54749" w:rsidP="007C33C4">
      <w:pPr>
        <w:pStyle w:val="CommentText"/>
      </w:pPr>
      <w:r>
        <w:rPr>
          <w:rStyle w:val="CommentReference"/>
        </w:rPr>
        <w:annotationRef/>
      </w:r>
      <w:r>
        <w:t>Are there many zeros – can the simply be ignored</w:t>
      </w:r>
    </w:p>
  </w:comment>
  <w:comment w:id="8" w:author="Kelli Johnson" w:date="2014-08-12T11:11:00Z" w:initials="KFJ">
    <w:p w14:paraId="47004870" w14:textId="3893D8F3" w:rsidR="00C54749" w:rsidRDefault="00C54749">
      <w:pPr>
        <w:pStyle w:val="CommentText"/>
      </w:pPr>
      <w:r>
        <w:rPr>
          <w:rStyle w:val="CommentReference"/>
        </w:rPr>
        <w:annotationRef/>
      </w:r>
      <w:r>
        <w:t>Here I am just setting up an example, SPDE approaches can handle distributions other than normal. Not sure if this is the best approach. The log Normal distribution used for the analysis is explained later.</w:t>
      </w:r>
    </w:p>
  </w:comment>
  <w:comment w:id="12" w:author="Punt, Andre (O&amp;A, Hobart)" w:date="2014-08-12T15:21:00Z" w:initials="PA(H">
    <w:p w14:paraId="68379CE0" w14:textId="78F089C7" w:rsidR="00C54749" w:rsidRDefault="00C54749">
      <w:pPr>
        <w:pStyle w:val="CommentText"/>
      </w:pPr>
      <w:r>
        <w:rPr>
          <w:rStyle w:val="CommentReference"/>
        </w:rPr>
        <w:annotationRef/>
      </w:r>
      <w:r>
        <w:t xml:space="preserve">Is it – this seems log-space, </w:t>
      </w:r>
    </w:p>
  </w:comment>
  <w:comment w:id="11" w:author="Kelli Johnson" w:date="2014-08-12T15:22:00Z" w:initials="KFJ">
    <w:p w14:paraId="1775E72E" w14:textId="6333E2E2" w:rsidR="00C54749" w:rsidRDefault="00C54749">
      <w:pPr>
        <w:pStyle w:val="CommentText"/>
      </w:pPr>
      <w:r>
        <w:rPr>
          <w:rStyle w:val="CommentReference"/>
        </w:rPr>
        <w:annotationRef/>
      </w:r>
      <w:r>
        <w:t xml:space="preserve">Is this a better description of the intercept, before you mentioned I was wrong in my description because it is in </w:t>
      </w:r>
      <w:proofErr w:type="spellStart"/>
      <w:r>
        <w:t>logspace</w:t>
      </w:r>
      <w:proofErr w:type="spellEnd"/>
      <w:r>
        <w:t>.</w:t>
      </w:r>
    </w:p>
  </w:comment>
  <w:comment w:id="13" w:author="Punt, Andre (O&amp;A, Hobart)" w:date="2014-08-06T05:07:00Z" w:initials="PA(H">
    <w:p w14:paraId="619AA974" w14:textId="7950B80B" w:rsidR="00C54749" w:rsidRDefault="00C54749">
      <w:pPr>
        <w:pStyle w:val="CommentText"/>
      </w:pPr>
      <w:r>
        <w:rPr>
          <w:rStyle w:val="CommentReference"/>
        </w:rPr>
        <w:annotationRef/>
      </w:r>
      <w:r>
        <w:t>Err needs to be justified I think</w:t>
      </w:r>
    </w:p>
  </w:comment>
  <w:comment w:id="14" w:author="Kelli Johnson" w:date="2014-08-15T18:29:00Z" w:initials="KFJ">
    <w:p w14:paraId="55FDEFCB" w14:textId="736EEC50" w:rsidR="00C54749" w:rsidRDefault="00C54749">
      <w:pPr>
        <w:pStyle w:val="CommentText"/>
      </w:pPr>
      <w:proofErr w:type="spellStart"/>
      <w:r>
        <w:t>Todo</w:t>
      </w:r>
      <w:proofErr w:type="spellEnd"/>
      <w:r>
        <w:t xml:space="preserve">: </w:t>
      </w:r>
      <w:r>
        <w:rPr>
          <w:rStyle w:val="CommentReference"/>
        </w:rPr>
        <w:annotationRef/>
      </w:r>
      <w:r>
        <w:t>Check JISAO number</w:t>
      </w:r>
    </w:p>
  </w:comment>
  <w:comment w:id="15" w:author="Kelli Johnson" w:date="2014-08-15T18:29:00Z" w:initials="KFJ">
    <w:p w14:paraId="2683CFEE" w14:textId="38541D25" w:rsidR="00C54749" w:rsidRDefault="00C54749">
      <w:pPr>
        <w:pStyle w:val="CommentText"/>
      </w:pPr>
      <w:r>
        <w:rPr>
          <w:rStyle w:val="CommentReference"/>
        </w:rPr>
        <w:annotationRef/>
      </w:r>
      <w:proofErr w:type="spellStart"/>
      <w:r>
        <w:t>Todo</w:t>
      </w:r>
      <w:proofErr w:type="spellEnd"/>
      <w:r>
        <w:t>: Get contribution number upon acceptance.</w:t>
      </w:r>
    </w:p>
  </w:comment>
  <w:comment w:id="17" w:author="Kelli Johnson" w:date="2014-09-01T03:36:00Z" w:initials="KFJ">
    <w:p w14:paraId="2F4FDA7D" w14:textId="77777777" w:rsidR="00C54749" w:rsidRDefault="00C54749" w:rsidP="00617704">
      <w:pPr>
        <w:spacing w:line="240" w:lineRule="auto"/>
      </w:pPr>
      <w:r>
        <w:rPr>
          <w:rStyle w:val="CommentReference"/>
        </w:rPr>
        <w:annotationRef/>
      </w:r>
      <w:proofErr w:type="spellStart"/>
      <w:r w:rsidRPr="00052835">
        <w:rPr>
          <w:highlight w:val="yellow"/>
        </w:rPr>
        <w:t>Todo</w:t>
      </w:r>
      <w:proofErr w:type="spellEnd"/>
      <w:r w:rsidRPr="00052835">
        <w:rPr>
          <w:highlight w:val="yellow"/>
        </w:rPr>
        <w:t>: Add remaining references</w:t>
      </w:r>
    </w:p>
    <w:p w14:paraId="01E3ABF4" w14:textId="16484F90" w:rsidR="00C54749" w:rsidRDefault="00C54749">
      <w:pPr>
        <w:pStyle w:val="CommentText"/>
      </w:pPr>
    </w:p>
  </w:comment>
  <w:comment w:id="22" w:author="Kelli Johnson" w:date="2014-08-19T01:40:00Z" w:initials="KFJ">
    <w:p w14:paraId="6188B499" w14:textId="71F8BDB1" w:rsidR="00C54749" w:rsidRDefault="00C54749">
      <w:pPr>
        <w:pStyle w:val="CommentText"/>
      </w:pPr>
      <w:r>
        <w:rPr>
          <w:rStyle w:val="CommentReference"/>
        </w:rPr>
        <w:annotationRef/>
      </w:r>
    </w:p>
    <w:p w14:paraId="402E8953" w14:textId="6B1BB978" w:rsidR="00C54749" w:rsidRDefault="00C54749">
      <w:pPr>
        <w:pStyle w:val="CommentText"/>
      </w:pPr>
      <w:r>
        <w:t xml:space="preserve">Inverse distance weighted === </w:t>
      </w:r>
      <w:proofErr w:type="spellStart"/>
      <w:r>
        <w:t>gstat</w:t>
      </w:r>
      <w:proofErr w:type="spellEnd"/>
    </w:p>
  </w:comment>
  <w:comment w:id="24" w:author="Kelli Johnson" w:date="2014-08-19T15:41:00Z" w:initials="KFJ">
    <w:p w14:paraId="4817D6AA" w14:textId="0A43FF94" w:rsidR="00C54749" w:rsidRDefault="00C54749">
      <w:pPr>
        <w:pStyle w:val="CommentText"/>
      </w:pPr>
      <w:r>
        <w:t xml:space="preserve">TODO: </w:t>
      </w:r>
      <w:r>
        <w:rPr>
          <w:rStyle w:val="CommentReference"/>
        </w:rPr>
        <w:annotationRef/>
      </w:r>
      <w:r>
        <w:t>Not sure of the y axis label on this plot. Also would like to add a key for the dashed line, to determine which stock the mean is from. Also would this be better if the polygons were also plotted for the stocks?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FD84DD" w15:done="0"/>
  <w15:commentEx w15:paraId="2CDECABF" w15:done="0"/>
  <w15:commentEx w15:paraId="7A14C2E9" w15:done="0"/>
  <w15:commentEx w15:paraId="09864BB6" w15:done="0"/>
  <w15:commentEx w15:paraId="001345EF" w15:done="0"/>
  <w15:commentEx w15:paraId="7E6E99DE" w15:done="0"/>
  <w15:commentEx w15:paraId="7411D4C1" w15:done="0"/>
  <w15:commentEx w15:paraId="6B1BE85F" w15:done="0"/>
  <w15:commentEx w15:paraId="28AE72E2" w15:done="0"/>
  <w15:commentEx w15:paraId="477A1102" w15:done="0"/>
  <w15:commentEx w15:paraId="30EB4974" w15:done="0"/>
  <w15:commentEx w15:paraId="4D6DA4CE" w15:done="0"/>
  <w15:commentEx w15:paraId="02585F7C" w15:done="0"/>
  <w15:commentEx w15:paraId="1353DA10" w15:done="0"/>
  <w15:commentEx w15:paraId="12E14C45" w15:done="0"/>
  <w15:commentEx w15:paraId="68379CE0" w15:done="0"/>
  <w15:commentEx w15:paraId="388A24DA" w15:done="0"/>
  <w15:commentEx w15:paraId="619AA974" w15:done="0"/>
  <w15:commentEx w15:paraId="08EB14A0" w15:done="0"/>
  <w15:commentEx w15:paraId="341264C2" w15:done="0"/>
  <w15:commentEx w15:paraId="4E875B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406"/>
    <w:multiLevelType w:val="hybridMultilevel"/>
    <w:tmpl w:val="C4988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C71F71"/>
    <w:multiLevelType w:val="hybridMultilevel"/>
    <w:tmpl w:val="D7101C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9236214"/>
    <w:multiLevelType w:val="hybridMultilevel"/>
    <w:tmpl w:val="ADA0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190F9F"/>
    <w:multiLevelType w:val="hybridMultilevel"/>
    <w:tmpl w:val="50DECBEC"/>
    <w:lvl w:ilvl="0" w:tplc="D6DE91F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3DB"/>
    <w:rsid w:val="00007F70"/>
    <w:rsid w:val="00011C8B"/>
    <w:rsid w:val="00020C32"/>
    <w:rsid w:val="00023F1D"/>
    <w:rsid w:val="00043BFD"/>
    <w:rsid w:val="00046697"/>
    <w:rsid w:val="00046DEF"/>
    <w:rsid w:val="0004733C"/>
    <w:rsid w:val="00052835"/>
    <w:rsid w:val="000548E2"/>
    <w:rsid w:val="00093EB8"/>
    <w:rsid w:val="00094492"/>
    <w:rsid w:val="000A2B65"/>
    <w:rsid w:val="000E5FCD"/>
    <w:rsid w:val="001137FF"/>
    <w:rsid w:val="00123E34"/>
    <w:rsid w:val="00126AE5"/>
    <w:rsid w:val="00127A23"/>
    <w:rsid w:val="0013507E"/>
    <w:rsid w:val="0014138C"/>
    <w:rsid w:val="00146883"/>
    <w:rsid w:val="00153365"/>
    <w:rsid w:val="001617F9"/>
    <w:rsid w:val="001632C8"/>
    <w:rsid w:val="001958BA"/>
    <w:rsid w:val="001A0806"/>
    <w:rsid w:val="001A3727"/>
    <w:rsid w:val="001A72F1"/>
    <w:rsid w:val="001B45CC"/>
    <w:rsid w:val="001B5174"/>
    <w:rsid w:val="001C15D7"/>
    <w:rsid w:val="001E21F9"/>
    <w:rsid w:val="001E5A78"/>
    <w:rsid w:val="00207F37"/>
    <w:rsid w:val="00230CFA"/>
    <w:rsid w:val="00232106"/>
    <w:rsid w:val="00233235"/>
    <w:rsid w:val="002718FA"/>
    <w:rsid w:val="002A1CF0"/>
    <w:rsid w:val="002A7B6C"/>
    <w:rsid w:val="002B1B02"/>
    <w:rsid w:val="002B6FA9"/>
    <w:rsid w:val="002F7E44"/>
    <w:rsid w:val="00303172"/>
    <w:rsid w:val="003205B2"/>
    <w:rsid w:val="003244A0"/>
    <w:rsid w:val="00331577"/>
    <w:rsid w:val="00337083"/>
    <w:rsid w:val="00343DB2"/>
    <w:rsid w:val="00360EC4"/>
    <w:rsid w:val="00362B3F"/>
    <w:rsid w:val="003731CD"/>
    <w:rsid w:val="00381F05"/>
    <w:rsid w:val="003854F9"/>
    <w:rsid w:val="003A5F62"/>
    <w:rsid w:val="003A6D3C"/>
    <w:rsid w:val="003B1108"/>
    <w:rsid w:val="003B4407"/>
    <w:rsid w:val="003E3E8B"/>
    <w:rsid w:val="003F10D8"/>
    <w:rsid w:val="003F4A9D"/>
    <w:rsid w:val="003F5A1F"/>
    <w:rsid w:val="00410BBD"/>
    <w:rsid w:val="00415A15"/>
    <w:rsid w:val="004170EB"/>
    <w:rsid w:val="00421BA5"/>
    <w:rsid w:val="0044143C"/>
    <w:rsid w:val="00443871"/>
    <w:rsid w:val="00461842"/>
    <w:rsid w:val="00490151"/>
    <w:rsid w:val="00493D7A"/>
    <w:rsid w:val="00494C02"/>
    <w:rsid w:val="004D0D9F"/>
    <w:rsid w:val="004D7B44"/>
    <w:rsid w:val="004E29B3"/>
    <w:rsid w:val="004E7FC1"/>
    <w:rsid w:val="004F40A8"/>
    <w:rsid w:val="004F4D0B"/>
    <w:rsid w:val="00507FD1"/>
    <w:rsid w:val="005315EE"/>
    <w:rsid w:val="00535213"/>
    <w:rsid w:val="005429F2"/>
    <w:rsid w:val="005435CB"/>
    <w:rsid w:val="00545D3E"/>
    <w:rsid w:val="005519D1"/>
    <w:rsid w:val="00570F0E"/>
    <w:rsid w:val="0058100A"/>
    <w:rsid w:val="00585077"/>
    <w:rsid w:val="00590D07"/>
    <w:rsid w:val="005A7D4E"/>
    <w:rsid w:val="005B129F"/>
    <w:rsid w:val="005B17A9"/>
    <w:rsid w:val="005B18B9"/>
    <w:rsid w:val="005C5CED"/>
    <w:rsid w:val="005E0272"/>
    <w:rsid w:val="00601ED2"/>
    <w:rsid w:val="00601FBA"/>
    <w:rsid w:val="00617704"/>
    <w:rsid w:val="00621193"/>
    <w:rsid w:val="0062744E"/>
    <w:rsid w:val="006321CA"/>
    <w:rsid w:val="00634EE5"/>
    <w:rsid w:val="00647EBD"/>
    <w:rsid w:val="006561C7"/>
    <w:rsid w:val="0065783D"/>
    <w:rsid w:val="0067100A"/>
    <w:rsid w:val="006803E9"/>
    <w:rsid w:val="006843C0"/>
    <w:rsid w:val="00691794"/>
    <w:rsid w:val="00693F53"/>
    <w:rsid w:val="006A7B22"/>
    <w:rsid w:val="006B10D5"/>
    <w:rsid w:val="006E743C"/>
    <w:rsid w:val="00702037"/>
    <w:rsid w:val="00706AC6"/>
    <w:rsid w:val="00721355"/>
    <w:rsid w:val="00742831"/>
    <w:rsid w:val="00747EB7"/>
    <w:rsid w:val="00770301"/>
    <w:rsid w:val="00776ADB"/>
    <w:rsid w:val="00784D58"/>
    <w:rsid w:val="007921F1"/>
    <w:rsid w:val="00793E41"/>
    <w:rsid w:val="007945B1"/>
    <w:rsid w:val="007A4D35"/>
    <w:rsid w:val="007C33C4"/>
    <w:rsid w:val="007D1417"/>
    <w:rsid w:val="007D48B2"/>
    <w:rsid w:val="00820806"/>
    <w:rsid w:val="008251CE"/>
    <w:rsid w:val="0083111F"/>
    <w:rsid w:val="00852334"/>
    <w:rsid w:val="0086070E"/>
    <w:rsid w:val="00860BD1"/>
    <w:rsid w:val="008621EE"/>
    <w:rsid w:val="00873E88"/>
    <w:rsid w:val="0089152F"/>
    <w:rsid w:val="008A0AE5"/>
    <w:rsid w:val="008A4F1F"/>
    <w:rsid w:val="008C7588"/>
    <w:rsid w:val="008D6863"/>
    <w:rsid w:val="008F0CA6"/>
    <w:rsid w:val="00907BFA"/>
    <w:rsid w:val="00912832"/>
    <w:rsid w:val="0092400D"/>
    <w:rsid w:val="00954541"/>
    <w:rsid w:val="009767F2"/>
    <w:rsid w:val="00980E51"/>
    <w:rsid w:val="009843F5"/>
    <w:rsid w:val="00985CC4"/>
    <w:rsid w:val="009A78A9"/>
    <w:rsid w:val="009B0C00"/>
    <w:rsid w:val="009C0870"/>
    <w:rsid w:val="009C44CF"/>
    <w:rsid w:val="009C6EC4"/>
    <w:rsid w:val="009D6D6A"/>
    <w:rsid w:val="00A05C91"/>
    <w:rsid w:val="00A05F91"/>
    <w:rsid w:val="00A23714"/>
    <w:rsid w:val="00A317AE"/>
    <w:rsid w:val="00A33928"/>
    <w:rsid w:val="00A47B1F"/>
    <w:rsid w:val="00A505A0"/>
    <w:rsid w:val="00A54A1F"/>
    <w:rsid w:val="00A62FE5"/>
    <w:rsid w:val="00A64FBD"/>
    <w:rsid w:val="00A773A8"/>
    <w:rsid w:val="00A94F0D"/>
    <w:rsid w:val="00AA1AE5"/>
    <w:rsid w:val="00AC3170"/>
    <w:rsid w:val="00AE2BE0"/>
    <w:rsid w:val="00AF0B91"/>
    <w:rsid w:val="00B34B01"/>
    <w:rsid w:val="00B3792B"/>
    <w:rsid w:val="00B47639"/>
    <w:rsid w:val="00B537DD"/>
    <w:rsid w:val="00B5777F"/>
    <w:rsid w:val="00B63F9A"/>
    <w:rsid w:val="00B71036"/>
    <w:rsid w:val="00B86B75"/>
    <w:rsid w:val="00B9419A"/>
    <w:rsid w:val="00BB6A92"/>
    <w:rsid w:val="00BC48D5"/>
    <w:rsid w:val="00BE72EC"/>
    <w:rsid w:val="00BF22D9"/>
    <w:rsid w:val="00C043B4"/>
    <w:rsid w:val="00C06806"/>
    <w:rsid w:val="00C07367"/>
    <w:rsid w:val="00C16B9B"/>
    <w:rsid w:val="00C36279"/>
    <w:rsid w:val="00C54509"/>
    <w:rsid w:val="00C54749"/>
    <w:rsid w:val="00C55B23"/>
    <w:rsid w:val="00C63BB2"/>
    <w:rsid w:val="00C642CA"/>
    <w:rsid w:val="00C66372"/>
    <w:rsid w:val="00C77041"/>
    <w:rsid w:val="00C837C7"/>
    <w:rsid w:val="00C940BD"/>
    <w:rsid w:val="00C956D2"/>
    <w:rsid w:val="00CA07D6"/>
    <w:rsid w:val="00CE22C1"/>
    <w:rsid w:val="00CF445A"/>
    <w:rsid w:val="00D01F3B"/>
    <w:rsid w:val="00D56541"/>
    <w:rsid w:val="00D618D0"/>
    <w:rsid w:val="00D6465C"/>
    <w:rsid w:val="00D7392B"/>
    <w:rsid w:val="00D81D1B"/>
    <w:rsid w:val="00D83C91"/>
    <w:rsid w:val="00D86A3A"/>
    <w:rsid w:val="00D918DB"/>
    <w:rsid w:val="00D928E4"/>
    <w:rsid w:val="00DD6E57"/>
    <w:rsid w:val="00DF6A61"/>
    <w:rsid w:val="00E06272"/>
    <w:rsid w:val="00E06AF2"/>
    <w:rsid w:val="00E17804"/>
    <w:rsid w:val="00E315A3"/>
    <w:rsid w:val="00E327A4"/>
    <w:rsid w:val="00E4301E"/>
    <w:rsid w:val="00E64EFB"/>
    <w:rsid w:val="00E65362"/>
    <w:rsid w:val="00E772C7"/>
    <w:rsid w:val="00EC070F"/>
    <w:rsid w:val="00EC2C04"/>
    <w:rsid w:val="00EC3607"/>
    <w:rsid w:val="00EF5675"/>
    <w:rsid w:val="00EF76D7"/>
    <w:rsid w:val="00F034D4"/>
    <w:rsid w:val="00F1124E"/>
    <w:rsid w:val="00F166BF"/>
    <w:rsid w:val="00F6487B"/>
    <w:rsid w:val="00F7653E"/>
    <w:rsid w:val="00F843A6"/>
    <w:rsid w:val="00F875A6"/>
    <w:rsid w:val="00F930BB"/>
    <w:rsid w:val="00F956A6"/>
    <w:rsid w:val="00FA05D3"/>
    <w:rsid w:val="00FB26C8"/>
    <w:rsid w:val="00FB681B"/>
    <w:rsid w:val="00FC771E"/>
    <w:rsid w:val="00FD2DE4"/>
    <w:rsid w:val="00FF52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C06806"/>
    <w:pPr>
      <w:keepNext/>
      <w:keepLines/>
      <w:spacing w:before="120"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uiPriority w:val="9"/>
    <w:unhideWhenUsed/>
    <w:qFormat/>
    <w:rsid w:val="00C06806"/>
    <w:pPr>
      <w:spacing w:before="240"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C06806"/>
    <w:pPr>
      <w:keepNext/>
      <w:keepLines/>
      <w:spacing w:before="120"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uiPriority w:val="9"/>
    <w:unhideWhenUsed/>
    <w:qFormat/>
    <w:rsid w:val="00C06806"/>
    <w:pPr>
      <w:spacing w:before="240"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39174">
      <w:bodyDiv w:val="1"/>
      <w:marLeft w:val="0"/>
      <w:marRight w:val="0"/>
      <w:marTop w:val="0"/>
      <w:marBottom w:val="0"/>
      <w:divBdr>
        <w:top w:val="none" w:sz="0" w:space="0" w:color="auto"/>
        <w:left w:val="none" w:sz="0" w:space="0" w:color="auto"/>
        <w:bottom w:val="none" w:sz="0" w:space="0" w:color="auto"/>
        <w:right w:val="none" w:sz="0" w:space="0" w:color="auto"/>
      </w:divBdr>
      <w:divsChild>
        <w:div w:id="1798526360">
          <w:marLeft w:val="0"/>
          <w:marRight w:val="0"/>
          <w:marTop w:val="0"/>
          <w:marBottom w:val="0"/>
          <w:divBdr>
            <w:top w:val="none" w:sz="0" w:space="0" w:color="auto"/>
            <w:left w:val="none" w:sz="0" w:space="0" w:color="auto"/>
            <w:bottom w:val="none" w:sz="0" w:space="0" w:color="auto"/>
            <w:right w:val="none" w:sz="0" w:space="0" w:color="auto"/>
          </w:divBdr>
        </w:div>
      </w:divsChild>
    </w:div>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65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0EACA-20AD-4D57-B3E0-016EF18A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4932</Words>
  <Characters>28116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1) Blurred boundaries: determining the mismatch between gradients in stock productivity and management boundaries for three species of Alaskan groundfish. 2) Using gradients in productivity to inform stock structure: a case study in Alaskan waters.</vt:lpstr>
    </vt:vector>
  </TitlesOfParts>
  <Company>Hewlett-Packard</Company>
  <LinksUpToDate>false</LinksUpToDate>
  <CharactersWithSpaces>32983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Blurred boundaries: determining the mismatch between gradients in stock productivity and management boundaries for three species of Alaskan groundfish. 2) Using gradients in productivity to inform stock structure: a case study in Alaskan waters.</dc:title>
  <dc:creator>Kelli Johnson</dc:creator>
  <cp:lastModifiedBy>Kelli Johnson</cp:lastModifiedBy>
  <cp:revision>2</cp:revision>
  <dcterms:created xsi:type="dcterms:W3CDTF">2014-09-19T14:24:00Z</dcterms:created>
  <dcterms:modified xsi:type="dcterms:W3CDTF">2014-09-19T14:24:00Z</dcterms:modified>
</cp:coreProperties>
</file>