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4.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media/image1.jpg" ContentType="image/jpe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U.S.</w:t>
      </w:r>
      <w:r>
        <w:t xml:space="preserve"> </w:t>
      </w:r>
      <w:r>
        <w:t xml:space="preserve">Stock</w:t>
      </w:r>
      <w:r>
        <w:t xml:space="preserve"> </w:t>
      </w:r>
      <w:r>
        <w:t xml:space="preserve">Assessment</w:t>
      </w:r>
      <w:r>
        <w:t xml:space="preserve"> </w:t>
      </w:r>
      <w:r>
        <w:t xml:space="preserve">Workflows</w:t>
      </w:r>
    </w:p>
    <w:p>
      <w:pPr>
        <w:pStyle w:val="Subtitle"/>
      </w:pPr>
      <w:r>
        <w:t xml:space="preserve">Tools</w:t>
      </w:r>
      <w:r>
        <w:t xml:space="preserve"> </w:t>
      </w:r>
      <w:r>
        <w:t xml:space="preserve">and</w:t>
      </w:r>
      <w:r>
        <w:t xml:space="preserve"> </w:t>
      </w:r>
      <w:r>
        <w:t xml:space="preserve">Templates</w:t>
      </w:r>
    </w:p>
    <w:p>
      <w:pPr>
        <w:pStyle w:val="Author"/>
      </w:pPr>
      <w:r>
        <w:t xml:space="preserve">Samantha</w:t>
      </w:r>
      <w:r>
        <w:t xml:space="preserve"> </w:t>
      </w:r>
      <w:r>
        <w:t xml:space="preserve">Schiano</w:t>
      </w:r>
    </w:p>
    <w:p>
      <w:pPr>
        <w:pStyle w:val="Date"/>
      </w:pPr>
      <w:r>
        <w:t xml:space="preserve">2024-04-01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Schiano, S. 2024. Summary of U.S. Stock Assessment Workflows: Tools and Templates. NOAA Fisheries Office of Science and Technology.</w:t>
      </w:r>
    </w:p>
    <w:p>
      <w:r>
        <w:br w:type="page"/>
      </w:r>
    </w:p>
    <w:bookmarkEnd w:id="20"/>
    <w:bookmarkStart w:id="21" w:name="summary"/>
    <w:p>
      <w:pPr>
        <w:pStyle w:val="Heading1"/>
      </w:pPr>
      <w:r>
        <w:t xml:space="preserve">1. Summary</w:t>
      </w:r>
    </w:p>
    <w:p>
      <w:pPr>
        <w:pStyle w:val="FirstParagraph"/>
      </w:pPr>
      <w:r>
        <w:t xml:space="preserve">Developing and producing a stock assessment report requires a considerable amount of data consolidation, analysis, and research. Reports can range from 10 pages to well over 300, but the goal of the process remains to provide management advice with the current and projected status of the stock, catches, and other important parameters to ensure its sustainability. There have been many efforts done to improve the reproducibility of workflows and reduce time it takes to produce these reports. So far,improvements and efforts have ranged considerably by region of the U.S. Specifically, each of the seven regional fishery science centers across the U.S. have their own workflows to assess a stock and produce its report. Many of these workflows are guided by requirements from fishery management councils and other involved managing bodies that utilize these reports to delegate fishery regulations.</w:t>
      </w:r>
    </w:p>
    <w:p>
      <w:pPr>
        <w:pStyle w:val="BodyText"/>
      </w:pPr>
      <w:r>
        <w:t xml:space="preserve">Workflows across the country not only range from region to region, but from scientist to scientist. There is no current standardized or accepted best practice for producing a stock assessment report. Some centers rely on the use of latex, a common software to produce documents with in-text calculations, while others utilize more recently developed programs like Rmarkdown and quarto, which both use latex as a basis for their production. Others utilize the capacity of Microsoft word which restricts the reproducibility of a report as well as increases work time since figures, tables, and other associated resources must be compiled outside of the word document.</w:t>
      </w:r>
    </w:p>
    <w:p>
      <w:pPr>
        <w:pStyle w:val="BodyText"/>
      </w:pPr>
      <w:r>
        <w:rPr>
          <w:bCs/>
          <w:b/>
        </w:rPr>
        <w:t xml:space="preserve">Description of interaction and list of fishery management coucils across the US</w:t>
      </w:r>
    </w:p>
    <w:bookmarkEnd w:id="21"/>
    <w:bookmarkStart w:id="22" w:name="X8247ca1a1191d31d6ade0a5e4fd6293a7751e9f"/>
    <w:p>
      <w:pPr>
        <w:pStyle w:val="Heading1"/>
      </w:pPr>
      <w:r>
        <w:t xml:space="preserve">2. General Stock Assessment Workflow Structure</w:t>
      </w:r>
    </w:p>
    <w:p>
      <w:pPr>
        <w:numPr>
          <w:ilvl w:val="0"/>
          <w:numId w:val="1001"/>
        </w:numPr>
        <w:pStyle w:val="Compact"/>
      </w:pPr>
      <w:r>
        <w:t xml:space="preserve">Description of stock assessment workflows from input to bringing the report to the SSC and council(s) for evaluation and adoption of formal management measures resulting from recommendations</w:t>
      </w:r>
    </w:p>
    <w:bookmarkEnd w:id="22"/>
    <w:bookmarkStart w:id="23" w:name="stock-assessment-models"/>
    <w:p>
      <w:pPr>
        <w:pStyle w:val="Heading1"/>
      </w:pPr>
      <w:r>
        <w:t xml:space="preserve">3. Stock Assessment Models</w:t>
      </w:r>
    </w:p>
    <w:p>
      <w:pPr>
        <w:pStyle w:val="FirstParagraph"/>
      </w:pPr>
      <w:r>
        <w:t xml:space="preserve">[Short descriptions of commonly used stock assessment models within the U.S. including acknowledgement of smaller used models and FIMS for the future]</w:t>
      </w:r>
    </w:p>
    <w:p>
      <w:pPr>
        <w:numPr>
          <w:ilvl w:val="0"/>
          <w:numId w:val="1002"/>
        </w:numPr>
      </w:pPr>
      <w:r>
        <w:t xml:space="preserve">WHAM</w:t>
      </w:r>
    </w:p>
    <w:p>
      <w:pPr>
        <w:numPr>
          <w:ilvl w:val="0"/>
          <w:numId w:val="1002"/>
        </w:numPr>
      </w:pPr>
      <w:r>
        <w:t xml:space="preserve">SS</w:t>
      </w:r>
    </w:p>
    <w:p>
      <w:pPr>
        <w:numPr>
          <w:ilvl w:val="0"/>
          <w:numId w:val="1002"/>
        </w:numPr>
      </w:pPr>
      <w:r>
        <w:t xml:space="preserve">BAM</w:t>
      </w:r>
    </w:p>
    <w:p>
      <w:pPr>
        <w:numPr>
          <w:ilvl w:val="0"/>
          <w:numId w:val="1002"/>
        </w:numPr>
      </w:pPr>
      <w:r>
        <w:t xml:space="preserve">ASAP</w:t>
      </w:r>
    </w:p>
    <w:p>
      <w:pPr>
        <w:numPr>
          <w:ilvl w:val="0"/>
          <w:numId w:val="1002"/>
        </w:numPr>
      </w:pPr>
      <w:r>
        <w:t xml:space="preserve">AMAK</w:t>
      </w:r>
    </w:p>
    <w:p>
      <w:pPr>
        <w:numPr>
          <w:ilvl w:val="0"/>
          <w:numId w:val="1002"/>
        </w:numPr>
      </w:pPr>
      <w:r>
        <w:t xml:space="preserve">Bespoke</w:t>
      </w:r>
    </w:p>
    <w:p>
      <w:pPr>
        <w:numPr>
          <w:ilvl w:val="0"/>
          <w:numId w:val="1002"/>
        </w:numPr>
      </w:pPr>
      <w:r>
        <w:t xml:space="preserve">FIMS</w:t>
      </w:r>
    </w:p>
    <w:bookmarkEnd w:id="23"/>
    <w:bookmarkStart w:id="29" w:name="alaska-fisheries-science-center-afsc"/>
    <w:p>
      <w:pPr>
        <w:pStyle w:val="Heading1"/>
      </w:pPr>
      <w:r>
        <w:t xml:space="preserve">4. Alaska Fisheries Science Center (AFSC)</w:t>
      </w:r>
    </w:p>
    <w:bookmarkStart w:id="26" w:name="resources"/>
    <w:p>
      <w:pPr>
        <w:pStyle w:val="Heading2"/>
      </w:pPr>
      <w:r>
        <w:t xml:space="preserve">4.1 Resources</w:t>
      </w:r>
    </w:p>
    <w:p>
      <w:pPr>
        <w:pStyle w:val="FirstParagraph"/>
      </w:pPr>
      <w:r>
        <w:t xml:space="preserve">AFSC takes advantage of multiple packages and templates built to help produce stock assessment reports. They have also built their own tools to improve and streamline their workflows. These tools include:</w:t>
      </w:r>
    </w:p>
    <w:p>
      <w:pPr>
        <w:numPr>
          <w:ilvl w:val="0"/>
          <w:numId w:val="1003"/>
        </w:numPr>
        <w:pStyle w:val="Compact"/>
      </w:pPr>
      <w:r>
        <w:t xml:space="preserve">afscdata</w:t>
      </w:r>
    </w:p>
    <w:p>
      <w:pPr>
        <w:numPr>
          <w:ilvl w:val="0"/>
          <w:numId w:val="1003"/>
        </w:numPr>
        <w:pStyle w:val="Compact"/>
      </w:pPr>
      <w:r>
        <w:t xml:space="preserve">afscassess</w:t>
      </w:r>
    </w:p>
    <w:p>
      <w:pPr>
        <w:numPr>
          <w:ilvl w:val="0"/>
          <w:numId w:val="1003"/>
        </w:numPr>
        <w:pStyle w:val="Compact"/>
      </w:pPr>
      <w:r>
        <w:t xml:space="preserve">safe</w:t>
      </w:r>
    </w:p>
    <w:p>
      <w:pPr>
        <w:numPr>
          <w:ilvl w:val="0"/>
          <w:numId w:val="1003"/>
        </w:numPr>
        <w:pStyle w:val="Compact"/>
      </w:pPr>
      <w:r>
        <w:t xml:space="preserve">r4ss</w:t>
      </w:r>
    </w:p>
    <w:bookmarkStart w:id="25" w:name="afscdata"/>
    <w:p>
      <w:pPr>
        <w:pStyle w:val="Heading3"/>
      </w:pPr>
      <w:r>
        <w:t xml:space="preserve">4.1.1 afscdata</w:t>
      </w:r>
    </w:p>
    <w:p>
      <w:pPr>
        <w:pStyle w:val="FirstParagraph"/>
      </w:pPr>
      <w:hyperlink r:id="rId24">
        <w:r>
          <w:rPr>
            <w:rStyle w:val="Hyperlink"/>
          </w:rPr>
          <w:t xml:space="preserve">Github Repository</w:t>
        </w:r>
      </w:hyperlink>
    </w:p>
    <w:p>
      <w:pPr>
        <w:pStyle w:val="BodyText"/>
      </w:pPr>
      <w:r>
        <w:t xml:space="preserve">This R package was developed in order to extract fishery data for use in analyses and stock assessment models. Various functions query data from a connected database. There are various functions dependent on the target species which extract .csv files with a time stamp of the query.</w:t>
      </w:r>
    </w:p>
    <w:p>
      <w:pPr>
        <w:pStyle w:val="BodyText"/>
      </w:pPr>
      <w:r>
        <w:rPr>
          <w:bCs/>
          <w:b/>
        </w:rPr>
        <w:t xml:space="preserve">Other tools to describe:</w:t>
      </w:r>
    </w:p>
    <w:p>
      <w:pPr>
        <w:numPr>
          <w:ilvl w:val="0"/>
          <w:numId w:val="1004"/>
        </w:numPr>
      </w:pPr>
      <w:r>
        <w:t xml:space="preserve">afscassess</w:t>
      </w:r>
    </w:p>
    <w:p>
      <w:pPr>
        <w:numPr>
          <w:ilvl w:val="0"/>
          <w:numId w:val="1004"/>
        </w:numPr>
      </w:pPr>
      <w:r>
        <w:t xml:space="preserve">safe reporting</w:t>
      </w:r>
    </w:p>
    <w:bookmarkEnd w:id="25"/>
    <w:bookmarkEnd w:id="26"/>
    <w:bookmarkStart w:id="28" w:name="workflow"/>
    <w:p>
      <w:pPr>
        <w:pStyle w:val="Heading2"/>
      </w:pPr>
      <w:r>
        <w:t xml:space="preserve">4.2 Workflow</w:t>
      </w:r>
    </w:p>
    <w:p>
      <w:pPr>
        <w:numPr>
          <w:ilvl w:val="0"/>
          <w:numId w:val="1005"/>
        </w:numPr>
        <w:pStyle w:val="Compact"/>
      </w:pPr>
      <w:r>
        <w:t xml:space="preserve">Full assessments vs. partial assessments vs. model review</w:t>
      </w:r>
    </w:p>
    <w:p>
      <w:pPr>
        <w:pStyle w:val="SourceCode"/>
      </w:pPr>
      <w:r>
        <w:rPr>
          <w:rStyle w:val="VerbatimChar"/>
        </w:rPr>
        <w:t xml:space="preserve">-   Add'l harvest projections</w:t>
      </w:r>
    </w:p>
    <w:p>
      <w:pPr>
        <w:numPr>
          <w:ilvl w:val="0"/>
          <w:numId w:val="1006"/>
        </w:numPr>
      </w:pPr>
      <w:r>
        <w:t xml:space="preserve">Operational &amp; stock monitoring update</w:t>
      </w:r>
    </w:p>
    <w:p>
      <w:pPr>
        <w:numPr>
          <w:ilvl w:val="0"/>
          <w:numId w:val="1006"/>
        </w:numPr>
      </w:pPr>
      <w:r>
        <w:t xml:space="preserve">Annual and bi-annual assessments (+ some every 4 yrs)</w:t>
      </w:r>
    </w:p>
    <w:p>
      <w:pPr>
        <w:numPr>
          <w:ilvl w:val="0"/>
          <w:numId w:val="1006"/>
        </w:numPr>
      </w:pPr>
      <w:r>
        <w:t xml:space="preserve">bespoke and SS models</w:t>
      </w:r>
    </w:p>
    <w:bookmarkStart w:id="27" w:name="assessment-outlines"/>
    <w:p>
      <w:pPr>
        <w:pStyle w:val="Heading4"/>
      </w:pPr>
      <w:r>
        <w:t xml:space="preserve">4.2.0.1 Assessment Outlines</w:t>
      </w:r>
    </w:p>
    <w:p>
      <w:pPr>
        <w:numPr>
          <w:ilvl w:val="0"/>
          <w:numId w:val="1007"/>
        </w:numPr>
        <w:pStyle w:val="Compact"/>
      </w:pPr>
      <w:r>
        <w:t xml:space="preserve">Outlines as agreed upon in the TOR from council</w:t>
      </w:r>
    </w:p>
    <w:bookmarkEnd w:id="27"/>
    <w:bookmarkEnd w:id="28"/>
    <w:bookmarkEnd w:id="29"/>
    <w:bookmarkStart w:id="32" w:name="northeast-fisheries-science-center-nefsc"/>
    <w:p>
      <w:pPr>
        <w:pStyle w:val="Heading1"/>
      </w:pPr>
      <w:r>
        <w:t xml:space="preserve">5. Northeast Fisheries Science Center (NEFSC)</w:t>
      </w:r>
    </w:p>
    <w:p>
      <w:pPr>
        <w:numPr>
          <w:ilvl w:val="0"/>
          <w:numId w:val="1008"/>
        </w:numPr>
      </w:pPr>
      <w:r>
        <w:t xml:space="preserve">Summary of their process and broken down by subregion if applicable</w:t>
      </w:r>
    </w:p>
    <w:p>
      <w:pPr>
        <w:numPr>
          <w:ilvl w:val="0"/>
          <w:numId w:val="1008"/>
        </w:numPr>
      </w:pPr>
      <w:r>
        <w:t xml:space="preserve">Discuss impact of multiple fishery management councils and other RFMOs for document guidance and content delegation</w:t>
      </w:r>
    </w:p>
    <w:bookmarkStart w:id="30" w:name="resources-1"/>
    <w:p>
      <w:pPr>
        <w:pStyle w:val="Heading2"/>
      </w:pPr>
      <w:r>
        <w:t xml:space="preserve">5.1 Resources</w:t>
      </w:r>
    </w:p>
    <w:p>
      <w:pPr>
        <w:numPr>
          <w:ilvl w:val="0"/>
          <w:numId w:val="1009"/>
        </w:numPr>
      </w:pPr>
      <w:r>
        <w:t xml:space="preserve">table of current resources that guide their workflow?</w:t>
      </w:r>
    </w:p>
    <w:p>
      <w:pPr>
        <w:numPr>
          <w:ilvl w:val="0"/>
          <w:numId w:val="1009"/>
        </w:numPr>
      </w:pPr>
      <w:r>
        <w:t xml:space="preserve">Alternative is descriptions of different resources used in the process as described in the AFSC section example</w:t>
      </w:r>
    </w:p>
    <w:p>
      <w:pPr>
        <w:pStyle w:val="FirstParagraph"/>
      </w:pPr>
      <w:r>
        <w:rPr>
          <w:bCs/>
          <w:b/>
        </w:rPr>
        <w:t xml:space="preserve">Tools to describe:</w:t>
      </w:r>
    </w:p>
    <w:p>
      <w:pPr>
        <w:numPr>
          <w:ilvl w:val="0"/>
          <w:numId w:val="1010"/>
        </w:numPr>
        <w:pStyle w:val="Compact"/>
      </w:pPr>
      <w:r>
        <w:t xml:space="preserve">ASAPplots</w:t>
      </w:r>
    </w:p>
    <w:bookmarkEnd w:id="30"/>
    <w:bookmarkStart w:id="31" w:name="workflowtor"/>
    <w:p>
      <w:pPr>
        <w:pStyle w:val="Heading2"/>
      </w:pPr>
      <w:r>
        <w:t xml:space="preserve">5.2 Workflow/TOR</w:t>
      </w:r>
    </w:p>
    <w:p>
      <w:pPr>
        <w:numPr>
          <w:ilvl w:val="0"/>
          <w:numId w:val="1011"/>
        </w:numPr>
      </w:pPr>
      <w:r>
        <w:t xml:space="preserve">Discussion of the process for the workflow in the region - described like methods</w:t>
      </w:r>
    </w:p>
    <w:p>
      <w:pPr>
        <w:numPr>
          <w:ilvl w:val="1"/>
          <w:numId w:val="1012"/>
        </w:numPr>
        <w:pStyle w:val="Compact"/>
      </w:pPr>
      <w:r>
        <w:t xml:space="preserve">Subsections for 508 compliance efforts and tools?</w:t>
      </w:r>
    </w:p>
    <w:p>
      <w:pPr>
        <w:pStyle w:val="FirstParagraph"/>
      </w:pPr>
      <w:r>
        <w:t xml:space="preserve">Adding example citation in a sentence to test using them and allowing render</w:t>
      </w:r>
      <w:r>
        <w:t xml:space="preserve"> </w:t>
      </w:r>
      <w:r>
        <w:t xml:space="preserve">(Clark 1993)</w:t>
      </w:r>
      <w:r>
        <w:t xml:space="preserve">.</w:t>
      </w:r>
    </w:p>
    <w:bookmarkEnd w:id="31"/>
    <w:bookmarkEnd w:id="32"/>
    <w:bookmarkStart w:id="35" w:name="northwest-fisheries-science-center-nwfsc"/>
    <w:p>
      <w:pPr>
        <w:pStyle w:val="Heading1"/>
      </w:pPr>
      <w:r>
        <w:t xml:space="preserve">6. Northwest Fisheries Science Center (NWFSC)</w:t>
      </w:r>
    </w:p>
    <w:p>
      <w:pPr>
        <w:numPr>
          <w:ilvl w:val="0"/>
          <w:numId w:val="1013"/>
        </w:numPr>
      </w:pPr>
      <w:r>
        <w:t xml:space="preserve">Summary of their process and broken down by subregion if applicable</w:t>
      </w:r>
    </w:p>
    <w:p>
      <w:pPr>
        <w:numPr>
          <w:ilvl w:val="0"/>
          <w:numId w:val="1013"/>
        </w:numPr>
      </w:pPr>
      <w:r>
        <w:t xml:space="preserve">Discuss impact of multiple fishery management councils and other RFMOs for document guidance and content delegation</w:t>
      </w:r>
    </w:p>
    <w:bookmarkStart w:id="33" w:name="resources-2"/>
    <w:p>
      <w:pPr>
        <w:pStyle w:val="Heading2"/>
      </w:pPr>
      <w:r>
        <w:t xml:space="preserve">6.1 Resources</w:t>
      </w:r>
    </w:p>
    <w:p>
      <w:pPr>
        <w:numPr>
          <w:ilvl w:val="0"/>
          <w:numId w:val="1014"/>
        </w:numPr>
        <w:pStyle w:val="Compact"/>
      </w:pPr>
      <w:r>
        <w:t xml:space="preserve">table of current resources that guide their workflow?</w:t>
      </w:r>
    </w:p>
    <w:p>
      <w:pPr>
        <w:pStyle w:val="FirstParagraph"/>
      </w:pPr>
      <w:r>
        <w:rPr>
          <w:bCs/>
          <w:b/>
        </w:rPr>
        <w:t xml:space="preserve">Tools to describe:</w:t>
      </w:r>
    </w:p>
    <w:p>
      <w:pPr>
        <w:numPr>
          <w:ilvl w:val="0"/>
          <w:numId w:val="1015"/>
        </w:numPr>
        <w:pStyle w:val="Compact"/>
      </w:pPr>
      <w:r>
        <w:t xml:space="preserve">r4ss</w:t>
      </w:r>
    </w:p>
    <w:p>
      <w:pPr>
        <w:numPr>
          <w:ilvl w:val="0"/>
          <w:numId w:val="1015"/>
        </w:numPr>
        <w:pStyle w:val="Compact"/>
      </w:pPr>
      <w:r>
        <w:t xml:space="preserve">sa4ss</w:t>
      </w:r>
    </w:p>
    <w:p>
      <w:pPr>
        <w:numPr>
          <w:ilvl w:val="0"/>
          <w:numId w:val="1015"/>
        </w:numPr>
        <w:pStyle w:val="Compact"/>
      </w:pPr>
      <w:r>
        <w:t xml:space="preserve">SASINF</w:t>
      </w:r>
    </w:p>
    <w:p>
      <w:pPr>
        <w:numPr>
          <w:ilvl w:val="0"/>
          <w:numId w:val="1015"/>
        </w:numPr>
        <w:pStyle w:val="Compact"/>
      </w:pPr>
      <w:r>
        <w:t xml:space="preserve">Other tools used in process?</w:t>
      </w:r>
    </w:p>
    <w:bookmarkEnd w:id="33"/>
    <w:bookmarkStart w:id="34" w:name="workflowtors"/>
    <w:p>
      <w:pPr>
        <w:pStyle w:val="Heading2"/>
      </w:pPr>
      <w:r>
        <w:t xml:space="preserve">6.2 Workflow/TOR(s)</w:t>
      </w:r>
    </w:p>
    <w:p>
      <w:pPr>
        <w:numPr>
          <w:ilvl w:val="0"/>
          <w:numId w:val="1016"/>
        </w:numPr>
      </w:pPr>
      <w:r>
        <w:t xml:space="preserve">Discussion of the process for the workflow in the region - described like methods</w:t>
      </w:r>
    </w:p>
    <w:p>
      <w:pPr>
        <w:numPr>
          <w:ilvl w:val="1"/>
          <w:numId w:val="1017"/>
        </w:numPr>
        <w:pStyle w:val="Compact"/>
      </w:pPr>
      <w:r>
        <w:t xml:space="preserve">Subsections for 508 compliance and tools?</w:t>
      </w:r>
    </w:p>
    <w:bookmarkEnd w:id="34"/>
    <w:bookmarkEnd w:id="35"/>
    <w:bookmarkStart w:id="39" w:name="X2abfe55efcfddde84f9e02d903c4db541afb0d9"/>
    <w:p>
      <w:pPr>
        <w:pStyle w:val="Heading1"/>
      </w:pPr>
      <w:r>
        <w:t xml:space="preserve">7. Pacific Islands Fisheries Science Center (PIFSC)</w:t>
      </w:r>
    </w:p>
    <w:p>
      <w:pPr>
        <w:numPr>
          <w:ilvl w:val="0"/>
          <w:numId w:val="1018"/>
        </w:numPr>
      </w:pPr>
      <w:r>
        <w:t xml:space="preserve">Summary of their process and broken down by subregion if applicable</w:t>
      </w:r>
    </w:p>
    <w:p>
      <w:pPr>
        <w:numPr>
          <w:ilvl w:val="0"/>
          <w:numId w:val="1018"/>
        </w:numPr>
      </w:pPr>
      <w:r>
        <w:t xml:space="preserve">Discuss impact of multiple fishery management councils and other RFMOs for document guidance and content delegation</w:t>
      </w:r>
    </w:p>
    <w:bookmarkStart w:id="37" w:name="resources-3"/>
    <w:p>
      <w:pPr>
        <w:pStyle w:val="Heading2"/>
      </w:pPr>
      <w:r>
        <w:t xml:space="preserve">7.1 Resources</w:t>
      </w:r>
    </w:p>
    <w:p>
      <w:pPr>
        <w:numPr>
          <w:ilvl w:val="0"/>
          <w:numId w:val="1019"/>
        </w:numPr>
        <w:pStyle w:val="Compact"/>
      </w:pPr>
      <w:r>
        <w:t xml:space="preserve">table of current resources that guide their workflow?</w:t>
      </w:r>
    </w:p>
    <w:p>
      <w:pPr>
        <w:pStyle w:val="FirstParagraph"/>
      </w:pPr>
      <w:r>
        <w:rPr>
          <w:bCs/>
          <w:b/>
        </w:rPr>
        <w:t xml:space="preserve">Tools to describe:</w:t>
      </w:r>
    </w:p>
    <w:p>
      <w:pPr>
        <w:numPr>
          <w:ilvl w:val="0"/>
          <w:numId w:val="1020"/>
        </w:numPr>
      </w:pPr>
      <w:hyperlink r:id="rId36">
        <w:r>
          <w:rPr>
            <w:rStyle w:val="Hyperlink"/>
          </w:rPr>
          <w:t xml:space="preserve">bottomfish report script</w:t>
        </w:r>
      </w:hyperlink>
    </w:p>
    <w:p>
      <w:pPr>
        <w:numPr>
          <w:ilvl w:val="0"/>
          <w:numId w:val="1020"/>
        </w:numPr>
      </w:pPr>
      <w:r>
        <w:t xml:space="preserve">Stock assessment report repo</w:t>
      </w:r>
    </w:p>
    <w:bookmarkEnd w:id="37"/>
    <w:bookmarkStart w:id="38" w:name="workflowtor-1"/>
    <w:p>
      <w:pPr>
        <w:pStyle w:val="Heading2"/>
      </w:pPr>
      <w:r>
        <w:t xml:space="preserve">7.2 Workflow/TOR</w:t>
      </w:r>
    </w:p>
    <w:p>
      <w:pPr>
        <w:numPr>
          <w:ilvl w:val="0"/>
          <w:numId w:val="1021"/>
        </w:numPr>
      </w:pPr>
      <w:r>
        <w:t xml:space="preserve">Discussion of the process for the workflow in the region - described like methods</w:t>
      </w:r>
    </w:p>
    <w:p>
      <w:pPr>
        <w:numPr>
          <w:ilvl w:val="1"/>
          <w:numId w:val="1022"/>
        </w:numPr>
        <w:pStyle w:val="Compact"/>
      </w:pPr>
      <w:r>
        <w:t xml:space="preserve">Subsections for 508 compliance and tools?</w:t>
      </w:r>
    </w:p>
    <w:bookmarkEnd w:id="38"/>
    <w:bookmarkEnd w:id="39"/>
    <w:bookmarkStart w:id="42" w:name="southeast-fisheries-science-center-sefsc"/>
    <w:p>
      <w:pPr>
        <w:pStyle w:val="Heading1"/>
      </w:pPr>
      <w:r>
        <w:t xml:space="preserve">8. Southeast Fisheries Science Center (SEFSC)</w:t>
      </w:r>
    </w:p>
    <w:p>
      <w:pPr>
        <w:numPr>
          <w:ilvl w:val="0"/>
          <w:numId w:val="1023"/>
        </w:numPr>
      </w:pPr>
      <w:r>
        <w:t xml:space="preserve">Summary of their process and broken down by subregion if applicable</w:t>
      </w:r>
    </w:p>
    <w:p>
      <w:pPr>
        <w:numPr>
          <w:ilvl w:val="0"/>
          <w:numId w:val="1023"/>
        </w:numPr>
      </w:pPr>
      <w:r>
        <w:t xml:space="preserve">Discuss impact of multiple fishery management councils and other RFMOs for document guidance and content delegation</w:t>
      </w:r>
    </w:p>
    <w:bookmarkStart w:id="40" w:name="resources-4"/>
    <w:p>
      <w:pPr>
        <w:pStyle w:val="Heading2"/>
      </w:pPr>
      <w:r>
        <w:t xml:space="preserve">8.1 Resources</w:t>
      </w:r>
    </w:p>
    <w:p>
      <w:pPr>
        <w:numPr>
          <w:ilvl w:val="0"/>
          <w:numId w:val="1024"/>
        </w:numPr>
        <w:pStyle w:val="Compact"/>
      </w:pPr>
      <w:r>
        <w:t xml:space="preserve">table of current resources that guide their workflow?</w:t>
      </w:r>
    </w:p>
    <w:p>
      <w:pPr>
        <w:pStyle w:val="FirstParagraph"/>
      </w:pPr>
      <w:r>
        <w:rPr>
          <w:bCs/>
          <w:b/>
        </w:rPr>
        <w:t xml:space="preserve">Tools to describe:</w:t>
      </w:r>
    </w:p>
    <w:p>
      <w:pPr>
        <w:numPr>
          <w:ilvl w:val="0"/>
          <w:numId w:val="1025"/>
        </w:numPr>
      </w:pPr>
      <w:r>
        <w:t xml:space="preserve">r4ss*</w:t>
      </w:r>
    </w:p>
    <w:p>
      <w:pPr>
        <w:numPr>
          <w:ilvl w:val="0"/>
          <w:numId w:val="1025"/>
        </w:numPr>
      </w:pPr>
      <w:r>
        <w:t xml:space="preserve">SEDAR-Assessment-Report template (GOM)</w:t>
      </w:r>
    </w:p>
    <w:p>
      <w:pPr>
        <w:numPr>
          <w:ilvl w:val="0"/>
          <w:numId w:val="1025"/>
        </w:numPr>
      </w:pPr>
      <w:r>
        <w:t xml:space="preserve">Latex template (SA)</w:t>
      </w:r>
    </w:p>
    <w:bookmarkEnd w:id="40"/>
    <w:bookmarkStart w:id="41" w:name="workflowtors-1"/>
    <w:p>
      <w:pPr>
        <w:pStyle w:val="Heading2"/>
      </w:pPr>
      <w:r>
        <w:t xml:space="preserve">8.2 Workflow/TOR(s)</w:t>
      </w:r>
    </w:p>
    <w:p>
      <w:pPr>
        <w:numPr>
          <w:ilvl w:val="0"/>
          <w:numId w:val="1026"/>
        </w:numPr>
      </w:pPr>
      <w:r>
        <w:t xml:space="preserve">Discussion of the process for the workflow in the region - described like methods</w:t>
      </w:r>
    </w:p>
    <w:p>
      <w:pPr>
        <w:numPr>
          <w:ilvl w:val="1"/>
          <w:numId w:val="1027"/>
        </w:numPr>
        <w:pStyle w:val="Compact"/>
      </w:pPr>
      <w:r>
        <w:t xml:space="preserve">Subsections for 508 compliance and tools?</w:t>
      </w:r>
    </w:p>
    <w:bookmarkEnd w:id="41"/>
    <w:bookmarkEnd w:id="42"/>
    <w:bookmarkStart w:id="48" w:name="southwest-fisheries-science-center-swfsc"/>
    <w:p>
      <w:pPr>
        <w:pStyle w:val="Heading1"/>
      </w:pPr>
      <w:r>
        <w:t xml:space="preserve">9. Southwest Fisheries Science Center (SWFSC)</w:t>
      </w:r>
    </w:p>
    <w:p>
      <w:pPr>
        <w:numPr>
          <w:ilvl w:val="0"/>
          <w:numId w:val="1028"/>
        </w:numPr>
      </w:pPr>
      <w:r>
        <w:t xml:space="preserve">Summary of their process and broken down by subregion if applicable</w:t>
      </w:r>
    </w:p>
    <w:p>
      <w:pPr>
        <w:numPr>
          <w:ilvl w:val="0"/>
          <w:numId w:val="1028"/>
        </w:numPr>
      </w:pPr>
      <w:r>
        <w:t xml:space="preserve">Discuss impact of multiple fishery management councils and other RFMOs for document guidance and content delegation</w:t>
      </w:r>
    </w:p>
    <w:bookmarkStart w:id="46" w:name="resources-5"/>
    <w:p>
      <w:pPr>
        <w:pStyle w:val="Heading2"/>
      </w:pPr>
      <w:r>
        <w:t xml:space="preserve">9.1 Resources</w:t>
      </w:r>
    </w:p>
    <w:p>
      <w:pPr>
        <w:numPr>
          <w:ilvl w:val="0"/>
          <w:numId w:val="1029"/>
        </w:numPr>
        <w:pStyle w:val="Compact"/>
      </w:pPr>
      <w:r>
        <w:t xml:space="preserve">table of current resources that guide their workflow?</w:t>
      </w:r>
    </w:p>
    <w:p>
      <w:pPr>
        <w:pStyle w:val="FirstParagraph"/>
      </w:pPr>
      <w:r>
        <w:rPr>
          <w:bCs/>
          <w:b/>
        </w:rPr>
        <w:t xml:space="preserve">Tools to describe:</w:t>
      </w:r>
    </w:p>
    <w:p>
      <w:pPr>
        <w:numPr>
          <w:ilvl w:val="0"/>
          <w:numId w:val="1030"/>
        </w:numPr>
      </w:pPr>
      <w:hyperlink r:id="rId43">
        <w:r>
          <w:rPr>
            <w:rStyle w:val="Hyperlink"/>
          </w:rPr>
          <w:t xml:space="preserve">Stock assessment template</w:t>
        </w:r>
      </w:hyperlink>
    </w:p>
    <w:p>
      <w:pPr>
        <w:numPr>
          <w:ilvl w:val="0"/>
          <w:numId w:val="1030"/>
        </w:numPr>
      </w:pPr>
      <w:hyperlink r:id="rId44">
        <w:r>
          <w:rPr>
            <w:rStyle w:val="Hyperlink"/>
          </w:rPr>
          <w:t xml:space="preserve">R process output</w:t>
        </w:r>
      </w:hyperlink>
    </w:p>
    <w:p>
      <w:pPr>
        <w:numPr>
          <w:ilvl w:val="0"/>
          <w:numId w:val="1030"/>
        </w:numPr>
      </w:pPr>
      <w:hyperlink r:id="rId45">
        <w:r>
          <w:rPr>
            <w:rStyle w:val="Hyperlink"/>
          </w:rPr>
          <w:t xml:space="preserve">swfscMisc</w:t>
        </w:r>
      </w:hyperlink>
    </w:p>
    <w:p>
      <w:pPr>
        <w:numPr>
          <w:ilvl w:val="0"/>
          <w:numId w:val="1030"/>
        </w:numPr>
      </w:pPr>
      <w:r>
        <w:t xml:space="preserve">r4ss*</w:t>
      </w:r>
    </w:p>
    <w:bookmarkEnd w:id="46"/>
    <w:bookmarkStart w:id="47" w:name="workflowtor-2"/>
    <w:p>
      <w:pPr>
        <w:pStyle w:val="Heading2"/>
      </w:pPr>
      <w:r>
        <w:t xml:space="preserve">9.2 Workflow/TOR</w:t>
      </w:r>
    </w:p>
    <w:p>
      <w:pPr>
        <w:numPr>
          <w:ilvl w:val="0"/>
          <w:numId w:val="1031"/>
        </w:numPr>
      </w:pPr>
      <w:r>
        <w:t xml:space="preserve">Discussion of the process for the workflow in the region - described like methods</w:t>
      </w:r>
    </w:p>
    <w:p>
      <w:pPr>
        <w:numPr>
          <w:ilvl w:val="1"/>
          <w:numId w:val="1032"/>
        </w:numPr>
        <w:pStyle w:val="Compact"/>
      </w:pPr>
      <w:r>
        <w:t xml:space="preserve">Subsections for 508 compliance and tools?</w:t>
      </w:r>
    </w:p>
    <w:bookmarkEnd w:id="47"/>
    <w:bookmarkEnd w:id="48"/>
    <w:bookmarkStart w:id="50" w:name="conclusions"/>
    <w:p>
      <w:pPr>
        <w:pStyle w:val="Heading1"/>
      </w:pPr>
      <w:r>
        <w:t xml:space="preserve">10. Conclusions</w:t>
      </w:r>
    </w:p>
    <w:p>
      <w:pPr>
        <w:numPr>
          <w:ilvl w:val="0"/>
          <w:numId w:val="1033"/>
        </w:numPr>
      </w:pPr>
      <w:r>
        <w:t xml:space="preserve">Conclusions about how workflows operate in the U.S.</w:t>
      </w:r>
    </w:p>
    <w:p>
      <w:pPr>
        <w:numPr>
          <w:ilvl w:val="1"/>
          <w:numId w:val="1034"/>
        </w:numPr>
      </w:pPr>
      <w:r>
        <w:t xml:space="preserve">Both pros and pitfalls of current workflows</w:t>
      </w:r>
    </w:p>
    <w:p>
      <w:pPr>
        <w:numPr>
          <w:ilvl w:val="1"/>
          <w:numId w:val="1034"/>
        </w:numPr>
      </w:pPr>
      <w:r>
        <w:t xml:space="preserve">Incorporating perspectives from regional scientists?</w:t>
      </w:r>
    </w:p>
    <w:p>
      <w:pPr>
        <w:numPr>
          <w:ilvl w:val="0"/>
          <w:numId w:val="1033"/>
        </w:numPr>
      </w:pPr>
      <w:r>
        <w:t xml:space="preserve">Additional hope for greater look into the inputs and pulling together the entire stock assessment workflow process</w:t>
      </w:r>
    </w:p>
    <w:bookmarkStart w:id="49" w:name="future-work"/>
    <w:p>
      <w:pPr>
        <w:pStyle w:val="Heading2"/>
      </w:pPr>
      <w:r>
        <w:t xml:space="preserve">10.1 Future Work</w:t>
      </w:r>
    </w:p>
    <w:p>
      <w:pPr>
        <w:numPr>
          <w:ilvl w:val="0"/>
          <w:numId w:val="1035"/>
        </w:numPr>
        <w:pStyle w:val="Compact"/>
      </w:pPr>
      <w:r>
        <w:t xml:space="preserve">Discuss the upcoming/in development tool for automated workflows and plan for the future including stock assessment modelling for the future</w:t>
      </w:r>
    </w:p>
    <w:p>
      <w:r>
        <w:br w:type="page"/>
      </w:r>
    </w:p>
    <w:bookmarkEnd w:id="49"/>
    <w:bookmarkEnd w:id="50"/>
    <w:bookmarkStart w:id="53" w:name="references"/>
    <w:p>
      <w:pPr>
        <w:pStyle w:val="Heading1"/>
      </w:pPr>
      <w:r>
        <w:t xml:space="preserve">References</w:t>
      </w:r>
    </w:p>
    <w:bookmarkStart w:id="52" w:name="refs"/>
    <w:bookmarkStart w:id="51" w:name="ref-clark1993"/>
    <w:p>
      <w:pPr>
        <w:pStyle w:val="Bibliography"/>
      </w:pPr>
      <w:r>
        <w:t xml:space="preserve">Clark, W. G. 1993.</w:t>
      </w:r>
      <w:r>
        <w:t xml:space="preserve"> </w:t>
      </w:r>
      <w:r>
        <w:t xml:space="preserve">“The Effect of Recruitment Variability on the Choice of a Target Level of Spawning Biomass Per Recruit.”</w:t>
      </w:r>
      <w:r>
        <w:t xml:space="preserve"> </w:t>
      </w:r>
      <w:r>
        <w:t xml:space="preserve">In, 233246. Alaska Sea Grant College Program AK</w:t>
      </w:r>
      <w:r>
        <w:t xml:space="preserve">SG</w:t>
      </w:r>
      <w:r>
        <w:t xml:space="preserve">93</w:t>
      </w:r>
      <w:r>
        <w:t xml:space="preserve">02.</w:t>
      </w:r>
    </w:p>
    <w:bookmarkEnd w:id="51"/>
    <w:bookmarkEnd w:id="52"/>
    <w:bookmarkEnd w:id="53"/>
    <w:sectPr w:rsidR="00785667">
      <w:pgSz w:h="15840" w:w="12240"/>
      <w:pgMar w:bottom="1440" w:footer="720" w:gutter="0" w:header="720" w:left="1440" w:right="1440" w:top="144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F2428" w14:textId="77777777" w:rsidR="00785667" w:rsidRDefault="00785667">
    <w:pPr>
      <w:spacing w:after="0"/>
      <w:rPr>
        <w:color w:val="000000"/>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9447F" w14:textId="77777777" w:rsidR="00785667" w:rsidRDefault="00785667">
    <w:pPr>
      <w:pBdr>
        <w:top w:val="nil"/>
        <w:left w:val="nil"/>
        <w:bottom w:val="nil"/>
        <w:right w:val="nil"/>
        <w:between w:val="nil"/>
      </w:pBdr>
      <w:tabs>
        <w:tab w:val="center" w:pos="4680"/>
        <w:tab w:val="right" w:pos="9360"/>
      </w:tabs>
      <w:spacing w:after="0"/>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800181"/>
      <w:docPartObj>
        <w:docPartGallery w:val="Page Numbers (Bottom of Page)"/>
        <w:docPartUnique/>
      </w:docPartObj>
    </w:sdtPr>
    <w:sdtEndPr>
      <w:rPr>
        <w:noProof/>
        <w:color w:val="003087"/>
        <w:sz w:val="20"/>
        <w:szCs w:val="20"/>
      </w:rPr>
    </w:sdtEndPr>
    <w:sdtContent>
      <w:p w14:paraId="26C8DA61" w14:textId="67EA1B32" w:rsidR="00785667" w:rsidRPr="00F07BAF" w:rsidRDefault="00F07BAF" w:rsidP="00F07BAF">
        <w:pPr>
          <w:pStyle w:val="Footer"/>
          <w:jc w:val="right"/>
          <w:rPr>
            <w:color w:val="003087"/>
            <w:sz w:val="20"/>
            <w:szCs w:val="20"/>
          </w:rPr>
        </w:pPr>
        <w:r>
          <w:rPr>
            <w:color w:val="000000"/>
            <w:sz w:val="20"/>
            <w:szCs w:val="20"/>
          </w:rPr>
          <w:t>National Marine Fisheries Service | Pacific Islands Fisheries Science Center</w:t>
        </w:r>
        <w:r>
          <w:rPr>
            <w:color w:val="003087"/>
            <w:sz w:val="20"/>
            <w:szCs w:val="20"/>
          </w:rPr>
          <w:tab/>
        </w:r>
        <w:r w:rsidRPr="00F07BAF">
          <w:rPr>
            <w:color w:val="003087"/>
            <w:sz w:val="20"/>
            <w:szCs w:val="20"/>
          </w:rPr>
          <w:fldChar w:fldCharType="begin"/>
        </w:r>
        <w:r w:rsidRPr="00F07BAF">
          <w:rPr>
            <w:color w:val="003087"/>
            <w:sz w:val="20"/>
            <w:szCs w:val="20"/>
          </w:rPr>
          <w:instrText xml:space="preserve"> PAGE   \* MERGEFORMAT </w:instrText>
        </w:r>
        <w:r w:rsidRPr="00F07BAF">
          <w:rPr>
            <w:color w:val="003087"/>
            <w:sz w:val="20"/>
            <w:szCs w:val="20"/>
          </w:rPr>
          <w:fldChar w:fldCharType="separate"/>
        </w:r>
        <w:r w:rsidRPr="00F07BAF">
          <w:rPr>
            <w:noProof/>
            <w:color w:val="003087"/>
            <w:sz w:val="20"/>
            <w:szCs w:val="20"/>
          </w:rPr>
          <w:t>2</w:t>
        </w:r>
        <w:r w:rsidRPr="00F07BAF">
          <w:rPr>
            <w:noProof/>
            <w:color w:val="003087"/>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04361"/>
      <w:docPartObj>
        <w:docPartGallery w:val="Page Numbers (Bottom of Page)"/>
        <w:docPartUnique/>
      </w:docPartObj>
    </w:sdtPr>
    <w:sdtEndPr>
      <w:rPr>
        <w:noProof/>
        <w:color w:val="003087"/>
        <w:sz w:val="20"/>
        <w:szCs w:val="20"/>
      </w:rPr>
    </w:sdtEndPr>
    <w:sdtContent>
      <w:p w14:paraId="65040CD6" w14:textId="5B1392C5" w:rsidR="00785667" w:rsidRPr="00F07BAF" w:rsidRDefault="00F07BAF" w:rsidP="00F07BAF">
        <w:pPr>
          <w:pStyle w:val="Footer"/>
          <w:jc w:val="right"/>
          <w:rPr>
            <w:color w:val="003087"/>
            <w:sz w:val="20"/>
            <w:szCs w:val="20"/>
          </w:rPr>
        </w:pPr>
        <w:r>
          <w:rPr>
            <w:sz w:val="20"/>
            <w:szCs w:val="20"/>
          </w:rPr>
          <w:t>U.S. Department of Commerce | National Oceanographic and Atmospheric Administration</w:t>
        </w:r>
        <w:r>
          <w:rPr>
            <w:color w:val="003087"/>
            <w:sz w:val="20"/>
            <w:szCs w:val="20"/>
          </w:rPr>
          <w:tab/>
        </w:r>
        <w:r w:rsidRPr="00F07BAF">
          <w:rPr>
            <w:color w:val="003087"/>
            <w:sz w:val="20"/>
            <w:szCs w:val="20"/>
          </w:rPr>
          <w:fldChar w:fldCharType="begin"/>
        </w:r>
        <w:r w:rsidRPr="00F07BAF">
          <w:rPr>
            <w:color w:val="003087"/>
            <w:sz w:val="20"/>
            <w:szCs w:val="20"/>
          </w:rPr>
          <w:instrText xml:space="preserve"> PAGE   \* MERGEFORMAT </w:instrText>
        </w:r>
        <w:r w:rsidRPr="00F07BAF">
          <w:rPr>
            <w:color w:val="003087"/>
            <w:sz w:val="20"/>
            <w:szCs w:val="20"/>
          </w:rPr>
          <w:fldChar w:fldCharType="separate"/>
        </w:r>
        <w:r w:rsidRPr="00F07BAF">
          <w:rPr>
            <w:noProof/>
            <w:color w:val="003087"/>
            <w:sz w:val="20"/>
            <w:szCs w:val="20"/>
          </w:rPr>
          <w:t>2</w:t>
        </w:r>
        <w:r w:rsidRPr="00F07BAF">
          <w:rPr>
            <w:noProof/>
            <w:color w:val="003087"/>
            <w:sz w:val="20"/>
            <w:szCs w:val="2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852969"/>
      <w:docPartObj>
        <w:docPartGallery w:val="Page Numbers (Bottom of Page)"/>
        <w:docPartUnique/>
      </w:docPartObj>
    </w:sdtPr>
    <w:sdtEndPr>
      <w:rPr>
        <w:noProof/>
        <w:color w:val="003087"/>
        <w:sz w:val="20"/>
        <w:szCs w:val="20"/>
      </w:rPr>
    </w:sdtEndPr>
    <w:sdtContent>
      <w:p w14:paraId="6848B1D1" w14:textId="4BA220BE" w:rsidR="00785667" w:rsidRPr="00F07BAF" w:rsidRDefault="00F07BAF" w:rsidP="00F07BAF">
        <w:pPr>
          <w:pStyle w:val="Footer"/>
          <w:jc w:val="right"/>
          <w:rPr>
            <w:color w:val="003087"/>
            <w:sz w:val="20"/>
            <w:szCs w:val="20"/>
          </w:rPr>
        </w:pPr>
        <w:r>
          <w:rPr>
            <w:color w:val="000000"/>
            <w:sz w:val="20"/>
            <w:szCs w:val="20"/>
          </w:rPr>
          <w:t>U.S. Department of Commerce | National Oceanographic and Atmospheric Administration</w:t>
        </w:r>
        <w:r>
          <w:rPr>
            <w:color w:val="003087"/>
            <w:sz w:val="20"/>
            <w:szCs w:val="20"/>
          </w:rPr>
          <w:tab/>
        </w:r>
        <w:r w:rsidRPr="00F07BAF">
          <w:rPr>
            <w:color w:val="003087"/>
            <w:sz w:val="20"/>
            <w:szCs w:val="20"/>
          </w:rPr>
          <w:fldChar w:fldCharType="begin"/>
        </w:r>
        <w:r w:rsidRPr="00F07BAF">
          <w:rPr>
            <w:color w:val="003087"/>
            <w:sz w:val="20"/>
            <w:szCs w:val="20"/>
          </w:rPr>
          <w:instrText xml:space="preserve"> PAGE   \* MERGEFORMAT </w:instrText>
        </w:r>
        <w:r w:rsidRPr="00F07BAF">
          <w:rPr>
            <w:color w:val="003087"/>
            <w:sz w:val="20"/>
            <w:szCs w:val="20"/>
          </w:rPr>
          <w:fldChar w:fldCharType="separate"/>
        </w:r>
        <w:r w:rsidRPr="00F07BAF">
          <w:rPr>
            <w:noProof/>
            <w:color w:val="003087"/>
            <w:sz w:val="20"/>
            <w:szCs w:val="20"/>
          </w:rPr>
          <w:t>2</w:t>
        </w:r>
        <w:r w:rsidRPr="00F07BAF">
          <w:rPr>
            <w:noProof/>
            <w:color w:val="003087"/>
            <w:sz w:val="20"/>
            <w:szCs w:val="20"/>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0"/>
  <w:proofState w:grammar="clean" w:spelling="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Arial" w:hAnsi="Arial"/>
        <w:color w:val="262626"/>
        <w:sz w:val="24"/>
        <w:szCs w:val="24"/>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62D32"/>
  </w:style>
  <w:style w:styleId="Heading1" w:type="paragraph">
    <w:name w:val="heading 1"/>
    <w:basedOn w:val="Normal"/>
    <w:next w:val="Normal"/>
    <w:uiPriority w:val="9"/>
    <w:qFormat/>
    <w:rsid w:val="00704160"/>
    <w:pPr>
      <w:keepNext/>
      <w:pageBreakBefore/>
      <w:spacing w:after="240" w:before="240"/>
      <w:outlineLvl w:val="0"/>
    </w:pPr>
    <w:rPr>
      <w:b/>
      <w:color w:val="003087"/>
      <w:sz w:val="28"/>
      <w:szCs w:val="28"/>
    </w:rPr>
  </w:style>
  <w:style w:styleId="Heading2" w:type="paragraph">
    <w:name w:val="heading 2"/>
    <w:basedOn w:val="Normal"/>
    <w:next w:val="Normal"/>
    <w:uiPriority w:val="9"/>
    <w:unhideWhenUsed/>
    <w:qFormat/>
    <w:rsid w:val="00704160"/>
    <w:pPr>
      <w:keepNext/>
      <w:spacing w:after="240" w:before="240"/>
      <w:outlineLvl w:val="1"/>
    </w:pPr>
    <w:rPr>
      <w:b/>
      <w:color w:val="0085CA"/>
    </w:rPr>
  </w:style>
  <w:style w:styleId="Heading3" w:type="paragraph">
    <w:name w:val="heading 3"/>
    <w:basedOn w:val="Normal"/>
    <w:next w:val="Normal"/>
    <w:uiPriority w:val="9"/>
    <w:unhideWhenUsed/>
    <w:qFormat/>
    <w:rsid w:val="00704160"/>
    <w:pPr>
      <w:keepNext/>
      <w:spacing w:after="240" w:before="240"/>
      <w:outlineLvl w:val="2"/>
    </w:pPr>
    <w:rPr>
      <w:i/>
      <w:color w:val="008DA8"/>
    </w:rPr>
  </w:style>
  <w:style w:styleId="Heading4" w:type="paragraph">
    <w:name w:val="heading 4"/>
    <w:basedOn w:val="Normal"/>
    <w:next w:val="Normal"/>
    <w:uiPriority w:val="9"/>
    <w:unhideWhenUsed/>
    <w:qFormat/>
    <w:rsid w:val="00704160"/>
    <w:pPr>
      <w:keepNext/>
      <w:keepLines/>
      <w:spacing w:after="240" w:before="240"/>
      <w:outlineLvl w:val="3"/>
    </w:pPr>
    <w:rPr>
      <w:i/>
      <w:color w:val="5761C0"/>
    </w:rPr>
  </w:style>
  <w:style w:styleId="Heading5" w:type="paragraph">
    <w:name w:val="heading 5"/>
    <w:basedOn w:val="Normal"/>
    <w:next w:val="Normal"/>
    <w:uiPriority w:val="9"/>
    <w:semiHidden/>
    <w:unhideWhenUsed/>
    <w:qFormat/>
    <w:pPr>
      <w:keepNext/>
      <w:keepLines/>
      <w:spacing w:after="40" w:before="220"/>
      <w:outlineLvl w:val="4"/>
    </w:pPr>
    <w:rPr>
      <w:b/>
      <w:sz w:val="22"/>
      <w:szCs w:val="22"/>
    </w:rPr>
  </w:style>
  <w:style w:styleId="Heading6" w:type="paragraph">
    <w:name w:val="heading 6"/>
    <w:basedOn w:val="Normal"/>
    <w:next w:val="Normal"/>
    <w:uiPriority w:val="9"/>
    <w:semiHidden/>
    <w:unhideWhenUsed/>
    <w:qFormat/>
    <w:pPr>
      <w:keepNext/>
      <w:keepLines/>
      <w:spacing w:after="40" w:before="200"/>
      <w:outlineLvl w:val="5"/>
    </w:pPr>
    <w:rPr>
      <w:b/>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rsid w:val="00704160"/>
    <w:pPr>
      <w:spacing w:after="0" w:line="275" w:lineRule="auto"/>
      <w:textDirection w:val="btLr"/>
    </w:pPr>
    <w:rPr>
      <w:rFonts w:ascii="Arial Narrow" w:cs="Arial Narrow" w:eastAsia="Arial Narrow" w:hAnsi="Arial Narrow"/>
      <w:b/>
      <w:sz w:val="52"/>
    </w:rPr>
  </w:style>
  <w:style w:styleId="Subtitle" w:type="paragraph">
    <w:name w:val="Subtitle"/>
    <w:basedOn w:val="Normal"/>
    <w:next w:val="Normal"/>
    <w:uiPriority w:val="11"/>
    <w:qFormat/>
    <w:pPr>
      <w:spacing w:after="80" w:line="275" w:lineRule="auto"/>
    </w:pPr>
  </w:style>
  <w:style w:customStyle="1" w:styleId="a" w:type="table">
    <w:basedOn w:val="TableNormal"/>
    <w:pPr>
      <w:keepNext/>
      <w:keepLines/>
      <w:jc w:val="right"/>
    </w:pPr>
    <w:tblPr>
      <w:tblStyleRowBandSize w:val="1"/>
      <w:tblStyleColBandSize w:val="1"/>
      <w:tblCellMar>
        <w:left w:type="dxa" w:w="115"/>
        <w:right w:type="dxa" w:w="115"/>
      </w:tblCellMar>
    </w:tblPr>
    <w:tcPr>
      <w:shd w:color="auto" w:fill="auto" w:val="clear"/>
      <w:vAlign w:val="center"/>
    </w:tcPr>
  </w:style>
  <w:style w:customStyle="1" w:styleId="a0" w:type="table">
    <w:basedOn w:val="TableNormal"/>
    <w:pPr>
      <w:keepNext/>
      <w:keepLines/>
      <w:jc w:val="right"/>
    </w:pPr>
    <w:tblPr>
      <w:tblStyleRowBandSize w:val="1"/>
      <w:tblStyleColBandSize w:val="1"/>
      <w:tblCellMar>
        <w:left w:type="dxa" w:w="72"/>
        <w:right w:type="dxa" w:w="43"/>
      </w:tblCellMar>
    </w:tblPr>
    <w:tcPr>
      <w:shd w:color="auto" w:fill="auto" w:val="clear"/>
      <w:vAlign w:val="center"/>
    </w:tcPr>
    <w:tblStylePr w:type="firstRow">
      <w:pPr>
        <w:jc w:val="center"/>
      </w:pPr>
      <w:rPr>
        <w:rFonts w:ascii="Arial" w:cs="Arial" w:eastAsia="Arial" w:hAnsi="Arial"/>
        <w:b/>
        <w:sz w:val="20"/>
        <w:szCs w:val="20"/>
      </w:rPr>
      <w:tblPr/>
      <w:tcPr>
        <w:tcBorders>
          <w:top w:color="000000" w:space="0" w:sz="4" w:val="single"/>
          <w:bottom w:color="000000" w:space="0" w:sz="4" w:val="single"/>
        </w:tcBorders>
        <w:vAlign w:val="bottom"/>
      </w:tcPr>
    </w:tblStylePr>
    <w:tblStylePr w:type="lastRow">
      <w:rPr>
        <w:rFonts w:ascii="Arial" w:cs="Arial" w:eastAsia="Arial" w:hAnsi="Arial"/>
        <w:b/>
        <w:i w:val="0"/>
        <w:sz w:val="20"/>
        <w:szCs w:val="20"/>
      </w:rPr>
      <w:tblPr/>
      <w:tcPr>
        <w:tcBorders>
          <w:top w:val="nil"/>
          <w:left w:val="nil"/>
          <w:bottom w:color="000000" w:space="0" w:sz="4" w:val="single"/>
          <w:right w:val="nil"/>
          <w:insideH w:val="nil"/>
          <w:insideV w:val="nil"/>
        </w:tcBorders>
        <w:shd w:color="auto" w:fill="auto" w:val="clear"/>
      </w:tcPr>
    </w:tblStylePr>
    <w:tblStylePr w:type="firstCol">
      <w:pPr>
        <w:jc w:val="left"/>
      </w:pPr>
      <w:rPr>
        <w:rFonts w:ascii="Arial" w:cs="Arial" w:eastAsia="Arial" w:hAnsi="Arial"/>
        <w:b w:val="0"/>
        <w:sz w:val="20"/>
        <w:szCs w:val="20"/>
      </w:rPr>
    </w:tblStylePr>
    <w:tblStylePr w:type="lastCol">
      <w:rPr>
        <w:rFonts w:ascii="Arial" w:cs="Arial" w:eastAsia="Arial" w:hAnsi="Arial"/>
        <w:b/>
        <w:sz w:val="20"/>
        <w:szCs w:val="20"/>
      </w:rPr>
    </w:tblStylePr>
  </w:style>
  <w:style w:styleId="Header" w:type="paragraph">
    <w:name w:val="header"/>
    <w:basedOn w:val="Normal"/>
    <w:link w:val="HeaderChar"/>
    <w:uiPriority w:val="99"/>
    <w:unhideWhenUsed/>
    <w:rsid w:val="002E50DA"/>
    <w:pPr>
      <w:tabs>
        <w:tab w:pos="4680" w:val="center"/>
        <w:tab w:pos="9360" w:val="right"/>
      </w:tabs>
      <w:spacing w:after="0" w:line="240" w:lineRule="auto"/>
    </w:pPr>
  </w:style>
  <w:style w:customStyle="1" w:styleId="HeaderChar" w:type="character">
    <w:name w:val="Header Char"/>
    <w:basedOn w:val="DefaultParagraphFont"/>
    <w:link w:val="Header"/>
    <w:uiPriority w:val="99"/>
    <w:rsid w:val="002E50DA"/>
  </w:style>
  <w:style w:styleId="Footer" w:type="paragraph">
    <w:name w:val="footer"/>
    <w:basedOn w:val="Normal"/>
    <w:link w:val="FooterChar"/>
    <w:uiPriority w:val="99"/>
    <w:unhideWhenUsed/>
    <w:rsid w:val="002E50DA"/>
    <w:pPr>
      <w:tabs>
        <w:tab w:pos="4680" w:val="center"/>
        <w:tab w:pos="9360" w:val="right"/>
      </w:tabs>
      <w:spacing w:after="0" w:line="240" w:lineRule="auto"/>
    </w:pPr>
  </w:style>
  <w:style w:customStyle="1" w:styleId="FooterChar" w:type="character">
    <w:name w:val="Footer Char"/>
    <w:basedOn w:val="DefaultParagraphFont"/>
    <w:link w:val="Footer"/>
    <w:uiPriority w:val="99"/>
    <w:rsid w:val="002E50DA"/>
  </w:style>
  <w:style w:styleId="SubtleEmphasis" w:type="character">
    <w:name w:val="Subtle Emphasis"/>
    <w:aliases w:val="Non-heading emphasis"/>
    <w:uiPriority w:val="19"/>
    <w:rsid w:val="00AA4484"/>
    <w:rPr>
      <w:i/>
      <w:iCs/>
      <w:color w:val="DB6015"/>
    </w:rPr>
  </w:style>
  <w:style w:styleId="Emphasis" w:type="character">
    <w:name w:val="Emphasis"/>
    <w:aliases w:val="Non-heading Emphasis Two"/>
    <w:uiPriority w:val="20"/>
    <w:rsid w:val="00AA4484"/>
    <w:rPr>
      <w:i/>
      <w:iCs/>
      <w:color w:val="4B8320"/>
    </w:rPr>
  </w:style>
  <w:style w:styleId="Quote" w:type="paragraph">
    <w:name w:val="Quote"/>
    <w:aliases w:val="Block Quote"/>
    <w:basedOn w:val="Normal"/>
    <w:next w:val="Normal"/>
    <w:link w:val="QuoteChar"/>
    <w:uiPriority w:val="29"/>
    <w:qFormat/>
    <w:rsid w:val="00D366B7"/>
    <w:pPr>
      <w:spacing w:after="240" w:before="240"/>
      <w:ind w:left="720" w:right="907"/>
    </w:pPr>
    <w:rPr>
      <w:sz w:val="22"/>
      <w:szCs w:val="22"/>
    </w:rPr>
  </w:style>
  <w:style w:customStyle="1" w:styleId="QuoteChar" w:type="character">
    <w:name w:val="Quote Char"/>
    <w:aliases w:val="Block Quote Char"/>
    <w:basedOn w:val="DefaultParagraphFont"/>
    <w:link w:val="Quote"/>
    <w:uiPriority w:val="29"/>
    <w:rsid w:val="00D366B7"/>
    <w:rPr>
      <w:sz w:val="22"/>
      <w:szCs w:val="22"/>
    </w:rPr>
  </w:style>
  <w:style w:customStyle="1" w:styleId="Emphasis1" w:type="paragraph">
    <w:name w:val="Emphasis 1"/>
    <w:basedOn w:val="Normal"/>
    <w:next w:val="Normal"/>
    <w:link w:val="Emphasis1Char"/>
    <w:qFormat/>
    <w:rsid w:val="00D366B7"/>
    <w:rPr>
      <w:i/>
      <w:color w:val="DB6015"/>
    </w:rPr>
  </w:style>
  <w:style w:customStyle="1" w:styleId="EmphasisTwo" w:type="paragraph">
    <w:name w:val="Emphasis Two"/>
    <w:basedOn w:val="Normal"/>
    <w:next w:val="Normal"/>
    <w:link w:val="EmphasisTwoChar"/>
    <w:qFormat/>
    <w:rsid w:val="00D366B7"/>
    <w:rPr>
      <w:i/>
      <w:color w:val="4B8320"/>
    </w:rPr>
  </w:style>
  <w:style w:customStyle="1" w:styleId="Emphasis1Char" w:type="character">
    <w:name w:val="Emphasis 1 Char"/>
    <w:basedOn w:val="DefaultParagraphFont"/>
    <w:link w:val="Emphasis1"/>
    <w:rsid w:val="00D366B7"/>
    <w:rPr>
      <w:i/>
      <w:color w:val="DB6015"/>
    </w:rPr>
  </w:style>
  <w:style w:styleId="Hyperlink" w:type="character">
    <w:name w:val="Hyperlink"/>
    <w:basedOn w:val="DefaultParagraphFont"/>
    <w:uiPriority w:val="99"/>
    <w:unhideWhenUsed/>
    <w:rsid w:val="00D72F76"/>
    <w:rPr>
      <w:color w:themeColor="hyperlink" w:val="0000FF"/>
      <w:u w:val="single"/>
    </w:rPr>
  </w:style>
  <w:style w:customStyle="1" w:styleId="EmphasisTwoChar" w:type="character">
    <w:name w:val="Emphasis Two Char"/>
    <w:basedOn w:val="DefaultParagraphFont"/>
    <w:link w:val="EmphasisTwo"/>
    <w:rsid w:val="00D366B7"/>
    <w:rPr>
      <w:i/>
      <w:color w:val="4B8320"/>
    </w:rPr>
  </w:style>
  <w:style w:styleId="UnresolvedMention" w:type="character">
    <w:name w:val="Unresolved Mention"/>
    <w:basedOn w:val="DefaultParagraphFont"/>
    <w:uiPriority w:val="99"/>
    <w:semiHidden/>
    <w:unhideWhenUsed/>
    <w:rsid w:val="00D72F76"/>
    <w:rPr>
      <w:color w:val="605E5C"/>
      <w:shd w:color="auto" w:fill="E1DFDD" w:val="clear"/>
    </w:rPr>
  </w:style>
  <w:style w:styleId="IntenseQuote" w:type="paragraph">
    <w:name w:val="Intense Quote"/>
    <w:aliases w:val="Short Quote"/>
    <w:basedOn w:val="Normal"/>
    <w:next w:val="Normal"/>
    <w:link w:val="IntenseQuoteChar"/>
    <w:uiPriority w:val="30"/>
    <w:qFormat/>
    <w:rsid w:val="00AF260E"/>
    <w:pPr>
      <w:spacing w:after="240" w:before="240"/>
    </w:pPr>
    <w:rPr>
      <w:i/>
      <w:iCs/>
    </w:rPr>
  </w:style>
  <w:style w:customStyle="1" w:styleId="IntenseQuoteChar" w:type="character">
    <w:name w:val="Intense Quote Char"/>
    <w:aliases w:val="Short Quote Char"/>
    <w:basedOn w:val="DefaultParagraphFont"/>
    <w:link w:val="IntenseQuote"/>
    <w:uiPriority w:val="30"/>
    <w:rsid w:val="00AF260E"/>
    <w:rPr>
      <w:i/>
      <w:iCs/>
    </w:rPr>
  </w:style>
  <w:style w:styleId="TableGrid" w:type="table">
    <w:name w:val="Table Grid"/>
    <w:basedOn w:val="TableNormal"/>
    <w:uiPriority w:val="39"/>
    <w:rsid w:val="007D57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C0096E"/>
    <w:rPr>
      <w:iCs/>
      <w:color w:themeColor="text1" w:themeTint="F2" w:val="0D0D0D"/>
      <w:sz w:val="22"/>
      <w:szCs w:val="18"/>
    </w:rPr>
  </w:style>
  <w:style w:customStyle="1" w:styleId="Tables" w:type="paragraph">
    <w:name w:val="Tables"/>
    <w:basedOn w:val="Normal"/>
    <w:link w:val="TablesChar"/>
    <w:qFormat/>
    <w:rsid w:val="00A14528"/>
    <w:pPr>
      <w:widowControl w:val="0"/>
      <w:spacing w:after="0"/>
    </w:pPr>
  </w:style>
  <w:style w:customStyle="1" w:styleId="TableDescriptiveText" w:type="paragraph">
    <w:name w:val="Table Descriptive Text"/>
    <w:basedOn w:val="Normal"/>
    <w:link w:val="TableDescriptiveTextChar"/>
    <w:qFormat/>
    <w:rsid w:val="009A4E25"/>
    <w:pPr>
      <w:pBdr>
        <w:top w:val="nil"/>
        <w:left w:val="nil"/>
        <w:bottom w:val="nil"/>
        <w:right w:val="nil"/>
        <w:between w:val="nil"/>
      </w:pBdr>
      <w:spacing w:before="120"/>
    </w:pPr>
    <w:rPr>
      <w:sz w:val="22"/>
      <w:szCs w:val="22"/>
    </w:rPr>
  </w:style>
  <w:style w:customStyle="1" w:styleId="TablesChar" w:type="character">
    <w:name w:val="Tables Char"/>
    <w:basedOn w:val="DefaultParagraphFont"/>
    <w:link w:val="Tables"/>
    <w:rsid w:val="00A14528"/>
  </w:style>
  <w:style w:customStyle="1" w:styleId="Appendix" w:type="paragraph">
    <w:name w:val="Appendix"/>
    <w:basedOn w:val="Normal"/>
    <w:link w:val="AppendixChar"/>
    <w:qFormat/>
    <w:rsid w:val="00562D32"/>
    <w:pPr>
      <w:keepNext/>
      <w:pageBreakBefore/>
      <w:pBdr>
        <w:top w:val="nil"/>
        <w:left w:val="nil"/>
        <w:bottom w:val="nil"/>
        <w:right w:val="nil"/>
        <w:between w:val="nil"/>
      </w:pBdr>
      <w:spacing w:after="240" w:before="240"/>
    </w:pPr>
    <w:rPr>
      <w:b/>
      <w:color w:val="0054A4"/>
      <w:sz w:val="28"/>
      <w:szCs w:val="28"/>
    </w:rPr>
  </w:style>
  <w:style w:customStyle="1" w:styleId="TableDescriptiveTextChar" w:type="character">
    <w:name w:val="Table Descriptive Text Char"/>
    <w:basedOn w:val="DefaultParagraphFont"/>
    <w:link w:val="TableDescriptiveText"/>
    <w:rsid w:val="009A4E25"/>
    <w:rPr>
      <w:sz w:val="22"/>
      <w:szCs w:val="22"/>
    </w:rPr>
  </w:style>
  <w:style w:customStyle="1" w:styleId="Literature" w:type="paragraph">
    <w:name w:val="Literature"/>
    <w:basedOn w:val="Normal"/>
    <w:link w:val="LiteratureChar"/>
    <w:qFormat/>
    <w:rsid w:val="00F2234B"/>
    <w:pPr>
      <w:pBdr>
        <w:top w:val="nil"/>
        <w:left w:val="nil"/>
        <w:bottom w:val="nil"/>
        <w:right w:val="nil"/>
        <w:between w:val="nil"/>
      </w:pBdr>
      <w:ind w:hanging="720" w:left="720"/>
    </w:pPr>
  </w:style>
  <w:style w:customStyle="1" w:styleId="AppendixChar" w:type="character">
    <w:name w:val="Appendix Char"/>
    <w:basedOn w:val="DefaultParagraphFont"/>
    <w:link w:val="Appendix"/>
    <w:rsid w:val="00562D32"/>
    <w:rPr>
      <w:b/>
      <w:color w:val="0054A4"/>
      <w:sz w:val="28"/>
      <w:szCs w:val="28"/>
    </w:rPr>
  </w:style>
  <w:style w:customStyle="1" w:styleId="LiteratureChar" w:type="character">
    <w:name w:val="Literature Char"/>
    <w:basedOn w:val="DefaultParagraphFont"/>
    <w:link w:val="Literature"/>
    <w:rsid w:val="00F2234B"/>
  </w:style>
  <w:style w:customStyle="1" w:styleId="a1" w:type="table">
    <w:basedOn w:val="TableNormal"/>
    <w:pPr>
      <w:keepNext/>
      <w:keepLines/>
      <w:spacing w:after="0" w:line="240" w:lineRule="auto"/>
      <w:jc w:val="right"/>
    </w:pPr>
    <w:tblPr>
      <w:tblStyleRowBandSize w:val="1"/>
      <w:tblStyleColBandSize w:val="1"/>
      <w:tblCellMar>
        <w:top w:type="dxa" w:w="72"/>
        <w:left w:type="dxa" w:w="216"/>
        <w:bottom w:type="dxa" w:w="72"/>
        <w:right w:type="dxa" w:w="216"/>
      </w:tblCellMar>
    </w:tblPr>
    <w:tcPr>
      <w:shd w:color="auto" w:fill="auto" w:val="clear"/>
      <w:vAlign w:val="center"/>
    </w:tcPr>
  </w:style>
  <w:style w:customStyle="1" w:styleId="a2" w:type="table">
    <w:basedOn w:val="TableNormal"/>
    <w:pPr>
      <w:keepNext/>
      <w:keepLines/>
      <w:spacing w:after="0" w:line="240" w:lineRule="auto"/>
      <w:jc w:val="right"/>
    </w:pPr>
    <w:tblPr>
      <w:tblStyleRowBandSize w:val="1"/>
      <w:tblStyleColBandSize w:val="1"/>
      <w:tblCellMar>
        <w:top w:type="dxa" w:w="72"/>
        <w:left w:type="dxa" w:w="216"/>
        <w:bottom w:type="dxa" w:w="72"/>
        <w:right w:type="dxa" w:w="216"/>
      </w:tblCellMar>
    </w:tblPr>
    <w:tcPr>
      <w:shd w:color="auto" w:fill="auto" w:val="clear"/>
      <w:vAlign w:val="center"/>
    </w:tcPr>
  </w:style>
  <w:style w:customStyle="1" w:styleId="a3" w:type="table">
    <w:basedOn w:val="TableNormal"/>
    <w:pPr>
      <w:keepNext/>
      <w:keepLines/>
      <w:spacing w:after="0" w:line="240" w:lineRule="auto"/>
      <w:jc w:val="right"/>
    </w:pPr>
    <w:tblPr>
      <w:tblStyleRowBandSize w:val="1"/>
      <w:tblStyleColBandSize w:val="1"/>
      <w:tblCellMar>
        <w:top w:type="dxa" w:w="72"/>
        <w:left w:type="dxa" w:w="216"/>
        <w:bottom w:type="dxa" w:w="72"/>
        <w:right w:type="dxa" w:w="216"/>
      </w:tblCellMar>
    </w:tblPr>
    <w:tcPr>
      <w:shd w:color="auto" w:fill="auto" w:val="clear"/>
      <w:vAlign w:val="center"/>
    </w:tcPr>
  </w:style>
  <w:style w:customStyle="1" w:styleId="a4" w:type="table">
    <w:basedOn w:val="TableNormal"/>
    <w:pPr>
      <w:keepNext/>
      <w:keepLines/>
      <w:spacing w:after="0" w:line="240" w:lineRule="auto"/>
      <w:jc w:val="right"/>
    </w:pPr>
    <w:tblPr>
      <w:tblStyleRowBandSize w:val="1"/>
      <w:tblStyleColBandSize w:val="1"/>
      <w:tblCellMar>
        <w:top w:type="dxa" w:w="29"/>
        <w:left w:type="dxa" w:w="72"/>
        <w:bottom w:type="dxa" w:w="29"/>
        <w:right w:type="dxa" w:w="72"/>
      </w:tblCellMar>
    </w:tblPr>
    <w:tcPr>
      <w:shd w:color="auto" w:fill="auto" w:val="clear"/>
      <w:vAlign w:val="center"/>
    </w:tcPr>
  </w:style>
  <w:style w:customStyle="1" w:styleId="a5" w:type="table">
    <w:basedOn w:val="TableNormal"/>
    <w:pPr>
      <w:keepNext/>
      <w:keepLines/>
      <w:spacing w:after="0" w:line="240" w:lineRule="auto"/>
      <w:jc w:val="right"/>
    </w:pPr>
    <w:tblPr>
      <w:tblStyleRowBandSize w:val="1"/>
      <w:tblStyleColBandSize w:val="1"/>
      <w:tblCellMar>
        <w:left w:type="dxa" w:w="115"/>
        <w:right w:type="dxa" w:w="115"/>
      </w:tblCellMar>
    </w:tblPr>
    <w:tcPr>
      <w:shd w:color="auto" w:fill="auto" w:val="clear"/>
      <w:vAlign w:val="center"/>
    </w:tcPr>
    <w:tblStylePr w:type="firstRow">
      <w:pPr>
        <w:jc w:val="center"/>
      </w:pPr>
      <w:rPr>
        <w:rFonts w:ascii="Arial" w:cs="Arial" w:eastAsia="Arial" w:hAnsi="Arial"/>
        <w:b/>
        <w:sz w:val="20"/>
        <w:szCs w:val="20"/>
      </w:rPr>
      <w:tblPr/>
      <w:tcPr>
        <w:tcBorders>
          <w:top w:color="000000" w:space="0" w:sz="4" w:val="single"/>
          <w:bottom w:color="000000" w:space="0" w:sz="4" w:val="single"/>
        </w:tcBorders>
        <w:vAlign w:val="bottom"/>
      </w:tcPr>
    </w:tblStylePr>
    <w:tblStylePr w:type="lastRow">
      <w:rPr>
        <w:rFonts w:ascii="Arial" w:cs="Arial" w:eastAsia="Arial" w:hAnsi="Arial"/>
        <w:b/>
        <w:i w:val="0"/>
        <w:sz w:val="20"/>
        <w:szCs w:val="20"/>
      </w:rPr>
      <w:tblPr/>
      <w:tcPr>
        <w:tcBorders>
          <w:top w:val="nil"/>
          <w:left w:val="nil"/>
          <w:bottom w:color="000000" w:space="0" w:sz="4" w:val="single"/>
          <w:right w:val="nil"/>
          <w:insideH w:val="nil"/>
          <w:insideV w:val="nil"/>
        </w:tcBorders>
        <w:shd w:color="auto" w:fill="auto" w:val="clear"/>
      </w:tcPr>
    </w:tblStylePr>
    <w:tblStylePr w:type="firstCol">
      <w:pPr>
        <w:jc w:val="left"/>
      </w:pPr>
      <w:rPr>
        <w:rFonts w:ascii="Arial" w:cs="Arial" w:eastAsia="Arial" w:hAnsi="Arial"/>
        <w:b w:val="0"/>
        <w:sz w:val="20"/>
        <w:szCs w:val="20"/>
      </w:rPr>
    </w:tblStylePr>
    <w:tblStylePr w:type="lastCol">
      <w:rPr>
        <w:rFonts w:ascii="Arial" w:cs="Arial" w:eastAsia="Arial" w:hAnsi="Arial"/>
        <w:b/>
        <w:sz w:val="20"/>
        <w:szCs w:val="20"/>
      </w:rPr>
    </w:tblStylePr>
  </w:style>
  <w:style w:customStyle="1" w:styleId="a6" w:type="table">
    <w:basedOn w:val="TableNormal"/>
    <w:pPr>
      <w:keepNext/>
      <w:keepLines/>
      <w:spacing w:after="0" w:line="240" w:lineRule="auto"/>
      <w:jc w:val="right"/>
    </w:pPr>
    <w:tblPr>
      <w:tblStyleRowBandSize w:val="1"/>
      <w:tblStyleColBandSize w:val="1"/>
      <w:tblCellMar>
        <w:left w:type="dxa" w:w="115"/>
        <w:right w:type="dxa" w:w="115"/>
      </w:tblCellMar>
    </w:tblPr>
    <w:tcPr>
      <w:shd w:color="auto" w:fill="auto" w:val="clear"/>
      <w:vAlign w:val="center"/>
    </w:tcPr>
  </w:style>
  <w:style w:customStyle="1" w:styleId="a7" w:type="table">
    <w:basedOn w:val="TableNormal"/>
    <w:pPr>
      <w:keepNext/>
      <w:keepLines/>
      <w:spacing w:after="0" w:line="240" w:lineRule="auto"/>
      <w:jc w:val="right"/>
    </w:pPr>
    <w:tblPr>
      <w:tblStyleRowBandSize w:val="1"/>
      <w:tblStyleColBandSize w:val="1"/>
      <w:tblCellMar>
        <w:left w:type="dxa" w:w="115"/>
        <w:right w:type="dxa" w:w="115"/>
      </w:tblCellMar>
    </w:tblPr>
    <w:tcPr>
      <w:shd w:color="auto" w:fill="auto" w:val="clear"/>
      <w:vAlign w:val="center"/>
    </w:tcPr>
  </w:style>
  <w:style w:customStyle="1" w:styleId="a8" w:type="table">
    <w:basedOn w:val="TableNormal"/>
    <w:pPr>
      <w:keepNext/>
      <w:keepLines/>
      <w:spacing w:after="0" w:line="240" w:lineRule="auto"/>
      <w:jc w:val="right"/>
    </w:pPr>
    <w:tblPr>
      <w:tblStyleRowBandSize w:val="1"/>
      <w:tblStyleColBandSize w:val="1"/>
      <w:tblCellMar>
        <w:left w:type="dxa" w:w="115"/>
        <w:right w:type="dxa" w:w="115"/>
      </w:tblCellMar>
    </w:tblPr>
    <w:tcPr>
      <w:shd w:color="auto" w:fill="auto" w:val="clear"/>
      <w:vAlign w:val="center"/>
    </w:tcPr>
  </w:style>
  <w:style w:customStyle="1" w:styleId="a9" w:type="table">
    <w:basedOn w:val="TableNormal"/>
    <w:pPr>
      <w:keepNext/>
      <w:keepLines/>
      <w:spacing w:after="0" w:line="240" w:lineRule="auto"/>
      <w:jc w:val="right"/>
    </w:pPr>
    <w:tblPr>
      <w:tblStyleRowBandSize w:val="1"/>
      <w:tblStyleColBandSize w:val="1"/>
      <w:tblCellMar>
        <w:left w:type="dxa" w:w="115"/>
        <w:right w:type="dxa" w:w="115"/>
      </w:tblCellMar>
    </w:tblPr>
    <w:tcPr>
      <w:shd w:color="auto" w:fill="auto" w:val="clear"/>
      <w:vAlign w:val="center"/>
    </w:tcPr>
  </w:style>
  <w:style w:customStyle="1" w:styleId="aa" w:type="table">
    <w:basedOn w:val="TableNormal"/>
    <w:pPr>
      <w:keepNext/>
      <w:keepLines/>
      <w:spacing w:after="0" w:line="240" w:lineRule="auto"/>
      <w:jc w:val="right"/>
    </w:pPr>
    <w:tblPr>
      <w:tblStyleRowBandSize w:val="1"/>
      <w:tblStyleColBandSize w:val="1"/>
      <w:tblCellMar>
        <w:left w:type="dxa" w:w="115"/>
        <w:right w:type="dxa" w:w="115"/>
      </w:tblCellMar>
    </w:tblPr>
    <w:tcPr>
      <w:shd w:color="auto" w:fill="auto" w:val="clear"/>
      <w:vAlign w:val="center"/>
    </w:tcPr>
    <w:tblStylePr w:type="firstRow">
      <w:pPr>
        <w:jc w:val="center"/>
      </w:pPr>
      <w:rPr>
        <w:rFonts w:ascii="Arial" w:cs="Arial" w:eastAsia="Arial" w:hAnsi="Arial"/>
        <w:b/>
        <w:sz w:val="20"/>
        <w:szCs w:val="20"/>
      </w:rPr>
      <w:tblPr/>
      <w:tcPr>
        <w:tcBorders>
          <w:top w:color="000000" w:space="0" w:sz="4" w:val="single"/>
          <w:bottom w:color="000000" w:space="0" w:sz="4" w:val="single"/>
        </w:tcBorders>
        <w:vAlign w:val="bottom"/>
      </w:tcPr>
    </w:tblStylePr>
    <w:tblStylePr w:type="lastRow">
      <w:rPr>
        <w:rFonts w:ascii="Arial" w:cs="Arial" w:eastAsia="Arial" w:hAnsi="Arial"/>
        <w:b/>
        <w:i w:val="0"/>
        <w:sz w:val="20"/>
        <w:szCs w:val="20"/>
      </w:rPr>
      <w:tblPr/>
      <w:tcPr>
        <w:tcBorders>
          <w:top w:val="nil"/>
          <w:left w:val="nil"/>
          <w:bottom w:color="000000" w:space="0" w:sz="4" w:val="single"/>
          <w:right w:val="nil"/>
          <w:insideH w:val="nil"/>
          <w:insideV w:val="nil"/>
        </w:tcBorders>
        <w:shd w:color="auto" w:fill="auto" w:val="clear"/>
      </w:tcPr>
    </w:tblStylePr>
    <w:tblStylePr w:type="firstCol">
      <w:pPr>
        <w:jc w:val="left"/>
      </w:pPr>
      <w:rPr>
        <w:rFonts w:ascii="Arial" w:cs="Arial" w:eastAsia="Arial" w:hAnsi="Arial"/>
        <w:b w:val="0"/>
        <w:sz w:val="20"/>
        <w:szCs w:val="20"/>
      </w:rPr>
    </w:tblStylePr>
    <w:tblStylePr w:type="lastCol">
      <w:rPr>
        <w:rFonts w:ascii="Arial" w:cs="Arial" w:eastAsia="Arial" w:hAnsi="Arial"/>
        <w:b/>
        <w:sz w:val="20"/>
        <w:szCs w:val="20"/>
      </w:r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4.xml" Type="http://schemas.openxmlformats.org/officeDocument/2006/relationships/footer" /><Relationship Id="rId11" Target="footer1.xml" Type="http://schemas.openxmlformats.org/officeDocument/2006/relationships/footer" /><Relationship Id="rId12" Target="footer3.xml" Type="http://schemas.openxmlformats.org/officeDocument/2006/relationships/footer" /><Relationship Id="rId13" Target="footer5.xml" Type="http://schemas.openxmlformats.org/officeDocument/2006/relationships/footer" /><Relationship Type="http://schemas.openxmlformats.org/officeDocument/2006/relationships/hyperlink" Id="rId45" Target="https://github.com/EricArcher/swfscMisc/tree/master" TargetMode="External" /><Relationship Type="http://schemas.openxmlformats.org/officeDocument/2006/relationships/hyperlink" Id="rId36" Target="https://github.com/PIFSCstockassessments/AmSam-Bottomfish-2023/tree/master/Scripts/03_Report%20scripts" TargetMode="External" /><Relationship Type="http://schemas.openxmlformats.org/officeDocument/2006/relationships/hyperlink" Id="rId24" Target="https://github.com/afsc-assessments/afscdata/" TargetMode="External" /><Relationship Type="http://schemas.openxmlformats.org/officeDocument/2006/relationships/hyperlink" Id="rId43" Target="https://github.com/melissamonk-NOAA/StockAssessment_template" TargetMode="External" /><Relationship Type="http://schemas.openxmlformats.org/officeDocument/2006/relationships/hyperlink" Id="rId44" Target="https://github.com/peterkuriyama/cpsassessment/blob/main/R/process_output.R" TargetMode="External" /></Relationships>
</file>

<file path=word/_rels/footnotes.xml.rels><?xml version="1.0" encoding="UTF-8"?><Relationships xmlns="http://schemas.openxmlformats.org/package/2006/relationships"><Relationship Type="http://schemas.openxmlformats.org/officeDocument/2006/relationships/hyperlink" Id="rId45" Target="https://github.com/EricArcher/swfscMisc/tree/master" TargetMode="External" /><Relationship Type="http://schemas.openxmlformats.org/officeDocument/2006/relationships/hyperlink" Id="rId36" Target="https://github.com/PIFSCstockassessments/AmSam-Bottomfish-2023/tree/master/Scripts/03_Report%20scripts" TargetMode="External" /><Relationship Type="http://schemas.openxmlformats.org/officeDocument/2006/relationships/hyperlink" Id="rId24" Target="https://github.com/afsc-assessments/afscdata/" TargetMode="External" /><Relationship Type="http://schemas.openxmlformats.org/officeDocument/2006/relationships/hyperlink" Id="rId43" Target="https://github.com/melissamonk-NOAA/StockAssessment_template" TargetMode="External" /><Relationship Type="http://schemas.openxmlformats.org/officeDocument/2006/relationships/hyperlink" Id="rId44" Target="https://github.com/peterkuriyama/cpsassessment/blob/main/R/process_outpu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28</Pages>
  <Words>5872</Words>
  <Characters>33472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U.S. Stock Assessment Workflows</dc:title>
  <dc:creator>Samantha Schiano</dc:creator>
  <cp:keywords/>
  <dcterms:created xsi:type="dcterms:W3CDTF">2024-04-02T16:54:27Z</dcterms:created>
  <dcterms:modified xsi:type="dcterms:W3CDTF">2024-04-02T16:54:27Z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2024-04-01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Tools and Templates</vt:lpwstr>
  </property>
  <property fmtid="{D5CDD505-2E9C-101B-9397-08002B2CF9AE}" pid="17" name="template-partials">
    <vt:lpwstr/>
  </property>
  <property fmtid="{D5CDD505-2E9C-101B-9397-08002B2CF9AE}" pid="18" name="toc-title">
    <vt:lpwstr>Table of contents</vt:lpwstr>
  </property>
</Properties>
</file>