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media/image1.jpg" ContentType="image/jpe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U.S.</w:t>
      </w:r>
      <w:r>
        <w:t xml:space="preserve"> </w:t>
      </w:r>
      <w:r>
        <w:t xml:space="preserve">Stock</w:t>
      </w:r>
      <w:r>
        <w:t xml:space="preserve"> </w:t>
      </w:r>
      <w:r>
        <w:t xml:space="preserve">Assessment</w:t>
      </w:r>
      <w:r>
        <w:t xml:space="preserve"> </w:t>
      </w:r>
      <w:r>
        <w:t xml:space="preserve">Workflows</w:t>
      </w:r>
    </w:p>
    <w:p>
      <w:pPr>
        <w:pStyle w:val="Subtitle"/>
      </w:pPr>
      <w:r>
        <w:t xml:space="preserve">Tools,</w:t>
      </w:r>
      <w:r>
        <w:t xml:space="preserve"> </w:t>
      </w:r>
      <w:r>
        <w:t xml:space="preserve">Templates,</w:t>
      </w:r>
      <w:r>
        <w:t xml:space="preserve"> </w:t>
      </w:r>
      <w:r>
        <w:t xml:space="preserve">and</w:t>
      </w:r>
      <w:r>
        <w:t xml:space="preserve"> </w:t>
      </w:r>
      <w:r>
        <w:t xml:space="preserve">other</w:t>
      </w:r>
      <w:r>
        <w:t xml:space="preserve"> </w:t>
      </w:r>
      <w:r>
        <w:t xml:space="preserve">Resources</w:t>
      </w:r>
    </w:p>
    <w:p>
      <w:pPr>
        <w:pStyle w:val="Author"/>
      </w:pPr>
      <w:r>
        <w:t xml:space="preserve">Samantha</w:t>
      </w:r>
      <w:r>
        <w:t xml:space="preserve"> </w:t>
      </w:r>
      <w:r>
        <w:t xml:space="preserve">Schiano</w:t>
      </w:r>
    </w:p>
    <w:p>
      <w:pPr>
        <w:pStyle w:val="Date"/>
      </w:pPr>
      <w:r>
        <w:t xml:space="preserve">2024-04-01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Schiano, S. 2024. Summary of U.S. Stock Assessment Workflows: Tools and Templates. NOAA Fisheries Office of Science and Technology.</w:t>
      </w:r>
    </w:p>
    <w:p>
      <w:r>
        <w:br w:type="page"/>
      </w:r>
    </w:p>
    <w:bookmarkEnd w:id="20"/>
    <w:bookmarkStart w:id="21" w:name="summary"/>
    <w:p>
      <w:pPr>
        <w:pStyle w:val="Heading1"/>
      </w:pPr>
      <w:r>
        <w:t xml:space="preserve">1. Summary</w:t>
      </w:r>
    </w:p>
    <w:p>
      <w:pPr>
        <w:pStyle w:val="FirstParagraph"/>
      </w:pPr>
      <w:r>
        <w:t xml:space="preserve">Developing and producing a stock assessment report requires a considerable amount of data consolidation, analysis, and research. Reports can range from 10 pages to well over 300, but the goal of the process remains to provide management advice with the current and projected status of the stock, catches, and other important parameters to ensure its sustainability. There have been many efforts done to improve the reproducibility of workflows and reduce time it takes to produce these reports. So far,improvements and efforts have ranged considerably by region of the U.S. Specifically, each of the seven regional fishery science centers across the U.S. have their own workflows to assess a stock and produce its report. Many of these workflows are guided by requirements from fishery management councils and other involved managing bodies that utilize these reports to delegate fishery regulations.</w:t>
      </w:r>
    </w:p>
    <w:p>
      <w:pPr>
        <w:pStyle w:val="BodyText"/>
      </w:pPr>
      <w:r>
        <w:t xml:space="preserve">Workflows across the country not only range from region to region, but from scientist to scientist. There is no current standardized or accepted best practice for producing a stock assessment report. Some centers rely on the use of latex, a common software to produce documents with in-text calculations, while others utilize more recently developed programs like Rmarkdown and quarto, which both use latex as a basis for their production. Others utilize the capacity of Microsoft word which restricts the reproducibility of a report as well as increases work time since figures, tables, and other associated resources must be compiled outside of the word document.</w:t>
      </w:r>
    </w:p>
    <w:p>
      <w:pPr>
        <w:pStyle w:val="BodyText"/>
      </w:pPr>
      <w:r>
        <w:rPr>
          <w:bCs/>
          <w:b/>
        </w:rPr>
        <w:t xml:space="preserve">Description of interaction and list of fishery management coucils across the US</w:t>
      </w:r>
    </w:p>
    <w:bookmarkEnd w:id="21"/>
    <w:bookmarkStart w:id="22" w:name="sec-general"/>
    <w:p>
      <w:pPr>
        <w:pStyle w:val="Heading1"/>
      </w:pPr>
      <w:r>
        <w:t xml:space="preserve">2. General Stock Assessment Workflow (commonalities and process)</w:t>
      </w:r>
    </w:p>
    <w:p>
      <w:pPr>
        <w:numPr>
          <w:ilvl w:val="0"/>
          <w:numId w:val="1001"/>
        </w:numPr>
        <w:pStyle w:val="Compact"/>
      </w:pPr>
      <w:r>
        <w:t xml:space="preserve">Description of stock assessment workflows from input to bringing the report to the SSC and council(s) for evaluation and adoption of formal management measures resulting from recommendations</w:t>
      </w:r>
    </w:p>
    <w:p>
      <w:pPr>
        <w:numPr>
          <w:ilvl w:val="0"/>
          <w:numId w:val="1002"/>
        </w:numPr>
      </w:pPr>
      <w:r>
        <w:t xml:space="preserve">Gather data inputs for model</w:t>
      </w:r>
    </w:p>
    <w:p>
      <w:pPr>
        <w:numPr>
          <w:ilvl w:val="0"/>
          <w:numId w:val="1002"/>
        </w:numPr>
      </w:pPr>
      <w:r>
        <w:t xml:space="preserve">Configure assessment model with updated data (based on assessment need for that year)</w:t>
      </w:r>
    </w:p>
    <w:p>
      <w:pPr>
        <w:numPr>
          <w:ilvl w:val="0"/>
          <w:numId w:val="1002"/>
        </w:numPr>
      </w:pPr>
      <w:r>
        <w:t xml:space="preserve">Sensitivity runs and projections</w:t>
      </w:r>
    </w:p>
    <w:p>
      <w:pPr>
        <w:numPr>
          <w:ilvl w:val="0"/>
          <w:numId w:val="1002"/>
        </w:numPr>
      </w:pPr>
      <w:r>
        <w:t xml:space="preserve">Develop assessment report for SSC, councils, and/or RFMOs</w:t>
      </w:r>
    </w:p>
    <w:p>
      <w:pPr>
        <w:numPr>
          <w:ilvl w:val="0"/>
          <w:numId w:val="1002"/>
        </w:numPr>
      </w:pPr>
      <w:r>
        <w:t xml:space="preserve">Present assessment and recommendations to SSC and councils</w:t>
      </w:r>
    </w:p>
    <w:p>
      <w:pPr>
        <w:numPr>
          <w:ilvl w:val="0"/>
          <w:numId w:val="1002"/>
        </w:numPr>
      </w:pPr>
      <w:r>
        <w:t xml:space="preserve">Assessment accepted or not, create formal report for public release and adoption recommendations as designated by the councils</w:t>
      </w:r>
    </w:p>
    <w:bookmarkEnd w:id="22"/>
    <w:bookmarkStart w:id="23" w:name="stock-assessment-models"/>
    <w:p>
      <w:pPr>
        <w:pStyle w:val="Heading1"/>
      </w:pPr>
      <w:r>
        <w:t xml:space="preserve">3. Stock Assessment Models</w:t>
      </w:r>
    </w:p>
    <w:p>
      <w:pPr>
        <w:pStyle w:val="FirstParagraph"/>
      </w:pPr>
      <w:r>
        <w:t xml:space="preserve">[Short descriptions of commonly used stock assessment models within the U.S. including acknowledgement of smaller used models and FIMS for the future]</w:t>
      </w:r>
    </w:p>
    <w:p>
      <w:pPr>
        <w:numPr>
          <w:ilvl w:val="0"/>
          <w:numId w:val="1003"/>
        </w:numPr>
      </w:pPr>
      <w:r>
        <w:t xml:space="preserve">General use of assessment models in the workflow (self-explanatory)</w:t>
      </w:r>
    </w:p>
    <w:p>
      <w:pPr>
        <w:numPr>
          <w:ilvl w:val="0"/>
          <w:numId w:val="1003"/>
        </w:numPr>
      </w:pPr>
      <w:r>
        <w:t xml:space="preserve">Short descriptions of various models used in the U.S. around the regions (purpose is so that the reader can understand the model when it is reference in the section later)</w:t>
      </w:r>
    </w:p>
    <w:p>
      <w:pPr>
        <w:numPr>
          <w:ilvl w:val="1"/>
          <w:numId w:val="1004"/>
        </w:numPr>
        <w:pStyle w:val="Compact"/>
      </w:pPr>
      <w:r>
        <w:t xml:space="preserve">Categorize based on assessment type rather than assessment model (age-structured/catch-at-age, catch-at-length, VPA, Agg. Biomass Dynamics, Index-based, data-limited)</w:t>
      </w:r>
    </w:p>
    <w:p>
      <w:pPr>
        <w:numPr>
          <w:ilvl w:val="0"/>
          <w:numId w:val="1003"/>
        </w:numPr>
      </w:pPr>
      <w:r>
        <w:t xml:space="preserve">Include link/reference to papers/repositories at end of summary for reader to reference (also refer to FIT)</w:t>
      </w:r>
    </w:p>
    <w:p>
      <w:pPr>
        <w:numPr>
          <w:ilvl w:val="0"/>
          <w:numId w:val="1003"/>
        </w:numPr>
      </w:pPr>
      <w:r>
        <w:t xml:space="preserve">WHAM, SS, BAM, ASAP, AMAK, Bespoke, FIMS, ect</w:t>
      </w:r>
    </w:p>
    <w:bookmarkEnd w:id="23"/>
    <w:bookmarkStart w:id="42" w:name="sec-tools"/>
    <w:p>
      <w:pPr>
        <w:pStyle w:val="Heading1"/>
      </w:pPr>
      <w:r>
        <w:t xml:space="preserve">4. Tools and Resources</w:t>
      </w:r>
    </w:p>
    <w:p>
      <w:pPr>
        <w:numPr>
          <w:ilvl w:val="0"/>
          <w:numId w:val="1005"/>
        </w:numPr>
        <w:pStyle w:val="Compact"/>
      </w:pPr>
      <w:r>
        <w:t xml:space="preserve">Tools and templates available for different models and workflows (added as a list of tools in a way instead of by region since there are a lot of regions that use the same tools)</w:t>
      </w:r>
    </w:p>
    <w:bookmarkStart w:id="24" w:name="sec-afscdata"/>
    <w:p>
      <w:pPr>
        <w:pStyle w:val="Heading2"/>
      </w:pPr>
      <w:r>
        <w:t xml:space="preserve">4.1 afscdata</w:t>
      </w:r>
    </w:p>
    <w:bookmarkEnd w:id="24"/>
    <w:bookmarkStart w:id="25" w:name="sec-afscassess"/>
    <w:p>
      <w:pPr>
        <w:pStyle w:val="Heading2"/>
      </w:pPr>
      <w:r>
        <w:t xml:space="preserve">4.2 afscassess</w:t>
      </w:r>
    </w:p>
    <w:bookmarkEnd w:id="25"/>
    <w:bookmarkStart w:id="26" w:name="sec-safe"/>
    <w:p>
      <w:pPr>
        <w:pStyle w:val="Heading2"/>
      </w:pPr>
      <w:r>
        <w:t xml:space="preserve">4.3 safe Report Template</w:t>
      </w:r>
    </w:p>
    <w:bookmarkEnd w:id="26"/>
    <w:bookmarkStart w:id="27" w:name="sec-r4ss"/>
    <w:p>
      <w:pPr>
        <w:pStyle w:val="Heading2"/>
      </w:pPr>
      <w:r>
        <w:t xml:space="preserve">4.4 r4ss</w:t>
      </w:r>
    </w:p>
    <w:bookmarkEnd w:id="27"/>
    <w:bookmarkStart w:id="28" w:name="sec-sa4ss"/>
    <w:p>
      <w:pPr>
        <w:pStyle w:val="Heading2"/>
      </w:pPr>
      <w:r>
        <w:t xml:space="preserve">4.5 sa4ss - SS Report Template</w:t>
      </w:r>
    </w:p>
    <w:bookmarkEnd w:id="28"/>
    <w:bookmarkStart w:id="29" w:name="sec-asapplots"/>
    <w:p>
      <w:pPr>
        <w:pStyle w:val="Heading2"/>
      </w:pPr>
      <w:r>
        <w:t xml:space="preserve">4.6 ASAPplots</w:t>
      </w:r>
    </w:p>
    <w:bookmarkEnd w:id="29"/>
    <w:bookmarkStart w:id="30" w:name="sec-mafscsafe"/>
    <w:p>
      <w:pPr>
        <w:pStyle w:val="Heading2"/>
      </w:pPr>
      <w:r>
        <w:t xml:space="preserve">4.7 MAFSC SAFE Reports Template</w:t>
      </w:r>
    </w:p>
    <w:bookmarkEnd w:id="30"/>
    <w:bookmarkStart w:id="31" w:name="sec-sedartemplate"/>
    <w:p>
      <w:pPr>
        <w:pStyle w:val="Heading2"/>
      </w:pPr>
      <w:r>
        <w:t xml:space="preserve">4.8 SEDAR-Assessement Report Template</w:t>
      </w:r>
    </w:p>
    <w:bookmarkEnd w:id="31"/>
    <w:bookmarkStart w:id="32" w:name="sec-fishgraph"/>
    <w:p>
      <w:pPr>
        <w:pStyle w:val="Heading2"/>
      </w:pPr>
      <w:r>
        <w:t xml:space="preserve">4.9 FishGraph</w:t>
      </w:r>
    </w:p>
    <w:bookmarkEnd w:id="32"/>
    <w:bookmarkStart w:id="33" w:name="sec-admb2r"/>
    <w:p>
      <w:pPr>
        <w:pStyle w:val="Heading2"/>
      </w:pPr>
      <w:r>
        <w:t xml:space="preserve">4.10 ADMB2R</w:t>
      </w:r>
    </w:p>
    <w:bookmarkEnd w:id="33"/>
    <w:bookmarkStart w:id="34" w:name="sec-sasinf"/>
    <w:p>
      <w:pPr>
        <w:pStyle w:val="Heading2"/>
      </w:pPr>
      <w:r>
        <w:t xml:space="preserve">4.11 SASINF</w:t>
      </w:r>
    </w:p>
    <w:bookmarkEnd w:id="34"/>
    <w:bookmarkStart w:id="35" w:name="sec-swfsctemplate"/>
    <w:p>
      <w:pPr>
        <w:pStyle w:val="Heading2"/>
      </w:pPr>
      <w:r>
        <w:t xml:space="preserve">4.12 SW Stock Assessment Template</w:t>
      </w:r>
    </w:p>
    <w:bookmarkEnd w:id="35"/>
    <w:bookmarkStart w:id="36" w:name="sec-brailler"/>
    <w:p>
      <w:pPr>
        <w:pStyle w:val="Heading2"/>
      </w:pPr>
      <w:r>
        <w:t xml:space="preserve">4.13 BrailleR</w:t>
      </w:r>
    </w:p>
    <w:bookmarkEnd w:id="36"/>
    <w:bookmarkStart w:id="37" w:name="sec-swroutput"/>
    <w:p>
      <w:pPr>
        <w:pStyle w:val="Heading2"/>
      </w:pPr>
      <w:r>
        <w:t xml:space="preserve">4.14 SW R Process Output</w:t>
      </w:r>
    </w:p>
    <w:bookmarkEnd w:id="37"/>
    <w:bookmarkStart w:id="38" w:name="sec-swfscmisc"/>
    <w:p>
      <w:pPr>
        <w:pStyle w:val="Heading2"/>
      </w:pPr>
      <w:r>
        <w:t xml:space="preserve">4.15 swfscMisc</w:t>
      </w:r>
    </w:p>
    <w:bookmarkEnd w:id="38"/>
    <w:bookmarkStart w:id="39" w:name="sec-nmfsreports"/>
    <w:p>
      <w:pPr>
        <w:pStyle w:val="Heading2"/>
      </w:pPr>
      <w:r>
        <w:t xml:space="preserve">4.16 NMFSReports</w:t>
      </w:r>
    </w:p>
    <w:bookmarkEnd w:id="39"/>
    <w:bookmarkStart w:id="40" w:name="sec-noaatechmemo"/>
    <w:p>
      <w:pPr>
        <w:pStyle w:val="Heading2"/>
      </w:pPr>
      <w:r>
        <w:t xml:space="preserve">4.17 NOAA Tech Memo Template</w:t>
      </w:r>
    </w:p>
    <w:bookmarkEnd w:id="40"/>
    <w:bookmarkStart w:id="41" w:name="sec-othertemplates"/>
    <w:p>
      <w:pPr>
        <w:pStyle w:val="Heading2"/>
      </w:pPr>
      <w:r>
        <w:t xml:space="preserve">4.18 Other Assessment Report Template Repositories</w:t>
      </w:r>
    </w:p>
    <w:bookmarkEnd w:id="41"/>
    <w:bookmarkEnd w:id="42"/>
    <w:bookmarkStart w:id="49" w:name="sec-regionworkflows"/>
    <w:p>
      <w:pPr>
        <w:pStyle w:val="Heading1"/>
      </w:pPr>
      <w:r>
        <w:t xml:space="preserve">5. Region Specific Workflow</w:t>
      </w:r>
    </w:p>
    <w:p>
      <w:pPr>
        <w:numPr>
          <w:ilvl w:val="0"/>
          <w:numId w:val="1006"/>
        </w:numPr>
      </w:pPr>
      <w:r>
        <w:t xml:space="preserve">Descriptions of the workflows by region and what separates them from other regions</w:t>
      </w:r>
    </w:p>
    <w:p>
      <w:pPr>
        <w:numPr>
          <w:ilvl w:val="0"/>
          <w:numId w:val="1006"/>
        </w:numPr>
      </w:pPr>
      <w:r>
        <w:t xml:space="preserve">Advances made by this region and the tools they use</w:t>
      </w:r>
    </w:p>
    <w:p>
      <w:pPr>
        <w:numPr>
          <w:ilvl w:val="0"/>
          <w:numId w:val="1006"/>
        </w:numPr>
      </w:pPr>
      <w:r>
        <w:t xml:space="preserve">Particular struggles or unique operations incorporated into their workflow</w:t>
      </w:r>
    </w:p>
    <w:p>
      <w:pPr>
        <w:numPr>
          <w:ilvl w:val="0"/>
          <w:numId w:val="1006"/>
        </w:numPr>
      </w:pPr>
      <w:r>
        <w:t xml:space="preserve">Table of resources used for their workflows</w:t>
      </w:r>
    </w:p>
    <w:bookmarkStart w:id="43" w:name="sec-afsc"/>
    <w:p>
      <w:pPr>
        <w:pStyle w:val="Heading2"/>
      </w:pPr>
      <w:r>
        <w:t xml:space="preserve">5.1 AFSC</w:t>
      </w:r>
    </w:p>
    <w:p>
      <w:pPr>
        <w:pStyle w:val="FirstParagraph"/>
      </w:pPr>
      <w:r>
        <w:t xml:space="preserve">Alternative way to reference section</w:t>
      </w:r>
      <w:r>
        <w:t xml:space="preserve"> </w:t>
      </w:r>
      <w:hyperlink w:anchor="sec-safe">
        <w:r>
          <w:rPr>
            <w:rStyle w:val="Hyperlink"/>
          </w:rPr>
          <w:t xml:space="preserve">safe Report Template</w:t>
        </w:r>
      </w:hyperlink>
      <w:r>
        <w:t xml:space="preserve"> </w:t>
      </w:r>
      <w:r>
        <w:t xml:space="preserve">rather than</w:t>
      </w:r>
      <w:r>
        <w:t xml:space="preserve"> </w:t>
      </w:r>
      <w:hyperlink w:anchor="sec-safe">
        <w:r>
          <w:rPr>
            <w:rStyle w:val="Hyperlink"/>
          </w:rPr>
          <w:t xml:space="preserve">Section 4.3</w:t>
        </w:r>
      </w:hyperlink>
      <w:r>
        <w:t xml:space="preserve"> </w:t>
      </w:r>
      <w:r>
        <w:t xml:space="preserve">*Note doesn’t work with html render.</w:t>
      </w:r>
    </w:p>
    <w:bookmarkEnd w:id="43"/>
    <w:bookmarkStart w:id="44" w:name="sec-nefsc"/>
    <w:p>
      <w:pPr>
        <w:pStyle w:val="Heading2"/>
      </w:pPr>
      <w:r>
        <w:t xml:space="preserve">5.2 NEFSC</w:t>
      </w:r>
    </w:p>
    <w:p>
      <w:pPr>
        <w:pStyle w:val="FirstParagraph"/>
      </w:pPr>
      <w:r>
        <w:t xml:space="preserve">Process variations:</w:t>
      </w:r>
    </w:p>
    <w:p>
      <w:pPr>
        <w:numPr>
          <w:ilvl w:val="0"/>
          <w:numId w:val="1007"/>
        </w:numPr>
      </w:pPr>
      <w:r>
        <w:t xml:space="preserve">Informal/verbal agreement for TOR guidelines for each stock</w:t>
      </w:r>
    </w:p>
    <w:p>
      <w:pPr>
        <w:numPr>
          <w:ilvl w:val="0"/>
          <w:numId w:val="1007"/>
        </w:numPr>
      </w:pPr>
      <w:r>
        <w:t xml:space="preserve">Standardized report template agreed upon by NOAA and the MAFMC AND NEFMC (agreed on in 2017)</w:t>
      </w:r>
    </w:p>
    <w:p>
      <w:pPr>
        <w:numPr>
          <w:ilvl w:val="1"/>
          <w:numId w:val="1008"/>
        </w:numPr>
        <w:pStyle w:val="Compact"/>
      </w:pPr>
      <w:r>
        <w:t xml:space="preserve">Short and concise to make policy decisions (mgmt track specifically)</w:t>
      </w:r>
    </w:p>
    <w:p>
      <w:pPr>
        <w:numPr>
          <w:ilvl w:val="0"/>
          <w:numId w:val="1007"/>
        </w:numPr>
      </w:pPr>
      <w:r>
        <w:t xml:space="preserve">Report template is not publicly available but all done in latex (modular workflow)</w:t>
      </w:r>
    </w:p>
    <w:p>
      <w:pPr>
        <w:numPr>
          <w:ilvl w:val="1"/>
          <w:numId w:val="1009"/>
        </w:numPr>
      </w:pPr>
      <w:r>
        <w:t xml:space="preserve">Figures rendered outside (saved as png) then reference in doc</w:t>
      </w:r>
    </w:p>
    <w:p>
      <w:pPr>
        <w:numPr>
          <w:ilvl w:val="1"/>
          <w:numId w:val="1009"/>
        </w:numPr>
      </w:pPr>
      <w:r>
        <w:t xml:space="preserve">Tables created into tex files and referenced as component in template</w:t>
      </w:r>
    </w:p>
    <w:p>
      <w:pPr>
        <w:numPr>
          <w:ilvl w:val="0"/>
          <w:numId w:val="1007"/>
        </w:numPr>
      </w:pPr>
      <w:r>
        <w:t xml:space="preserve">Extensive work with 508 compliance</w:t>
      </w:r>
    </w:p>
    <w:p>
      <w:pPr>
        <w:numPr>
          <w:ilvl w:val="1"/>
          <w:numId w:val="1010"/>
        </w:numPr>
        <w:pStyle w:val="Compact"/>
      </w:pPr>
      <w:r>
        <w:t xml:space="preserve">Contractors developing package for compliance to apply to template</w:t>
      </w:r>
    </w:p>
    <w:p>
      <w:pPr>
        <w:pStyle w:val="FirstParagraph"/>
      </w:pPr>
      <w:r>
        <w:t xml:space="preserve">Largest problems:</w:t>
      </w:r>
    </w:p>
    <w:p>
      <w:pPr>
        <w:numPr>
          <w:ilvl w:val="0"/>
          <w:numId w:val="1011"/>
        </w:numPr>
      </w:pPr>
      <w:r>
        <w:t xml:space="preserve">Lots of processing variables for 508 compliance</w:t>
      </w:r>
    </w:p>
    <w:p>
      <w:pPr>
        <w:numPr>
          <w:ilvl w:val="0"/>
          <w:numId w:val="1011"/>
        </w:numPr>
      </w:pPr>
      <w:r>
        <w:t xml:space="preserve">Even with all the work in the compliance, there is still a large effort into making it accessible (~2 week conversion for single analyst at the center)</w:t>
      </w:r>
    </w:p>
    <w:bookmarkEnd w:id="44"/>
    <w:bookmarkStart w:id="45" w:name="sec-nwfsc"/>
    <w:p>
      <w:pPr>
        <w:pStyle w:val="Heading2"/>
      </w:pPr>
      <w:r>
        <w:t xml:space="preserve">5.3 NWFSC</w:t>
      </w:r>
    </w:p>
    <w:bookmarkEnd w:id="45"/>
    <w:bookmarkStart w:id="46" w:name="sec-pifsc"/>
    <w:p>
      <w:pPr>
        <w:pStyle w:val="Heading2"/>
      </w:pPr>
      <w:r>
        <w:t xml:space="preserve">5.4 PIFSC</w:t>
      </w:r>
    </w:p>
    <w:bookmarkEnd w:id="46"/>
    <w:bookmarkStart w:id="47" w:name="sec-sefsc"/>
    <w:p>
      <w:pPr>
        <w:pStyle w:val="Heading2"/>
      </w:pPr>
      <w:r>
        <w:t xml:space="preserve">5.5 SEFSC</w:t>
      </w:r>
    </w:p>
    <w:bookmarkEnd w:id="47"/>
    <w:bookmarkStart w:id="48" w:name="sec-swfsc"/>
    <w:p>
      <w:pPr>
        <w:pStyle w:val="Heading2"/>
      </w:pPr>
      <w:r>
        <w:t xml:space="preserve">5.6 SWFSC</w:t>
      </w:r>
    </w:p>
    <w:p>
      <w:pPr>
        <w:pStyle w:val="FirstParagraph"/>
      </w:pPr>
      <w:r>
        <w:t xml:space="preserve">Example in text reference</w:t>
      </w:r>
      <w:r>
        <w:t xml:space="preserve"> </w:t>
      </w:r>
      <w:r>
        <w:t xml:space="preserve">(Clark 1993)</w:t>
      </w:r>
      <w:r>
        <w:t xml:space="preserve">.</w:t>
      </w:r>
    </w:p>
    <w:bookmarkEnd w:id="48"/>
    <w:bookmarkEnd w:id="49"/>
    <w:bookmarkStart w:id="51" w:name="conclusions"/>
    <w:p>
      <w:pPr>
        <w:pStyle w:val="Heading1"/>
      </w:pPr>
      <w:r>
        <w:t xml:space="preserve">6. Conclusions</w:t>
      </w:r>
    </w:p>
    <w:p>
      <w:pPr>
        <w:numPr>
          <w:ilvl w:val="0"/>
          <w:numId w:val="1012"/>
        </w:numPr>
      </w:pPr>
      <w:r>
        <w:t xml:space="preserve">Conclusions about how workflows operate in the U.S.</w:t>
      </w:r>
    </w:p>
    <w:p>
      <w:pPr>
        <w:numPr>
          <w:ilvl w:val="1"/>
          <w:numId w:val="1013"/>
        </w:numPr>
      </w:pPr>
      <w:r>
        <w:t xml:space="preserve">Both pros and pitfalls of current workflows</w:t>
      </w:r>
    </w:p>
    <w:p>
      <w:pPr>
        <w:numPr>
          <w:ilvl w:val="1"/>
          <w:numId w:val="1013"/>
        </w:numPr>
      </w:pPr>
      <w:r>
        <w:t xml:space="preserve">Incorporating perspectives from regional scientists?</w:t>
      </w:r>
    </w:p>
    <w:p>
      <w:pPr>
        <w:numPr>
          <w:ilvl w:val="0"/>
          <w:numId w:val="1012"/>
        </w:numPr>
      </w:pPr>
      <w:r>
        <w:t xml:space="preserve">Additional hope for greater look into the inputs and pulling together the entire stock assessment workflow process</w:t>
      </w:r>
    </w:p>
    <w:bookmarkStart w:id="50" w:name="future-work"/>
    <w:p>
      <w:pPr>
        <w:pStyle w:val="Heading2"/>
      </w:pPr>
      <w:r>
        <w:t xml:space="preserve">6.1 Future Work</w:t>
      </w:r>
    </w:p>
    <w:p>
      <w:pPr>
        <w:numPr>
          <w:ilvl w:val="0"/>
          <w:numId w:val="1014"/>
        </w:numPr>
        <w:pStyle w:val="Compact"/>
      </w:pPr>
      <w:r>
        <w:t xml:space="preserve">Discuss the upcoming/in development tool for automated workflows and plan for the future including stock assessment modelling for the future</w:t>
      </w:r>
    </w:p>
    <w:p>
      <w:r>
        <w:br w:type="page"/>
      </w:r>
    </w:p>
    <w:bookmarkEnd w:id="50"/>
    <w:bookmarkEnd w:id="51"/>
    <w:bookmarkStart w:id="54" w:name="references"/>
    <w:p>
      <w:pPr>
        <w:pStyle w:val="Heading1"/>
      </w:pPr>
      <w:r>
        <w:t xml:space="preserve">References</w:t>
      </w:r>
    </w:p>
    <w:bookmarkStart w:id="53" w:name="refs"/>
    <w:bookmarkStart w:id="52" w:name="ref-clark1993"/>
    <w:p>
      <w:pPr>
        <w:pStyle w:val="Bibliography"/>
      </w:pPr>
      <w:r>
        <w:t xml:space="preserve">Clark, W. G. 1993.</w:t>
      </w:r>
      <w:r>
        <w:t xml:space="preserve"> </w:t>
      </w:r>
      <w:r>
        <w:t xml:space="preserve">“The Effect of Recruitment Variability on the Choice of a Target Level of Spawning Biomass Per Recruit.”</w:t>
      </w:r>
      <w:r>
        <w:t xml:space="preserve"> </w:t>
      </w:r>
      <w:r>
        <w:t xml:space="preserve">In, 233246. Alaska Sea Grant College Program AK</w:t>
      </w:r>
      <w:r>
        <w:t xml:space="preserve">SG</w:t>
      </w:r>
      <w:r>
        <w:t xml:space="preserve">93</w:t>
      </w:r>
      <w:r>
        <w:t xml:space="preserve">02.</w:t>
      </w:r>
    </w:p>
    <w:bookmarkEnd w:id="52"/>
    <w:bookmarkEnd w:id="53"/>
    <w:bookmarkEnd w:id="54"/>
    <w:sectPr w:rsidR="00785667">
      <w:pgSz w:h="15840" w:w="12240"/>
      <w:pgMar w:bottom="1440" w:footer="720" w:gutter="0" w:header="720" w:left="1440" w:right="1440" w:top="144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F2428" w14:textId="77777777" w:rsidR="00785667" w:rsidRDefault="00785667">
    <w:pPr>
      <w:spacing w:after="0"/>
      <w:rPr>
        <w:color w:val="000000"/>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447F" w14:textId="77777777" w:rsidR="00785667" w:rsidRDefault="00785667">
    <w:pPr>
      <w:pBdr>
        <w:top w:val="nil"/>
        <w:left w:val="nil"/>
        <w:bottom w:val="nil"/>
        <w:right w:val="nil"/>
        <w:between w:val="nil"/>
      </w:pBdr>
      <w:tabs>
        <w:tab w:val="center" w:pos="4680"/>
        <w:tab w:val="right" w:pos="9360"/>
      </w:tabs>
      <w:spacing w:after="0"/>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00181"/>
      <w:docPartObj>
        <w:docPartGallery w:val="Page Numbers (Bottom of Page)"/>
        <w:docPartUnique/>
      </w:docPartObj>
    </w:sdtPr>
    <w:sdtEndPr>
      <w:rPr>
        <w:noProof/>
        <w:color w:val="003087"/>
        <w:sz w:val="20"/>
        <w:szCs w:val="20"/>
      </w:rPr>
    </w:sdtEndPr>
    <w:sdtContent>
      <w:p w14:paraId="26C8DA61" w14:textId="67EA1B32" w:rsidR="00785667" w:rsidRPr="00F07BAF" w:rsidRDefault="00F07BAF" w:rsidP="00F07BAF">
        <w:pPr>
          <w:pStyle w:val="Footer"/>
          <w:jc w:val="right"/>
          <w:rPr>
            <w:color w:val="003087"/>
            <w:sz w:val="20"/>
            <w:szCs w:val="20"/>
          </w:rPr>
        </w:pPr>
        <w:r>
          <w:rPr>
            <w:color w:val="000000"/>
            <w:sz w:val="20"/>
            <w:szCs w:val="20"/>
          </w:rPr>
          <w:t>National Marine Fisheries Service | Pacific Islands Fisheries Science Center</w:t>
        </w:r>
        <w:r>
          <w:rPr>
            <w:color w:val="003087"/>
            <w:sz w:val="20"/>
            <w:szCs w:val="20"/>
          </w:rPr>
          <w:tab/>
        </w:r>
        <w:r w:rsidRPr="00F07BAF">
          <w:rPr>
            <w:color w:val="003087"/>
            <w:sz w:val="20"/>
            <w:szCs w:val="20"/>
          </w:rPr>
          <w:fldChar w:fldCharType="begin"/>
        </w:r>
        <w:r w:rsidRPr="00F07BAF">
          <w:rPr>
            <w:color w:val="003087"/>
            <w:sz w:val="20"/>
            <w:szCs w:val="20"/>
          </w:rPr>
          <w:instrText xml:space="preserve"> PAGE   \* MERGEFORMAT </w:instrText>
        </w:r>
        <w:r w:rsidRPr="00F07BAF">
          <w:rPr>
            <w:color w:val="003087"/>
            <w:sz w:val="20"/>
            <w:szCs w:val="20"/>
          </w:rPr>
          <w:fldChar w:fldCharType="separate"/>
        </w:r>
        <w:r w:rsidRPr="00F07BAF">
          <w:rPr>
            <w:noProof/>
            <w:color w:val="003087"/>
            <w:sz w:val="20"/>
            <w:szCs w:val="20"/>
          </w:rPr>
          <w:t>2</w:t>
        </w:r>
        <w:r w:rsidRPr="00F07BAF">
          <w:rPr>
            <w:noProof/>
            <w:color w:val="003087"/>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04361"/>
      <w:docPartObj>
        <w:docPartGallery w:val="Page Numbers (Bottom of Page)"/>
        <w:docPartUnique/>
      </w:docPartObj>
    </w:sdtPr>
    <w:sdtEndPr>
      <w:rPr>
        <w:noProof/>
        <w:color w:val="003087"/>
        <w:sz w:val="20"/>
        <w:szCs w:val="20"/>
      </w:rPr>
    </w:sdtEndPr>
    <w:sdtContent>
      <w:p w14:paraId="65040CD6" w14:textId="5B1392C5" w:rsidR="00785667" w:rsidRPr="00F07BAF" w:rsidRDefault="00F07BAF" w:rsidP="00F07BAF">
        <w:pPr>
          <w:pStyle w:val="Footer"/>
          <w:jc w:val="right"/>
          <w:rPr>
            <w:color w:val="003087"/>
            <w:sz w:val="20"/>
            <w:szCs w:val="20"/>
          </w:rPr>
        </w:pPr>
        <w:r>
          <w:rPr>
            <w:sz w:val="20"/>
            <w:szCs w:val="20"/>
          </w:rPr>
          <w:t>U.S. Department of Commerce | National Oceanographic and Atmospheric Administration</w:t>
        </w:r>
        <w:r>
          <w:rPr>
            <w:color w:val="003087"/>
            <w:sz w:val="20"/>
            <w:szCs w:val="20"/>
          </w:rPr>
          <w:tab/>
        </w:r>
        <w:r w:rsidRPr="00F07BAF">
          <w:rPr>
            <w:color w:val="003087"/>
            <w:sz w:val="20"/>
            <w:szCs w:val="20"/>
          </w:rPr>
          <w:fldChar w:fldCharType="begin"/>
        </w:r>
        <w:r w:rsidRPr="00F07BAF">
          <w:rPr>
            <w:color w:val="003087"/>
            <w:sz w:val="20"/>
            <w:szCs w:val="20"/>
          </w:rPr>
          <w:instrText xml:space="preserve"> PAGE   \* MERGEFORMAT </w:instrText>
        </w:r>
        <w:r w:rsidRPr="00F07BAF">
          <w:rPr>
            <w:color w:val="003087"/>
            <w:sz w:val="20"/>
            <w:szCs w:val="20"/>
          </w:rPr>
          <w:fldChar w:fldCharType="separate"/>
        </w:r>
        <w:r w:rsidRPr="00F07BAF">
          <w:rPr>
            <w:noProof/>
            <w:color w:val="003087"/>
            <w:sz w:val="20"/>
            <w:szCs w:val="20"/>
          </w:rPr>
          <w:t>2</w:t>
        </w:r>
        <w:r w:rsidRPr="00F07BAF">
          <w:rPr>
            <w:noProof/>
            <w:color w:val="003087"/>
            <w:sz w:val="20"/>
            <w:szCs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852969"/>
      <w:docPartObj>
        <w:docPartGallery w:val="Page Numbers (Bottom of Page)"/>
        <w:docPartUnique/>
      </w:docPartObj>
    </w:sdtPr>
    <w:sdtEndPr>
      <w:rPr>
        <w:noProof/>
        <w:color w:val="003087"/>
        <w:sz w:val="20"/>
        <w:szCs w:val="20"/>
      </w:rPr>
    </w:sdtEndPr>
    <w:sdtContent>
      <w:p w14:paraId="6848B1D1" w14:textId="4BA220BE" w:rsidR="00785667" w:rsidRPr="00F07BAF" w:rsidRDefault="00F07BAF" w:rsidP="00F07BAF">
        <w:pPr>
          <w:pStyle w:val="Footer"/>
          <w:jc w:val="right"/>
          <w:rPr>
            <w:color w:val="003087"/>
            <w:sz w:val="20"/>
            <w:szCs w:val="20"/>
          </w:rPr>
        </w:pPr>
        <w:r>
          <w:rPr>
            <w:color w:val="000000"/>
            <w:sz w:val="20"/>
            <w:szCs w:val="20"/>
          </w:rPr>
          <w:t>U.S. Department of Commerce | National Oceanographic and Atmospheric Administration</w:t>
        </w:r>
        <w:r>
          <w:rPr>
            <w:color w:val="003087"/>
            <w:sz w:val="20"/>
            <w:szCs w:val="20"/>
          </w:rPr>
          <w:tab/>
        </w:r>
        <w:r w:rsidRPr="00F07BAF">
          <w:rPr>
            <w:color w:val="003087"/>
            <w:sz w:val="20"/>
            <w:szCs w:val="20"/>
          </w:rPr>
          <w:fldChar w:fldCharType="begin"/>
        </w:r>
        <w:r w:rsidRPr="00F07BAF">
          <w:rPr>
            <w:color w:val="003087"/>
            <w:sz w:val="20"/>
            <w:szCs w:val="20"/>
          </w:rPr>
          <w:instrText xml:space="preserve"> PAGE   \* MERGEFORMAT </w:instrText>
        </w:r>
        <w:r w:rsidRPr="00F07BAF">
          <w:rPr>
            <w:color w:val="003087"/>
            <w:sz w:val="20"/>
            <w:szCs w:val="20"/>
          </w:rPr>
          <w:fldChar w:fldCharType="separate"/>
        </w:r>
        <w:r w:rsidRPr="00F07BAF">
          <w:rPr>
            <w:noProof/>
            <w:color w:val="003087"/>
            <w:sz w:val="20"/>
            <w:szCs w:val="20"/>
          </w:rPr>
          <w:t>2</w:t>
        </w:r>
        <w:r w:rsidRPr="00F07BAF">
          <w:rPr>
            <w:noProof/>
            <w:color w:val="003087"/>
            <w:sz w:val="20"/>
            <w:szCs w:val="20"/>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proofState w:grammar="clean" w:spelling="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color w:val="262626"/>
        <w:sz w:val="24"/>
        <w:szCs w:val="24"/>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62D32"/>
  </w:style>
  <w:style w:styleId="Heading1" w:type="paragraph">
    <w:name w:val="heading 1"/>
    <w:basedOn w:val="Normal"/>
    <w:next w:val="Normal"/>
    <w:uiPriority w:val="9"/>
    <w:qFormat/>
    <w:rsid w:val="00704160"/>
    <w:pPr>
      <w:keepNext/>
      <w:pageBreakBefore/>
      <w:spacing w:after="240" w:before="240"/>
      <w:outlineLvl w:val="0"/>
    </w:pPr>
    <w:rPr>
      <w:b/>
      <w:color w:val="003087"/>
      <w:sz w:val="28"/>
      <w:szCs w:val="28"/>
    </w:rPr>
  </w:style>
  <w:style w:styleId="Heading2" w:type="paragraph">
    <w:name w:val="heading 2"/>
    <w:basedOn w:val="Normal"/>
    <w:next w:val="Normal"/>
    <w:uiPriority w:val="9"/>
    <w:unhideWhenUsed/>
    <w:qFormat/>
    <w:rsid w:val="00704160"/>
    <w:pPr>
      <w:keepNext/>
      <w:spacing w:after="240" w:before="240"/>
      <w:outlineLvl w:val="1"/>
    </w:pPr>
    <w:rPr>
      <w:b/>
      <w:color w:val="0085CA"/>
    </w:rPr>
  </w:style>
  <w:style w:styleId="Heading3" w:type="paragraph">
    <w:name w:val="heading 3"/>
    <w:basedOn w:val="Normal"/>
    <w:next w:val="Normal"/>
    <w:uiPriority w:val="9"/>
    <w:unhideWhenUsed/>
    <w:qFormat/>
    <w:rsid w:val="00704160"/>
    <w:pPr>
      <w:keepNext/>
      <w:spacing w:after="240" w:before="240"/>
      <w:outlineLvl w:val="2"/>
    </w:pPr>
    <w:rPr>
      <w:i/>
      <w:color w:val="008DA8"/>
    </w:rPr>
  </w:style>
  <w:style w:styleId="Heading4" w:type="paragraph">
    <w:name w:val="heading 4"/>
    <w:basedOn w:val="Normal"/>
    <w:next w:val="Normal"/>
    <w:uiPriority w:val="9"/>
    <w:unhideWhenUsed/>
    <w:qFormat/>
    <w:rsid w:val="00704160"/>
    <w:pPr>
      <w:keepNext/>
      <w:keepLines/>
      <w:spacing w:after="240" w:before="240"/>
      <w:outlineLvl w:val="3"/>
    </w:pPr>
    <w:rPr>
      <w:i/>
      <w:color w:val="5761C0"/>
    </w:rPr>
  </w:style>
  <w:style w:styleId="Heading5" w:type="paragraph">
    <w:name w:val="heading 5"/>
    <w:basedOn w:val="Normal"/>
    <w:next w:val="Normal"/>
    <w:uiPriority w:val="9"/>
    <w:semiHidden/>
    <w:unhideWhenUsed/>
    <w:qFormat/>
    <w:pPr>
      <w:keepNext/>
      <w:keepLines/>
      <w:spacing w:after="40" w:before="220"/>
      <w:outlineLvl w:val="4"/>
    </w:pPr>
    <w:rPr>
      <w:b/>
      <w:sz w:val="22"/>
      <w:szCs w:val="22"/>
    </w:rPr>
  </w:style>
  <w:style w:styleId="Heading6" w:type="paragraph">
    <w:name w:val="heading 6"/>
    <w:basedOn w:val="Normal"/>
    <w:next w:val="Normal"/>
    <w:uiPriority w:val="9"/>
    <w:semiHidden/>
    <w:unhideWhenUsed/>
    <w:qFormat/>
    <w:pPr>
      <w:keepNext/>
      <w:keepLines/>
      <w:spacing w:after="40" w:before="200"/>
      <w:outlineLvl w:val="5"/>
    </w:pPr>
    <w:rPr>
      <w:b/>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rsid w:val="00704160"/>
    <w:pPr>
      <w:spacing w:after="0" w:line="275" w:lineRule="auto"/>
      <w:textDirection w:val="btLr"/>
    </w:pPr>
    <w:rPr>
      <w:rFonts w:ascii="Arial Narrow" w:cs="Arial Narrow" w:eastAsia="Arial Narrow" w:hAnsi="Arial Narrow"/>
      <w:b/>
      <w:sz w:val="52"/>
    </w:rPr>
  </w:style>
  <w:style w:styleId="Subtitle" w:type="paragraph">
    <w:name w:val="Subtitle"/>
    <w:basedOn w:val="Normal"/>
    <w:next w:val="Normal"/>
    <w:uiPriority w:val="11"/>
    <w:qFormat/>
    <w:pPr>
      <w:spacing w:after="80" w:line="275" w:lineRule="auto"/>
    </w:pPr>
  </w:style>
  <w:style w:customStyle="1" w:styleId="a" w:type="table">
    <w:basedOn w:val="TableNormal"/>
    <w:pPr>
      <w:keepNext/>
      <w:keepLines/>
      <w:jc w:val="right"/>
    </w:pPr>
    <w:tblPr>
      <w:tblStyleRowBandSize w:val="1"/>
      <w:tblStyleColBandSize w:val="1"/>
      <w:tblCellMar>
        <w:left w:type="dxa" w:w="115"/>
        <w:right w:type="dxa" w:w="115"/>
      </w:tblCellMar>
    </w:tblPr>
    <w:tcPr>
      <w:shd w:color="auto" w:fill="auto" w:val="clear"/>
      <w:vAlign w:val="center"/>
    </w:tcPr>
  </w:style>
  <w:style w:customStyle="1" w:styleId="a0" w:type="table">
    <w:basedOn w:val="TableNormal"/>
    <w:pPr>
      <w:keepNext/>
      <w:keepLines/>
      <w:jc w:val="right"/>
    </w:pPr>
    <w:tblPr>
      <w:tblStyleRowBandSize w:val="1"/>
      <w:tblStyleColBandSize w:val="1"/>
      <w:tblCellMar>
        <w:left w:type="dxa" w:w="72"/>
        <w:right w:type="dxa" w:w="43"/>
      </w:tblCellMar>
    </w:tblPr>
    <w:tcPr>
      <w:shd w:color="auto" w:fill="auto" w:val="clear"/>
      <w:vAlign w:val="center"/>
    </w:tcPr>
    <w:tblStylePr w:type="firstRow">
      <w:pPr>
        <w:jc w:val="center"/>
      </w:pPr>
      <w:rPr>
        <w:rFonts w:ascii="Arial" w:cs="Arial" w:eastAsia="Arial" w:hAnsi="Arial"/>
        <w:b/>
        <w:sz w:val="20"/>
        <w:szCs w:val="20"/>
      </w:rPr>
      <w:tblPr/>
      <w:tcPr>
        <w:tcBorders>
          <w:top w:color="000000" w:space="0" w:sz="4" w:val="single"/>
          <w:bottom w:color="000000" w:space="0" w:sz="4" w:val="single"/>
        </w:tcBorders>
        <w:vAlign w:val="bottom"/>
      </w:tcPr>
    </w:tblStylePr>
    <w:tblStylePr w:type="lastRow">
      <w:rPr>
        <w:rFonts w:ascii="Arial" w:cs="Arial" w:eastAsia="Arial" w:hAnsi="Arial"/>
        <w:b/>
        <w:i w:val="0"/>
        <w:sz w:val="20"/>
        <w:szCs w:val="20"/>
      </w:rPr>
      <w:tblPr/>
      <w:tcPr>
        <w:tcBorders>
          <w:top w:val="nil"/>
          <w:left w:val="nil"/>
          <w:bottom w:color="000000" w:space="0" w:sz="4" w:val="single"/>
          <w:right w:val="nil"/>
          <w:insideH w:val="nil"/>
          <w:insideV w:val="nil"/>
        </w:tcBorders>
        <w:shd w:color="auto" w:fill="auto" w:val="clear"/>
      </w:tcPr>
    </w:tblStylePr>
    <w:tblStylePr w:type="firstCol">
      <w:pPr>
        <w:jc w:val="left"/>
      </w:pPr>
      <w:rPr>
        <w:rFonts w:ascii="Arial" w:cs="Arial" w:eastAsia="Arial" w:hAnsi="Arial"/>
        <w:b w:val="0"/>
        <w:sz w:val="20"/>
        <w:szCs w:val="20"/>
      </w:rPr>
    </w:tblStylePr>
    <w:tblStylePr w:type="lastCol">
      <w:rPr>
        <w:rFonts w:ascii="Arial" w:cs="Arial" w:eastAsia="Arial" w:hAnsi="Arial"/>
        <w:b/>
        <w:sz w:val="20"/>
        <w:szCs w:val="20"/>
      </w:rPr>
    </w:tblStylePr>
  </w:style>
  <w:style w:styleId="Header" w:type="paragraph">
    <w:name w:val="header"/>
    <w:basedOn w:val="Normal"/>
    <w:link w:val="HeaderChar"/>
    <w:uiPriority w:val="99"/>
    <w:unhideWhenUsed/>
    <w:rsid w:val="002E50DA"/>
    <w:pPr>
      <w:tabs>
        <w:tab w:pos="4680" w:val="center"/>
        <w:tab w:pos="9360" w:val="right"/>
      </w:tabs>
      <w:spacing w:after="0" w:line="240" w:lineRule="auto"/>
    </w:pPr>
  </w:style>
  <w:style w:customStyle="1" w:styleId="HeaderChar" w:type="character">
    <w:name w:val="Header Char"/>
    <w:basedOn w:val="DefaultParagraphFont"/>
    <w:link w:val="Header"/>
    <w:uiPriority w:val="99"/>
    <w:rsid w:val="002E50DA"/>
  </w:style>
  <w:style w:styleId="Footer" w:type="paragraph">
    <w:name w:val="footer"/>
    <w:basedOn w:val="Normal"/>
    <w:link w:val="FooterChar"/>
    <w:uiPriority w:val="99"/>
    <w:unhideWhenUsed/>
    <w:rsid w:val="002E50DA"/>
    <w:pPr>
      <w:tabs>
        <w:tab w:pos="4680" w:val="center"/>
        <w:tab w:pos="9360" w:val="right"/>
      </w:tabs>
      <w:spacing w:after="0" w:line="240" w:lineRule="auto"/>
    </w:pPr>
  </w:style>
  <w:style w:customStyle="1" w:styleId="FooterChar" w:type="character">
    <w:name w:val="Footer Char"/>
    <w:basedOn w:val="DefaultParagraphFont"/>
    <w:link w:val="Footer"/>
    <w:uiPriority w:val="99"/>
    <w:rsid w:val="002E50DA"/>
  </w:style>
  <w:style w:styleId="SubtleEmphasis" w:type="character">
    <w:name w:val="Subtle Emphasis"/>
    <w:aliases w:val="Non-heading emphasis"/>
    <w:uiPriority w:val="19"/>
    <w:rsid w:val="00AA4484"/>
    <w:rPr>
      <w:i/>
      <w:iCs/>
      <w:color w:val="DB6015"/>
    </w:rPr>
  </w:style>
  <w:style w:styleId="Emphasis" w:type="character">
    <w:name w:val="Emphasis"/>
    <w:aliases w:val="Non-heading Emphasis Two"/>
    <w:uiPriority w:val="20"/>
    <w:rsid w:val="00AA4484"/>
    <w:rPr>
      <w:i/>
      <w:iCs/>
      <w:color w:val="4B8320"/>
    </w:rPr>
  </w:style>
  <w:style w:styleId="Quote" w:type="paragraph">
    <w:name w:val="Quote"/>
    <w:aliases w:val="Block Quote"/>
    <w:basedOn w:val="Normal"/>
    <w:next w:val="Normal"/>
    <w:link w:val="QuoteChar"/>
    <w:uiPriority w:val="29"/>
    <w:qFormat/>
    <w:rsid w:val="00D366B7"/>
    <w:pPr>
      <w:spacing w:after="240" w:before="240"/>
      <w:ind w:left="720" w:right="907"/>
    </w:pPr>
    <w:rPr>
      <w:sz w:val="22"/>
      <w:szCs w:val="22"/>
    </w:rPr>
  </w:style>
  <w:style w:customStyle="1" w:styleId="QuoteChar" w:type="character">
    <w:name w:val="Quote Char"/>
    <w:aliases w:val="Block Quote Char"/>
    <w:basedOn w:val="DefaultParagraphFont"/>
    <w:link w:val="Quote"/>
    <w:uiPriority w:val="29"/>
    <w:rsid w:val="00D366B7"/>
    <w:rPr>
      <w:sz w:val="22"/>
      <w:szCs w:val="22"/>
    </w:rPr>
  </w:style>
  <w:style w:customStyle="1" w:styleId="Emphasis1" w:type="paragraph">
    <w:name w:val="Emphasis 1"/>
    <w:basedOn w:val="Normal"/>
    <w:next w:val="Normal"/>
    <w:link w:val="Emphasis1Char"/>
    <w:qFormat/>
    <w:rsid w:val="00D366B7"/>
    <w:rPr>
      <w:i/>
      <w:color w:val="DB6015"/>
    </w:rPr>
  </w:style>
  <w:style w:customStyle="1" w:styleId="EmphasisTwo" w:type="paragraph">
    <w:name w:val="Emphasis Two"/>
    <w:basedOn w:val="Normal"/>
    <w:next w:val="Normal"/>
    <w:link w:val="EmphasisTwoChar"/>
    <w:qFormat/>
    <w:rsid w:val="00D366B7"/>
    <w:rPr>
      <w:i/>
      <w:color w:val="4B8320"/>
    </w:rPr>
  </w:style>
  <w:style w:customStyle="1" w:styleId="Emphasis1Char" w:type="character">
    <w:name w:val="Emphasis 1 Char"/>
    <w:basedOn w:val="DefaultParagraphFont"/>
    <w:link w:val="Emphasis1"/>
    <w:rsid w:val="00D366B7"/>
    <w:rPr>
      <w:i/>
      <w:color w:val="DB6015"/>
    </w:rPr>
  </w:style>
  <w:style w:styleId="Hyperlink" w:type="character">
    <w:name w:val="Hyperlink"/>
    <w:basedOn w:val="DefaultParagraphFont"/>
    <w:uiPriority w:val="99"/>
    <w:unhideWhenUsed/>
    <w:rsid w:val="00D72F76"/>
    <w:rPr>
      <w:color w:themeColor="hyperlink" w:val="0000FF"/>
      <w:u w:val="single"/>
    </w:rPr>
  </w:style>
  <w:style w:customStyle="1" w:styleId="EmphasisTwoChar" w:type="character">
    <w:name w:val="Emphasis Two Char"/>
    <w:basedOn w:val="DefaultParagraphFont"/>
    <w:link w:val="EmphasisTwo"/>
    <w:rsid w:val="00D366B7"/>
    <w:rPr>
      <w:i/>
      <w:color w:val="4B8320"/>
    </w:rPr>
  </w:style>
  <w:style w:styleId="UnresolvedMention" w:type="character">
    <w:name w:val="Unresolved Mention"/>
    <w:basedOn w:val="DefaultParagraphFont"/>
    <w:uiPriority w:val="99"/>
    <w:semiHidden/>
    <w:unhideWhenUsed/>
    <w:rsid w:val="00D72F76"/>
    <w:rPr>
      <w:color w:val="605E5C"/>
      <w:shd w:color="auto" w:fill="E1DFDD" w:val="clear"/>
    </w:rPr>
  </w:style>
  <w:style w:styleId="IntenseQuote" w:type="paragraph">
    <w:name w:val="Intense Quote"/>
    <w:aliases w:val="Short Quote"/>
    <w:basedOn w:val="Normal"/>
    <w:next w:val="Normal"/>
    <w:link w:val="IntenseQuoteChar"/>
    <w:uiPriority w:val="30"/>
    <w:qFormat/>
    <w:rsid w:val="00AF260E"/>
    <w:pPr>
      <w:spacing w:after="240" w:before="240"/>
    </w:pPr>
    <w:rPr>
      <w:i/>
      <w:iCs/>
    </w:rPr>
  </w:style>
  <w:style w:customStyle="1" w:styleId="IntenseQuoteChar" w:type="character">
    <w:name w:val="Intense Quote Char"/>
    <w:aliases w:val="Short Quote Char"/>
    <w:basedOn w:val="DefaultParagraphFont"/>
    <w:link w:val="IntenseQuote"/>
    <w:uiPriority w:val="30"/>
    <w:rsid w:val="00AF260E"/>
    <w:rPr>
      <w:i/>
      <w:iCs/>
    </w:rPr>
  </w:style>
  <w:style w:styleId="TableGrid" w:type="table">
    <w:name w:val="Table Grid"/>
    <w:basedOn w:val="TableNormal"/>
    <w:uiPriority w:val="39"/>
    <w:rsid w:val="007D57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C0096E"/>
    <w:rPr>
      <w:iCs/>
      <w:color w:themeColor="text1" w:themeTint="F2" w:val="0D0D0D"/>
      <w:sz w:val="22"/>
      <w:szCs w:val="18"/>
    </w:rPr>
  </w:style>
  <w:style w:customStyle="1" w:styleId="Tables" w:type="paragraph">
    <w:name w:val="Tables"/>
    <w:basedOn w:val="Normal"/>
    <w:link w:val="TablesChar"/>
    <w:qFormat/>
    <w:rsid w:val="00A14528"/>
    <w:pPr>
      <w:widowControl w:val="0"/>
      <w:spacing w:after="0"/>
    </w:pPr>
  </w:style>
  <w:style w:customStyle="1" w:styleId="TableDescriptiveText" w:type="paragraph">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customStyle="1" w:styleId="TablesChar" w:type="character">
    <w:name w:val="Tables Char"/>
    <w:basedOn w:val="DefaultParagraphFont"/>
    <w:link w:val="Tables"/>
    <w:rsid w:val="00A14528"/>
  </w:style>
  <w:style w:customStyle="1" w:styleId="Appendix" w:type="paragraph">
    <w:name w:val="Appendix"/>
    <w:basedOn w:val="Normal"/>
    <w:link w:val="AppendixChar"/>
    <w:qFormat/>
    <w:rsid w:val="00562D32"/>
    <w:pPr>
      <w:keepNext/>
      <w:pageBreakBefore/>
      <w:pBdr>
        <w:top w:val="nil"/>
        <w:left w:val="nil"/>
        <w:bottom w:val="nil"/>
        <w:right w:val="nil"/>
        <w:between w:val="nil"/>
      </w:pBdr>
      <w:spacing w:after="240" w:before="240"/>
    </w:pPr>
    <w:rPr>
      <w:b/>
      <w:color w:val="0054A4"/>
      <w:sz w:val="28"/>
      <w:szCs w:val="28"/>
    </w:rPr>
  </w:style>
  <w:style w:customStyle="1" w:styleId="TableDescriptiveTextChar" w:type="character">
    <w:name w:val="Table Descriptive Text Char"/>
    <w:basedOn w:val="DefaultParagraphFont"/>
    <w:link w:val="TableDescriptiveText"/>
    <w:rsid w:val="009A4E25"/>
    <w:rPr>
      <w:sz w:val="22"/>
      <w:szCs w:val="22"/>
    </w:rPr>
  </w:style>
  <w:style w:customStyle="1" w:styleId="Literature" w:type="paragraph">
    <w:name w:val="Literature"/>
    <w:basedOn w:val="Normal"/>
    <w:link w:val="LiteratureChar"/>
    <w:qFormat/>
    <w:rsid w:val="00F2234B"/>
    <w:pPr>
      <w:pBdr>
        <w:top w:val="nil"/>
        <w:left w:val="nil"/>
        <w:bottom w:val="nil"/>
        <w:right w:val="nil"/>
        <w:between w:val="nil"/>
      </w:pBdr>
      <w:ind w:hanging="720" w:left="720"/>
    </w:pPr>
  </w:style>
  <w:style w:customStyle="1" w:styleId="AppendixChar" w:type="character">
    <w:name w:val="Appendix Char"/>
    <w:basedOn w:val="DefaultParagraphFont"/>
    <w:link w:val="Appendix"/>
    <w:rsid w:val="00562D32"/>
    <w:rPr>
      <w:b/>
      <w:color w:val="0054A4"/>
      <w:sz w:val="28"/>
      <w:szCs w:val="28"/>
    </w:rPr>
  </w:style>
  <w:style w:customStyle="1" w:styleId="LiteratureChar" w:type="character">
    <w:name w:val="Literature Char"/>
    <w:basedOn w:val="DefaultParagraphFont"/>
    <w:link w:val="Literature"/>
    <w:rsid w:val="00F2234B"/>
  </w:style>
  <w:style w:customStyle="1" w:styleId="a1" w:type="table">
    <w:basedOn w:val="TableNormal"/>
    <w:pPr>
      <w:keepNext/>
      <w:keepLines/>
      <w:spacing w:after="0" w:line="240" w:lineRule="auto"/>
      <w:jc w:val="right"/>
    </w:pPr>
    <w:tblPr>
      <w:tblStyleRowBandSize w:val="1"/>
      <w:tblStyleColBandSize w:val="1"/>
      <w:tblCellMar>
        <w:top w:type="dxa" w:w="72"/>
        <w:left w:type="dxa" w:w="216"/>
        <w:bottom w:type="dxa" w:w="72"/>
        <w:right w:type="dxa" w:w="216"/>
      </w:tblCellMar>
    </w:tblPr>
    <w:tcPr>
      <w:shd w:color="auto" w:fill="auto" w:val="clear"/>
      <w:vAlign w:val="center"/>
    </w:tcPr>
  </w:style>
  <w:style w:customStyle="1" w:styleId="a2" w:type="table">
    <w:basedOn w:val="TableNormal"/>
    <w:pPr>
      <w:keepNext/>
      <w:keepLines/>
      <w:spacing w:after="0" w:line="240" w:lineRule="auto"/>
      <w:jc w:val="right"/>
    </w:pPr>
    <w:tblPr>
      <w:tblStyleRowBandSize w:val="1"/>
      <w:tblStyleColBandSize w:val="1"/>
      <w:tblCellMar>
        <w:top w:type="dxa" w:w="72"/>
        <w:left w:type="dxa" w:w="216"/>
        <w:bottom w:type="dxa" w:w="72"/>
        <w:right w:type="dxa" w:w="216"/>
      </w:tblCellMar>
    </w:tblPr>
    <w:tcPr>
      <w:shd w:color="auto" w:fill="auto" w:val="clear"/>
      <w:vAlign w:val="center"/>
    </w:tcPr>
  </w:style>
  <w:style w:customStyle="1" w:styleId="a3" w:type="table">
    <w:basedOn w:val="TableNormal"/>
    <w:pPr>
      <w:keepNext/>
      <w:keepLines/>
      <w:spacing w:after="0" w:line="240" w:lineRule="auto"/>
      <w:jc w:val="right"/>
    </w:pPr>
    <w:tblPr>
      <w:tblStyleRowBandSize w:val="1"/>
      <w:tblStyleColBandSize w:val="1"/>
      <w:tblCellMar>
        <w:top w:type="dxa" w:w="72"/>
        <w:left w:type="dxa" w:w="216"/>
        <w:bottom w:type="dxa" w:w="72"/>
        <w:right w:type="dxa" w:w="216"/>
      </w:tblCellMar>
    </w:tblPr>
    <w:tcPr>
      <w:shd w:color="auto" w:fill="auto" w:val="clear"/>
      <w:vAlign w:val="center"/>
    </w:tcPr>
  </w:style>
  <w:style w:customStyle="1" w:styleId="a4" w:type="table">
    <w:basedOn w:val="TableNormal"/>
    <w:pPr>
      <w:keepNext/>
      <w:keepLines/>
      <w:spacing w:after="0" w:line="240" w:lineRule="auto"/>
      <w:jc w:val="right"/>
    </w:pPr>
    <w:tblPr>
      <w:tblStyleRowBandSize w:val="1"/>
      <w:tblStyleColBandSize w:val="1"/>
      <w:tblCellMar>
        <w:top w:type="dxa" w:w="29"/>
        <w:left w:type="dxa" w:w="72"/>
        <w:bottom w:type="dxa" w:w="29"/>
        <w:right w:type="dxa" w:w="72"/>
      </w:tblCellMar>
    </w:tblPr>
    <w:tcPr>
      <w:shd w:color="auto" w:fill="auto" w:val="clear"/>
      <w:vAlign w:val="center"/>
    </w:tcPr>
  </w:style>
  <w:style w:customStyle="1" w:styleId="a5" w:type="table">
    <w:basedOn w:val="TableNormal"/>
    <w:pPr>
      <w:keepNext/>
      <w:keepLines/>
      <w:spacing w:after="0" w:line="240" w:lineRule="auto"/>
      <w:jc w:val="right"/>
    </w:pPr>
    <w:tblPr>
      <w:tblStyleRowBandSize w:val="1"/>
      <w:tblStyleColBandSize w:val="1"/>
      <w:tblCellMar>
        <w:left w:type="dxa" w:w="115"/>
        <w:right w:type="dxa" w:w="115"/>
      </w:tblCellMar>
    </w:tblPr>
    <w:tcPr>
      <w:shd w:color="auto" w:fill="auto" w:val="clear"/>
      <w:vAlign w:val="center"/>
    </w:tcPr>
    <w:tblStylePr w:type="firstRow">
      <w:pPr>
        <w:jc w:val="center"/>
      </w:pPr>
      <w:rPr>
        <w:rFonts w:ascii="Arial" w:cs="Arial" w:eastAsia="Arial" w:hAnsi="Arial"/>
        <w:b/>
        <w:sz w:val="20"/>
        <w:szCs w:val="20"/>
      </w:rPr>
      <w:tblPr/>
      <w:tcPr>
        <w:tcBorders>
          <w:top w:color="000000" w:space="0" w:sz="4" w:val="single"/>
          <w:bottom w:color="000000" w:space="0" w:sz="4" w:val="single"/>
        </w:tcBorders>
        <w:vAlign w:val="bottom"/>
      </w:tcPr>
    </w:tblStylePr>
    <w:tblStylePr w:type="lastRow">
      <w:rPr>
        <w:rFonts w:ascii="Arial" w:cs="Arial" w:eastAsia="Arial" w:hAnsi="Arial"/>
        <w:b/>
        <w:i w:val="0"/>
        <w:sz w:val="20"/>
        <w:szCs w:val="20"/>
      </w:rPr>
      <w:tblPr/>
      <w:tcPr>
        <w:tcBorders>
          <w:top w:val="nil"/>
          <w:left w:val="nil"/>
          <w:bottom w:color="000000" w:space="0" w:sz="4" w:val="single"/>
          <w:right w:val="nil"/>
          <w:insideH w:val="nil"/>
          <w:insideV w:val="nil"/>
        </w:tcBorders>
        <w:shd w:color="auto" w:fill="auto" w:val="clear"/>
      </w:tcPr>
    </w:tblStylePr>
    <w:tblStylePr w:type="firstCol">
      <w:pPr>
        <w:jc w:val="left"/>
      </w:pPr>
      <w:rPr>
        <w:rFonts w:ascii="Arial" w:cs="Arial" w:eastAsia="Arial" w:hAnsi="Arial"/>
        <w:b w:val="0"/>
        <w:sz w:val="20"/>
        <w:szCs w:val="20"/>
      </w:rPr>
    </w:tblStylePr>
    <w:tblStylePr w:type="lastCol">
      <w:rPr>
        <w:rFonts w:ascii="Arial" w:cs="Arial" w:eastAsia="Arial" w:hAnsi="Arial"/>
        <w:b/>
        <w:sz w:val="20"/>
        <w:szCs w:val="20"/>
      </w:rPr>
    </w:tblStylePr>
  </w:style>
  <w:style w:customStyle="1" w:styleId="a6" w:type="table">
    <w:basedOn w:val="TableNormal"/>
    <w:pPr>
      <w:keepNext/>
      <w:keepLines/>
      <w:spacing w:after="0" w:line="240" w:lineRule="auto"/>
      <w:jc w:val="right"/>
    </w:pPr>
    <w:tblPr>
      <w:tblStyleRowBandSize w:val="1"/>
      <w:tblStyleColBandSize w:val="1"/>
      <w:tblCellMar>
        <w:left w:type="dxa" w:w="115"/>
        <w:right w:type="dxa" w:w="115"/>
      </w:tblCellMar>
    </w:tblPr>
    <w:tcPr>
      <w:shd w:color="auto" w:fill="auto" w:val="clear"/>
      <w:vAlign w:val="center"/>
    </w:tcPr>
  </w:style>
  <w:style w:customStyle="1" w:styleId="a7" w:type="table">
    <w:basedOn w:val="TableNormal"/>
    <w:pPr>
      <w:keepNext/>
      <w:keepLines/>
      <w:spacing w:after="0" w:line="240" w:lineRule="auto"/>
      <w:jc w:val="right"/>
    </w:pPr>
    <w:tblPr>
      <w:tblStyleRowBandSize w:val="1"/>
      <w:tblStyleColBandSize w:val="1"/>
      <w:tblCellMar>
        <w:left w:type="dxa" w:w="115"/>
        <w:right w:type="dxa" w:w="115"/>
      </w:tblCellMar>
    </w:tblPr>
    <w:tcPr>
      <w:shd w:color="auto" w:fill="auto" w:val="clear"/>
      <w:vAlign w:val="center"/>
    </w:tcPr>
  </w:style>
  <w:style w:customStyle="1" w:styleId="a8" w:type="table">
    <w:basedOn w:val="TableNormal"/>
    <w:pPr>
      <w:keepNext/>
      <w:keepLines/>
      <w:spacing w:after="0" w:line="240" w:lineRule="auto"/>
      <w:jc w:val="right"/>
    </w:pPr>
    <w:tblPr>
      <w:tblStyleRowBandSize w:val="1"/>
      <w:tblStyleColBandSize w:val="1"/>
      <w:tblCellMar>
        <w:left w:type="dxa" w:w="115"/>
        <w:right w:type="dxa" w:w="115"/>
      </w:tblCellMar>
    </w:tblPr>
    <w:tcPr>
      <w:shd w:color="auto" w:fill="auto" w:val="clear"/>
      <w:vAlign w:val="center"/>
    </w:tcPr>
  </w:style>
  <w:style w:customStyle="1" w:styleId="a9" w:type="table">
    <w:basedOn w:val="TableNormal"/>
    <w:pPr>
      <w:keepNext/>
      <w:keepLines/>
      <w:spacing w:after="0" w:line="240" w:lineRule="auto"/>
      <w:jc w:val="right"/>
    </w:pPr>
    <w:tblPr>
      <w:tblStyleRowBandSize w:val="1"/>
      <w:tblStyleColBandSize w:val="1"/>
      <w:tblCellMar>
        <w:left w:type="dxa" w:w="115"/>
        <w:right w:type="dxa" w:w="115"/>
      </w:tblCellMar>
    </w:tblPr>
    <w:tcPr>
      <w:shd w:color="auto" w:fill="auto" w:val="clear"/>
      <w:vAlign w:val="center"/>
    </w:tcPr>
  </w:style>
  <w:style w:customStyle="1" w:styleId="aa" w:type="table">
    <w:basedOn w:val="TableNormal"/>
    <w:pPr>
      <w:keepNext/>
      <w:keepLines/>
      <w:spacing w:after="0" w:line="240" w:lineRule="auto"/>
      <w:jc w:val="right"/>
    </w:pPr>
    <w:tblPr>
      <w:tblStyleRowBandSize w:val="1"/>
      <w:tblStyleColBandSize w:val="1"/>
      <w:tblCellMar>
        <w:left w:type="dxa" w:w="115"/>
        <w:right w:type="dxa" w:w="115"/>
      </w:tblCellMar>
    </w:tblPr>
    <w:tcPr>
      <w:shd w:color="auto" w:fill="auto" w:val="clear"/>
      <w:vAlign w:val="center"/>
    </w:tcPr>
    <w:tblStylePr w:type="firstRow">
      <w:pPr>
        <w:jc w:val="center"/>
      </w:pPr>
      <w:rPr>
        <w:rFonts w:ascii="Arial" w:cs="Arial" w:eastAsia="Arial" w:hAnsi="Arial"/>
        <w:b/>
        <w:sz w:val="20"/>
        <w:szCs w:val="20"/>
      </w:rPr>
      <w:tblPr/>
      <w:tcPr>
        <w:tcBorders>
          <w:top w:color="000000" w:space="0" w:sz="4" w:val="single"/>
          <w:bottom w:color="000000" w:space="0" w:sz="4" w:val="single"/>
        </w:tcBorders>
        <w:vAlign w:val="bottom"/>
      </w:tcPr>
    </w:tblStylePr>
    <w:tblStylePr w:type="lastRow">
      <w:rPr>
        <w:rFonts w:ascii="Arial" w:cs="Arial" w:eastAsia="Arial" w:hAnsi="Arial"/>
        <w:b/>
        <w:i w:val="0"/>
        <w:sz w:val="20"/>
        <w:szCs w:val="20"/>
      </w:rPr>
      <w:tblPr/>
      <w:tcPr>
        <w:tcBorders>
          <w:top w:val="nil"/>
          <w:left w:val="nil"/>
          <w:bottom w:color="000000" w:space="0" w:sz="4" w:val="single"/>
          <w:right w:val="nil"/>
          <w:insideH w:val="nil"/>
          <w:insideV w:val="nil"/>
        </w:tcBorders>
        <w:shd w:color="auto" w:fill="auto" w:val="clear"/>
      </w:tcPr>
    </w:tblStylePr>
    <w:tblStylePr w:type="firstCol">
      <w:pPr>
        <w:jc w:val="left"/>
      </w:pPr>
      <w:rPr>
        <w:rFonts w:ascii="Arial" w:cs="Arial" w:eastAsia="Arial" w:hAnsi="Arial"/>
        <w:b w:val="0"/>
        <w:sz w:val="20"/>
        <w:szCs w:val="20"/>
      </w:rPr>
    </w:tblStylePr>
    <w:tblStylePr w:type="lastCol">
      <w:rPr>
        <w:rFonts w:ascii="Arial" w:cs="Arial" w:eastAsia="Arial" w:hAnsi="Arial"/>
        <w:b/>
        <w:sz w:val="20"/>
        <w:szCs w:val="20"/>
      </w:r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4.xml" Type="http://schemas.openxmlformats.org/officeDocument/2006/relationships/footer" /><Relationship Id="rId11" Target="footer1.xml" Type="http://schemas.openxmlformats.org/officeDocument/2006/relationships/footer" /><Relationship Id="rId12" Target="footer3.xml" Type="http://schemas.openxmlformats.org/officeDocument/2006/relationships/footer" /><Relationship Id="rId13" Target="footer5.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28</Pages>
  <Words>5872</Words>
  <Characters>33472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U.S. Stock Assessment Workflows</dc:title>
  <dc:creator>Samantha Schiano</dc:creator>
  <cp:keywords/>
  <dcterms:created xsi:type="dcterms:W3CDTF">2024-04-02T20:25:36Z</dcterms:created>
  <dcterms:modified xsi:type="dcterms:W3CDTF">2024-04-02T20:25:36Z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overpage">
    <vt:lpwstr>none</vt:lpwstr>
  </property>
  <property fmtid="{D5CDD505-2E9C-101B-9397-08002B2CF9AE}" pid="11" name="coverpage-file">
    <vt:lpwstr>False</vt:lpwstr>
  </property>
  <property fmtid="{D5CDD505-2E9C-101B-9397-08002B2CF9AE}" pid="12" name="coverpage-true">
    <vt:lpwstr>False</vt:lpwstr>
  </property>
  <property fmtid="{D5CDD505-2E9C-101B-9397-08002B2CF9AE}" pid="13" name="crossref">
    <vt:lpwstr/>
  </property>
  <property fmtid="{D5CDD505-2E9C-101B-9397-08002B2CF9AE}" pid="14" name="date">
    <vt:lpwstr>2024-04-01</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Tools, Templates, and other Resources</vt:lpwstr>
  </property>
  <property fmtid="{D5CDD505-2E9C-101B-9397-08002B2CF9AE}" pid="20" name="template-partials">
    <vt:lpwstr/>
  </property>
  <property fmtid="{D5CDD505-2E9C-101B-9397-08002B2CF9AE}" pid="21" name="titlepage">
    <vt:lpwstr>plain</vt:lpwstr>
  </property>
  <property fmtid="{D5CDD505-2E9C-101B-9397-08002B2CF9AE}" pid="22" name="titlepage-file">
    <vt:lpwstr>False</vt:lpwstr>
  </property>
  <property fmtid="{D5CDD505-2E9C-101B-9397-08002B2CF9AE}" pid="23" name="titlepage-style-code">
    <vt:lpwstr/>
  </property>
  <property fmtid="{D5CDD505-2E9C-101B-9397-08002B2CF9AE}" pid="24" name="titlepage-theme">
    <vt:lpwstr/>
  </property>
  <property fmtid="{D5CDD505-2E9C-101B-9397-08002B2CF9AE}" pid="25" name="titlepage-true">
    <vt:lpwstr>True</vt:lpwstr>
  </property>
  <property fmtid="{D5CDD505-2E9C-101B-9397-08002B2CF9AE}" pid="26" name="toc-title">
    <vt:lpwstr>Table of contents</vt:lpwstr>
  </property>
</Properties>
</file>