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37888D" w14:textId="22A019A3" w:rsidR="006774D2" w:rsidRPr="003E70ED" w:rsidRDefault="006F671D" w:rsidP="00145B28">
      <w:pPr>
        <w:spacing w:line="240" w:lineRule="auto"/>
        <w:jc w:val="both"/>
        <w:rPr>
          <w:rFonts w:ascii="Times New Roman" w:eastAsia="Calibri" w:hAnsi="Times New Roman" w:cs="Times New Roman"/>
          <w:color w:val="000000" w:themeColor="text1"/>
          <w:szCs w:val="22"/>
        </w:rPr>
      </w:pPr>
      <w:r w:rsidRPr="00651E83">
        <w:rPr>
          <w:rFonts w:ascii="Times New Roman" w:eastAsia="Calibri" w:hAnsi="Times New Roman" w:cs="Times New Roman"/>
          <w:color w:val="000000" w:themeColor="text1"/>
          <w:szCs w:val="22"/>
        </w:rPr>
        <w:t xml:space="preserve">Quantifying drivers of gear </w:t>
      </w:r>
      <w:r w:rsidR="00651E83" w:rsidRPr="00651E83">
        <w:rPr>
          <w:rFonts w:ascii="Times New Roman" w:eastAsia="Calibri" w:hAnsi="Times New Roman" w:cs="Times New Roman"/>
          <w:color w:val="000000" w:themeColor="text1"/>
          <w:szCs w:val="22"/>
        </w:rPr>
        <w:t>choice</w:t>
      </w:r>
      <w:r w:rsidRPr="00651E83">
        <w:rPr>
          <w:rFonts w:ascii="Times New Roman" w:eastAsia="Calibri" w:hAnsi="Times New Roman" w:cs="Times New Roman"/>
          <w:color w:val="000000" w:themeColor="text1"/>
          <w:szCs w:val="22"/>
        </w:rPr>
        <w:t xml:space="preserve"> in the US West Coast sablefish fishery </w:t>
      </w:r>
      <w:r w:rsidR="004A0A62" w:rsidRPr="00651E83">
        <w:rPr>
          <w:rFonts w:ascii="Times New Roman" w:eastAsia="Calibri" w:hAnsi="Times New Roman" w:cs="Times New Roman"/>
          <w:color w:val="000000" w:themeColor="text1"/>
          <w:szCs w:val="22"/>
        </w:rPr>
        <w:t xml:space="preserve">to </w:t>
      </w:r>
      <w:r w:rsidRPr="00651E83">
        <w:rPr>
          <w:rFonts w:ascii="Times New Roman" w:eastAsia="Calibri" w:hAnsi="Times New Roman" w:cs="Times New Roman"/>
          <w:color w:val="000000" w:themeColor="text1"/>
          <w:szCs w:val="22"/>
        </w:rPr>
        <w:t>improve</w:t>
      </w:r>
      <w:r w:rsidR="004A0A62" w:rsidRPr="00651E83">
        <w:rPr>
          <w:rFonts w:ascii="Times New Roman" w:eastAsia="Calibri" w:hAnsi="Times New Roman" w:cs="Times New Roman"/>
          <w:color w:val="000000" w:themeColor="text1"/>
          <w:szCs w:val="22"/>
        </w:rPr>
        <w:t xml:space="preserve"> </w:t>
      </w:r>
      <w:r w:rsidRPr="00651E83">
        <w:rPr>
          <w:rFonts w:ascii="Times New Roman" w:eastAsia="Calibri" w:hAnsi="Times New Roman" w:cs="Times New Roman"/>
          <w:color w:val="000000" w:themeColor="text1"/>
          <w:szCs w:val="22"/>
        </w:rPr>
        <w:t xml:space="preserve">future </w:t>
      </w:r>
      <w:r w:rsidR="004A0A62" w:rsidRPr="00651E83">
        <w:rPr>
          <w:rFonts w:ascii="Times New Roman" w:eastAsia="Calibri" w:hAnsi="Times New Roman" w:cs="Times New Roman"/>
          <w:color w:val="000000" w:themeColor="text1"/>
          <w:szCs w:val="22"/>
        </w:rPr>
        <w:t>fisheries management</w:t>
      </w:r>
    </w:p>
    <w:p w14:paraId="3F71A7D1" w14:textId="77777777" w:rsidR="009B169E" w:rsidRDefault="009B169E" w:rsidP="00145B28">
      <w:pPr>
        <w:spacing w:line="240" w:lineRule="auto"/>
        <w:jc w:val="both"/>
        <w:rPr>
          <w:rFonts w:ascii="Times New Roman" w:hAnsi="Times New Roman" w:cs="Times New Roman"/>
          <w:color w:val="000000" w:themeColor="text1"/>
          <w:szCs w:val="22"/>
        </w:rPr>
      </w:pPr>
    </w:p>
    <w:p w14:paraId="1E8F4954" w14:textId="2A2995AD" w:rsidR="006774D2" w:rsidRPr="003E70ED" w:rsidRDefault="00FC0519" w:rsidP="00145B28">
      <w:pPr>
        <w:spacing w:line="240" w:lineRule="auto"/>
        <w:jc w:val="both"/>
        <w:rPr>
          <w:rFonts w:ascii="Times New Roman" w:hAnsi="Times New Roman" w:cs="Times New Roman"/>
          <w:color w:val="000000" w:themeColor="text1"/>
          <w:szCs w:val="22"/>
          <w:vertAlign w:val="superscript"/>
        </w:rPr>
      </w:pPr>
      <w:r w:rsidRPr="003E70ED">
        <w:rPr>
          <w:rFonts w:ascii="Times New Roman" w:eastAsia="Calibri" w:hAnsi="Times New Roman" w:cs="Times New Roman"/>
          <w:color w:val="000000" w:themeColor="text1"/>
          <w:szCs w:val="22"/>
        </w:rPr>
        <w:t>Kelli F. Johnson</w:t>
      </w:r>
      <w:r w:rsidRPr="003E70ED">
        <w:rPr>
          <w:rFonts w:ascii="Times New Roman" w:eastAsia="Calibri" w:hAnsi="Times New Roman" w:cs="Times New Roman"/>
          <w:color w:val="000000" w:themeColor="text1"/>
          <w:szCs w:val="22"/>
          <w:vertAlign w:val="superscript"/>
        </w:rPr>
        <w:t>1</w:t>
      </w:r>
      <w:r w:rsidR="001D3D6B">
        <w:rPr>
          <w:rFonts w:ascii="Times New Roman" w:eastAsia="Calibri" w:hAnsi="Times New Roman" w:cs="Times New Roman"/>
          <w:color w:val="000000" w:themeColor="text1"/>
          <w:szCs w:val="22"/>
          <w:vertAlign w:val="superscript"/>
        </w:rPr>
        <w:t>*</w:t>
      </w:r>
      <w:r w:rsidRPr="003E70ED">
        <w:rPr>
          <w:rFonts w:ascii="Times New Roman" w:eastAsia="Calibri" w:hAnsi="Times New Roman" w:cs="Times New Roman"/>
          <w:color w:val="000000" w:themeColor="text1"/>
          <w:szCs w:val="22"/>
        </w:rPr>
        <w:t>, Sarah Klain</w:t>
      </w:r>
      <w:r w:rsidRPr="003E70ED">
        <w:rPr>
          <w:rFonts w:ascii="Times New Roman" w:eastAsia="Calibri" w:hAnsi="Times New Roman" w:cs="Times New Roman"/>
          <w:color w:val="000000" w:themeColor="text1"/>
          <w:szCs w:val="22"/>
          <w:vertAlign w:val="superscript"/>
        </w:rPr>
        <w:t>2</w:t>
      </w:r>
      <w:r w:rsidRPr="003E70ED">
        <w:rPr>
          <w:rFonts w:ascii="Times New Roman" w:eastAsia="Calibri" w:hAnsi="Times New Roman" w:cs="Times New Roman"/>
          <w:color w:val="000000" w:themeColor="text1"/>
          <w:szCs w:val="22"/>
        </w:rPr>
        <w:t>, Ana K. Spalding</w:t>
      </w:r>
      <w:r w:rsidRPr="003E70ED">
        <w:rPr>
          <w:rFonts w:ascii="Times New Roman" w:eastAsia="Calibri" w:hAnsi="Times New Roman" w:cs="Times New Roman"/>
          <w:color w:val="000000" w:themeColor="text1"/>
          <w:szCs w:val="22"/>
          <w:vertAlign w:val="superscript"/>
        </w:rPr>
        <w:t>3</w:t>
      </w:r>
      <w:r w:rsidR="00623D53" w:rsidRPr="003E70ED">
        <w:rPr>
          <w:rFonts w:ascii="Times New Roman" w:eastAsia="Calibri" w:hAnsi="Times New Roman" w:cs="Times New Roman"/>
          <w:color w:val="000000" w:themeColor="text1"/>
          <w:szCs w:val="22"/>
          <w:vertAlign w:val="superscript"/>
        </w:rPr>
        <w:t>,4</w:t>
      </w:r>
      <w:r w:rsidRPr="003E70ED">
        <w:rPr>
          <w:rFonts w:ascii="Times New Roman" w:eastAsia="Calibri" w:hAnsi="Times New Roman" w:cs="Times New Roman"/>
          <w:color w:val="000000" w:themeColor="text1"/>
          <w:szCs w:val="22"/>
        </w:rPr>
        <w:t xml:space="preserve">, </w:t>
      </w:r>
      <w:r w:rsidR="006F671D" w:rsidRPr="003E70ED">
        <w:rPr>
          <w:rFonts w:ascii="Times New Roman" w:eastAsia="Calibri" w:hAnsi="Times New Roman" w:cs="Times New Roman"/>
          <w:color w:val="000000" w:themeColor="text1"/>
          <w:szCs w:val="22"/>
        </w:rPr>
        <w:t xml:space="preserve">and </w:t>
      </w:r>
      <w:r w:rsidR="00821574" w:rsidRPr="003E70ED">
        <w:rPr>
          <w:rFonts w:ascii="Times New Roman" w:eastAsia="Calibri" w:hAnsi="Times New Roman" w:cs="Times New Roman"/>
          <w:color w:val="000000" w:themeColor="text1"/>
          <w:szCs w:val="22"/>
        </w:rPr>
        <w:t>Nadine Heck</w:t>
      </w:r>
      <w:r w:rsidR="00623D53" w:rsidRPr="003E70ED">
        <w:rPr>
          <w:rFonts w:ascii="Times New Roman" w:eastAsia="Calibri" w:hAnsi="Times New Roman" w:cs="Times New Roman"/>
          <w:color w:val="000000" w:themeColor="text1"/>
          <w:szCs w:val="22"/>
          <w:vertAlign w:val="superscript"/>
        </w:rPr>
        <w:t>5</w:t>
      </w:r>
    </w:p>
    <w:p w14:paraId="79FCF042" w14:textId="77777777" w:rsidR="00DF4D8C" w:rsidRPr="003E70ED" w:rsidRDefault="00DF4D8C" w:rsidP="00145B28">
      <w:pPr>
        <w:spacing w:line="24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3E70ED" w:rsidRDefault="00FC0519" w:rsidP="00145B28">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1</w:t>
      </w:r>
      <w:r w:rsidRPr="003E70ED">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3E70ED" w:rsidRDefault="00FC0519" w:rsidP="00145B28">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2</w:t>
      </w:r>
      <w:r w:rsidRPr="003E70ED">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3E70ED" w:rsidRDefault="00FC0519" w:rsidP="00145B28">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3</w:t>
      </w:r>
      <w:r w:rsidR="00623D53" w:rsidRPr="003E70ED">
        <w:rPr>
          <w:rFonts w:ascii="Times New Roman" w:eastAsia="Calibri" w:hAnsi="Times New Roman" w:cs="Times New Roman"/>
          <w:color w:val="000000" w:themeColor="text1"/>
          <w:sz w:val="18"/>
          <w:szCs w:val="18"/>
        </w:rPr>
        <w:t>Smithsonian Tropical Research Institute, Apartado Postal 0843-03092, Panamá, República de Panamá</w:t>
      </w:r>
    </w:p>
    <w:p w14:paraId="417A096C" w14:textId="6C818B8D" w:rsidR="00623D53" w:rsidRPr="003E70ED" w:rsidRDefault="00FC0519" w:rsidP="00145B28">
      <w:pPr>
        <w:spacing w:line="240" w:lineRule="auto"/>
        <w:jc w:val="both"/>
        <w:rPr>
          <w:rFonts w:ascii="Times New Roman" w:eastAsia="Calibri" w:hAnsi="Times New Roman" w:cs="Times New Roman"/>
          <w:color w:val="000000" w:themeColor="text1"/>
          <w:sz w:val="18"/>
          <w:szCs w:val="18"/>
          <w:vertAlign w:val="superscript"/>
        </w:rPr>
      </w:pPr>
      <w:r w:rsidRPr="003E70ED">
        <w:rPr>
          <w:rFonts w:ascii="Times New Roman" w:eastAsia="Calibri" w:hAnsi="Times New Roman" w:cs="Times New Roman"/>
          <w:color w:val="000000" w:themeColor="text1"/>
          <w:sz w:val="18"/>
          <w:szCs w:val="18"/>
          <w:vertAlign w:val="superscript"/>
        </w:rPr>
        <w:t>4</w:t>
      </w:r>
      <w:r w:rsidR="00623D53" w:rsidRPr="003E70ED">
        <w:rPr>
          <w:rFonts w:ascii="Times New Roman" w:eastAsia="Calibri" w:hAnsi="Times New Roman" w:cs="Times New Roman"/>
          <w:color w:val="000000" w:themeColor="text1"/>
          <w:sz w:val="18"/>
          <w:szCs w:val="18"/>
        </w:rPr>
        <w:t xml:space="preserve">School </w:t>
      </w:r>
      <w:r w:rsidR="00C67315">
        <w:rPr>
          <w:rFonts w:ascii="Times New Roman" w:eastAsia="Calibri" w:hAnsi="Times New Roman" w:cs="Times New Roman"/>
          <w:color w:val="000000" w:themeColor="text1"/>
          <w:sz w:val="18"/>
          <w:szCs w:val="18"/>
        </w:rPr>
        <w:t>of</w:t>
      </w:r>
      <w:r w:rsidR="00623D53" w:rsidRPr="003E70ED">
        <w:rPr>
          <w:rFonts w:ascii="Times New Roman" w:eastAsia="Calibri" w:hAnsi="Times New Roman" w:cs="Times New Roman"/>
          <w:color w:val="000000" w:themeColor="text1"/>
          <w:sz w:val="18"/>
          <w:szCs w:val="18"/>
        </w:rPr>
        <w:t xml:space="preserve"> Public Policy, Oregon State University, 318 Fairbanks Hall, Corvallis, OR 97331</w:t>
      </w:r>
      <w:r w:rsidR="006F671D" w:rsidRPr="003E70ED">
        <w:rPr>
          <w:rFonts w:ascii="Times New Roman" w:eastAsia="Calibri" w:hAnsi="Times New Roman" w:cs="Times New Roman"/>
          <w:color w:val="000000" w:themeColor="text1"/>
          <w:sz w:val="18"/>
          <w:szCs w:val="18"/>
        </w:rPr>
        <w:t>, USA</w:t>
      </w:r>
    </w:p>
    <w:p w14:paraId="7946B98C" w14:textId="61D7F71D" w:rsidR="006774D2" w:rsidRDefault="00623D53" w:rsidP="00145B28">
      <w:pPr>
        <w:spacing w:line="240" w:lineRule="auto"/>
        <w:jc w:val="both"/>
        <w:rPr>
          <w:rFonts w:ascii="Times New Roman" w:eastAsia="Calibri"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5</w:t>
      </w:r>
      <w:r w:rsidR="00821574" w:rsidRPr="003E70ED">
        <w:rPr>
          <w:rFonts w:ascii="Times New Roman" w:eastAsia="Calibri" w:hAnsi="Times New Roman" w:cs="Times New Roman"/>
          <w:color w:val="000000" w:themeColor="text1"/>
          <w:sz w:val="18"/>
          <w:szCs w:val="18"/>
        </w:rPr>
        <w:t>Institute of Marine Sciences, University of California, 1156 High St., Santa Cruz, CA 95064, USA</w:t>
      </w:r>
    </w:p>
    <w:p w14:paraId="2E2B273E" w14:textId="77777777" w:rsidR="001D3D6B" w:rsidRDefault="001D3D6B" w:rsidP="00145B28">
      <w:pPr>
        <w:spacing w:line="240" w:lineRule="auto"/>
        <w:jc w:val="both"/>
        <w:rPr>
          <w:rFonts w:ascii="Times New Roman" w:eastAsia="Calibri" w:hAnsi="Times New Roman" w:cs="Times New Roman"/>
          <w:color w:val="000000" w:themeColor="text1"/>
          <w:sz w:val="18"/>
          <w:szCs w:val="18"/>
        </w:rPr>
      </w:pPr>
    </w:p>
    <w:p w14:paraId="78B8EDBA" w14:textId="1B409CC5" w:rsidR="001D3D6B" w:rsidRPr="003E70ED" w:rsidRDefault="001D3D6B" w:rsidP="00145B28">
      <w:pPr>
        <w:spacing w:line="240" w:lineRule="auto"/>
        <w:jc w:val="both"/>
        <w:rPr>
          <w:rFonts w:ascii="Times New Roman" w:eastAsia="Calibri" w:hAnsi="Times New Roman" w:cs="Times New Roman"/>
          <w:color w:val="000000" w:themeColor="text1"/>
          <w:sz w:val="18"/>
          <w:szCs w:val="18"/>
        </w:rPr>
      </w:pPr>
      <w:r w:rsidRPr="001D3D6B">
        <w:rPr>
          <w:rFonts w:ascii="Times New Roman" w:eastAsia="Calibri" w:hAnsi="Times New Roman" w:cs="Times New Roman"/>
          <w:color w:val="000000" w:themeColor="text1"/>
          <w:sz w:val="18"/>
          <w:szCs w:val="18"/>
          <w:vertAlign w:val="superscript"/>
        </w:rPr>
        <w:t>*</w:t>
      </w:r>
      <w:r>
        <w:rPr>
          <w:rFonts w:ascii="Times New Roman" w:eastAsia="Calibri" w:hAnsi="Times New Roman" w:cs="Times New Roman"/>
          <w:color w:val="000000" w:themeColor="text1"/>
          <w:sz w:val="18"/>
          <w:szCs w:val="18"/>
        </w:rPr>
        <w:t xml:space="preserve">Corresponding author: tel (+1 206 543 4270); fax (+1 </w:t>
      </w:r>
      <w:r w:rsidRPr="001D3D6B">
        <w:rPr>
          <w:rFonts w:ascii="Times New Roman" w:eastAsia="Calibri" w:hAnsi="Times New Roman" w:cs="Times New Roman"/>
          <w:color w:val="000000" w:themeColor="text1"/>
          <w:sz w:val="18"/>
          <w:szCs w:val="18"/>
        </w:rPr>
        <w:t>616 8689</w:t>
      </w:r>
      <w:r>
        <w:rPr>
          <w:rFonts w:ascii="Times New Roman" w:eastAsia="Calibri" w:hAnsi="Times New Roman" w:cs="Times New Roman"/>
          <w:color w:val="000000" w:themeColor="text1"/>
          <w:sz w:val="18"/>
          <w:szCs w:val="18"/>
        </w:rPr>
        <w:t>); email (kfjohns@uw.edu)</w:t>
      </w:r>
    </w:p>
    <w:p w14:paraId="7838A262" w14:textId="77777777" w:rsidR="006774D2" w:rsidRPr="003E70ED" w:rsidRDefault="006774D2" w:rsidP="00145B28">
      <w:pPr>
        <w:spacing w:line="240" w:lineRule="auto"/>
        <w:jc w:val="both"/>
        <w:rPr>
          <w:rFonts w:ascii="Times New Roman" w:hAnsi="Times New Roman" w:cs="Times New Roman"/>
          <w:color w:val="000000" w:themeColor="text1"/>
          <w:szCs w:val="22"/>
        </w:rPr>
      </w:pPr>
    </w:p>
    <w:p w14:paraId="2FBA84EF" w14:textId="54E54B51" w:rsidR="006774D2" w:rsidRDefault="00821574" w:rsidP="00145B28">
      <w:pPr>
        <w:spacing w:line="240" w:lineRule="auto"/>
        <w:jc w:val="both"/>
        <w:rPr>
          <w:rFonts w:ascii="Times New Roman" w:eastAsia="Calibri" w:hAnsi="Times New Roman" w:cs="Times New Roman"/>
          <w:color w:val="000000" w:themeColor="text1"/>
          <w:szCs w:val="22"/>
        </w:rPr>
      </w:pPr>
      <w:r w:rsidRPr="00AF211D">
        <w:rPr>
          <w:rFonts w:ascii="Times New Roman" w:eastAsia="Calibri" w:hAnsi="Times New Roman" w:cs="Times New Roman"/>
          <w:color w:val="000000" w:themeColor="text1"/>
          <w:szCs w:val="22"/>
        </w:rPr>
        <w:t>Abstract</w:t>
      </w:r>
    </w:p>
    <w:p w14:paraId="218A9E11" w14:textId="5BA88E05" w:rsidR="006774D2" w:rsidRPr="00AF211D" w:rsidRDefault="004D0A97" w:rsidP="00145B28">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Reducing catch of non-target individual</w:t>
      </w:r>
      <w:r w:rsidR="00ED048F">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and species (i.e., bycatch) remains a global fisheries management </w:t>
      </w:r>
      <w:r w:rsidR="00FF047A">
        <w:rPr>
          <w:rFonts w:ascii="Times New Roman" w:eastAsia="Calibri" w:hAnsi="Times New Roman" w:cs="Times New Roman"/>
          <w:color w:val="000000" w:themeColor="text1"/>
          <w:szCs w:val="22"/>
        </w:rPr>
        <w:t>priority</w:t>
      </w:r>
      <w:r w:rsidR="003457C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is consistently listed as one of several impediments towards achieving sustainable fisheries. </w:t>
      </w:r>
      <w:r w:rsidR="00A31DE5">
        <w:rPr>
          <w:rFonts w:ascii="Times New Roman" w:eastAsia="Calibri" w:hAnsi="Times New Roman" w:cs="Times New Roman"/>
          <w:color w:val="000000" w:themeColor="text1"/>
          <w:szCs w:val="22"/>
        </w:rPr>
        <w:t>Switching</w:t>
      </w:r>
      <w:r w:rsidR="00FF5F74">
        <w:rPr>
          <w:rFonts w:ascii="Times New Roman" w:eastAsia="Calibri" w:hAnsi="Times New Roman" w:cs="Times New Roman"/>
          <w:color w:val="000000" w:themeColor="text1"/>
          <w:szCs w:val="22"/>
        </w:rPr>
        <w:t xml:space="preserve"> fishing gear for a</w:t>
      </w:r>
      <w:r w:rsidR="00A31DE5">
        <w:rPr>
          <w:rFonts w:ascii="Times New Roman" w:eastAsia="Calibri" w:hAnsi="Times New Roman" w:cs="Times New Roman"/>
          <w:color w:val="000000" w:themeColor="text1"/>
          <w:szCs w:val="22"/>
        </w:rPr>
        <w:t>nother</w:t>
      </w:r>
      <w:r w:rsidR="00FF5F74">
        <w:rPr>
          <w:rFonts w:ascii="Times New Roman" w:eastAsia="Calibri" w:hAnsi="Times New Roman" w:cs="Times New Roman"/>
          <w:color w:val="000000" w:themeColor="text1"/>
          <w:szCs w:val="22"/>
        </w:rPr>
        <w:t xml:space="preserve"> </w:t>
      </w:r>
      <w:r w:rsidR="00A31DE5">
        <w:rPr>
          <w:rFonts w:ascii="Times New Roman" w:eastAsia="Calibri" w:hAnsi="Times New Roman" w:cs="Times New Roman"/>
          <w:color w:val="000000" w:themeColor="text1"/>
          <w:szCs w:val="22"/>
        </w:rPr>
        <w:t xml:space="preserve">gear type with a lower rate of bycatch </w:t>
      </w:r>
      <w:r w:rsidR="00FF5F74">
        <w:rPr>
          <w:rFonts w:ascii="Times New Roman" w:eastAsia="Calibri" w:hAnsi="Times New Roman" w:cs="Times New Roman"/>
          <w:color w:val="000000" w:themeColor="text1"/>
          <w:szCs w:val="22"/>
        </w:rPr>
        <w:t xml:space="preserve">is often listed as the most feasible method to reduce bycatch. </w:t>
      </w:r>
      <w:r w:rsidR="00FF047A">
        <w:rPr>
          <w:rFonts w:ascii="Times New Roman" w:eastAsia="Calibri" w:hAnsi="Times New Roman" w:cs="Times New Roman"/>
          <w:color w:val="000000" w:themeColor="text1"/>
          <w:szCs w:val="22"/>
        </w:rPr>
        <w:t>However</w:t>
      </w:r>
      <w:r w:rsidR="00A31DE5">
        <w:rPr>
          <w:rFonts w:ascii="Times New Roman" w:eastAsia="Calibri" w:hAnsi="Times New Roman" w:cs="Times New Roman"/>
          <w:color w:val="000000" w:themeColor="text1"/>
          <w:szCs w:val="22"/>
        </w:rPr>
        <w:t xml:space="preserve">, </w:t>
      </w:r>
      <w:r w:rsidR="003457CA">
        <w:rPr>
          <w:rFonts w:ascii="Times New Roman" w:eastAsia="Calibri" w:hAnsi="Times New Roman" w:cs="Times New Roman"/>
          <w:color w:val="000000" w:themeColor="text1"/>
          <w:szCs w:val="22"/>
        </w:rPr>
        <w:t xml:space="preserve">fishers </w:t>
      </w:r>
      <w:r w:rsidR="00A31DE5">
        <w:rPr>
          <w:rFonts w:ascii="Times New Roman" w:eastAsia="Calibri" w:hAnsi="Times New Roman" w:cs="Times New Roman"/>
          <w:color w:val="000000" w:themeColor="text1"/>
          <w:szCs w:val="22"/>
        </w:rPr>
        <w:t xml:space="preserve">are faced with many decisions and it is often difficult to predict under what circumstances they </w:t>
      </w:r>
      <w:r w:rsidR="003316CC">
        <w:rPr>
          <w:rFonts w:ascii="Times New Roman" w:eastAsia="Calibri" w:hAnsi="Times New Roman" w:cs="Times New Roman"/>
          <w:color w:val="000000" w:themeColor="text1"/>
          <w:szCs w:val="22"/>
        </w:rPr>
        <w:t xml:space="preserve">will </w:t>
      </w:r>
      <w:r w:rsidR="003457CA">
        <w:rPr>
          <w:rFonts w:ascii="Times New Roman" w:eastAsia="Calibri" w:hAnsi="Times New Roman" w:cs="Times New Roman"/>
          <w:color w:val="000000" w:themeColor="text1"/>
          <w:szCs w:val="22"/>
        </w:rPr>
        <w:t>switch gear type</w:t>
      </w:r>
      <w:r w:rsidR="003457CA" w:rsidDel="003457CA">
        <w:rPr>
          <w:rFonts w:ascii="Times New Roman" w:eastAsia="Calibri" w:hAnsi="Times New Roman" w:cs="Times New Roman"/>
          <w:color w:val="000000" w:themeColor="text1"/>
          <w:szCs w:val="22"/>
        </w:rPr>
        <w:t xml:space="preserve"> </w:t>
      </w:r>
      <w:r w:rsidR="003457CA">
        <w:rPr>
          <w:rFonts w:ascii="Times New Roman" w:eastAsia="Calibri" w:hAnsi="Times New Roman" w:cs="Times New Roman"/>
          <w:color w:val="000000" w:themeColor="text1"/>
          <w:szCs w:val="22"/>
        </w:rPr>
        <w:t>when the management framework allows for them to do so</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Here, we</w:t>
      </w:r>
      <w:r w:rsidR="00E53C4B">
        <w:rPr>
          <w:rFonts w:ascii="Times New Roman" w:eastAsia="Calibri" w:hAnsi="Times New Roman" w:cs="Times New Roman"/>
          <w:color w:val="000000" w:themeColor="text1"/>
          <w:szCs w:val="22"/>
        </w:rPr>
        <w:t xml:space="preserve"> explored the </w:t>
      </w:r>
      <w:r w:rsidR="00F57983">
        <w:rPr>
          <w:rFonts w:ascii="Times New Roman" w:eastAsia="Calibri" w:hAnsi="Times New Roman" w:cs="Times New Roman"/>
          <w:color w:val="000000" w:themeColor="text1"/>
          <w:szCs w:val="22"/>
        </w:rPr>
        <w:t>effects of biological, economic, and societal factors on gear choice using statistical models</w:t>
      </w:r>
      <w:r w:rsidR="003316CC">
        <w:rPr>
          <w:rFonts w:ascii="Times New Roman" w:eastAsia="Calibri" w:hAnsi="Times New Roman" w:cs="Times New Roman"/>
          <w:color w:val="000000" w:themeColor="text1"/>
          <w:szCs w:val="22"/>
        </w:rPr>
        <w:t xml:space="preserve">. The approach was applied to </w:t>
      </w:r>
      <w:r w:rsidR="00E53C4B">
        <w:rPr>
          <w:rFonts w:ascii="Times New Roman" w:eastAsia="Calibri" w:hAnsi="Times New Roman" w:cs="Times New Roman"/>
          <w:color w:val="000000" w:themeColor="text1"/>
          <w:szCs w:val="22"/>
        </w:rPr>
        <w:t xml:space="preserve">fishery-independent and </w:t>
      </w:r>
      <w:r w:rsidR="00650B21">
        <w:rPr>
          <w:rFonts w:ascii="Times New Roman" w:eastAsia="Calibri" w:hAnsi="Times New Roman" w:cs="Times New Roman"/>
          <w:color w:val="000000" w:themeColor="text1"/>
          <w:szCs w:val="22"/>
        </w:rPr>
        <w:t>-</w:t>
      </w:r>
      <w:r w:rsidR="00E53C4B">
        <w:rPr>
          <w:rFonts w:ascii="Times New Roman" w:eastAsia="Calibri" w:hAnsi="Times New Roman" w:cs="Times New Roman"/>
          <w:color w:val="000000" w:themeColor="text1"/>
          <w:szCs w:val="22"/>
        </w:rPr>
        <w:t xml:space="preserve">dependent </w:t>
      </w:r>
      <w:r w:rsidR="00C849BC">
        <w:rPr>
          <w:rFonts w:ascii="Times New Roman" w:eastAsia="Calibri" w:hAnsi="Times New Roman" w:cs="Times New Roman"/>
          <w:color w:val="000000" w:themeColor="text1"/>
          <w:szCs w:val="22"/>
        </w:rPr>
        <w:t>data</w:t>
      </w:r>
      <w:r w:rsidR="00E53C4B">
        <w:rPr>
          <w:rFonts w:ascii="Times New Roman" w:eastAsia="Calibri" w:hAnsi="Times New Roman" w:cs="Times New Roman"/>
          <w:color w:val="000000" w:themeColor="text1"/>
          <w:szCs w:val="22"/>
        </w:rPr>
        <w:t xml:space="preserve"> </w:t>
      </w:r>
      <w:r w:rsidR="00FF047A">
        <w:rPr>
          <w:rFonts w:ascii="Times New Roman" w:eastAsia="Calibri" w:hAnsi="Times New Roman" w:cs="Times New Roman"/>
          <w:color w:val="000000" w:themeColor="text1"/>
          <w:szCs w:val="22"/>
        </w:rPr>
        <w:t>available for</w:t>
      </w:r>
      <w:r w:rsidR="00C849BC">
        <w:rPr>
          <w:rFonts w:ascii="Times New Roman" w:eastAsia="Calibri" w:hAnsi="Times New Roman" w:cs="Times New Roman"/>
          <w:color w:val="000000" w:themeColor="text1"/>
          <w:szCs w:val="22"/>
        </w:rPr>
        <w:t xml:space="preserve"> the </w:t>
      </w:r>
      <w:r w:rsidR="00E53C4B">
        <w:rPr>
          <w:rFonts w:ascii="Times New Roman" w:eastAsia="Calibri" w:hAnsi="Times New Roman" w:cs="Times New Roman"/>
          <w:color w:val="000000" w:themeColor="text1"/>
          <w:szCs w:val="22"/>
        </w:rPr>
        <w:t xml:space="preserve">United States West Coast </w:t>
      </w:r>
      <w:r w:rsidR="003316CC">
        <w:rPr>
          <w:rFonts w:ascii="Times New Roman" w:eastAsia="Calibri" w:hAnsi="Times New Roman" w:cs="Times New Roman"/>
          <w:color w:val="000000" w:themeColor="text1"/>
          <w:szCs w:val="22"/>
        </w:rPr>
        <w:t>groundfish</w:t>
      </w:r>
      <w:r w:rsidR="00E53C4B">
        <w:rPr>
          <w:rFonts w:ascii="Times New Roman" w:eastAsia="Calibri" w:hAnsi="Times New Roman" w:cs="Times New Roman"/>
          <w:color w:val="000000" w:themeColor="text1"/>
          <w:szCs w:val="22"/>
        </w:rPr>
        <w:t xml:space="preserve"> fishery</w:t>
      </w:r>
      <w:r w:rsidR="003316CC">
        <w:rPr>
          <w:rFonts w:ascii="Times New Roman" w:eastAsia="Calibri" w:hAnsi="Times New Roman" w:cs="Times New Roman"/>
          <w:color w:val="000000" w:themeColor="text1"/>
          <w:szCs w:val="22"/>
        </w:rPr>
        <w:t>, with an emphasis on by</w:t>
      </w:r>
      <w:bookmarkStart w:id="0" w:name="_GoBack"/>
      <w:bookmarkEnd w:id="0"/>
      <w:r w:rsidR="003316CC">
        <w:rPr>
          <w:rFonts w:ascii="Times New Roman" w:eastAsia="Calibri" w:hAnsi="Times New Roman" w:cs="Times New Roman"/>
          <w:color w:val="000000" w:themeColor="text1"/>
          <w:szCs w:val="22"/>
        </w:rPr>
        <w:t xml:space="preserve">catch in the Limited Entry trawl sector while targeting sablefish </w:t>
      </w:r>
      <w:r w:rsidR="003316CC" w:rsidRPr="00AE34F8">
        <w:rPr>
          <w:rFonts w:ascii="Times New Roman" w:eastAsia="Calibri" w:hAnsi="Times New Roman" w:cs="Times New Roman"/>
          <w:color w:val="000000" w:themeColor="text1"/>
          <w:szCs w:val="22"/>
        </w:rPr>
        <w:t>(</w:t>
      </w:r>
      <w:r w:rsidR="003316CC" w:rsidRPr="000D5531">
        <w:rPr>
          <w:rFonts w:ascii="Times New Roman" w:eastAsia="Calibri" w:hAnsi="Times New Roman" w:cs="Times New Roman"/>
          <w:i/>
          <w:color w:val="000000" w:themeColor="text1"/>
          <w:szCs w:val="22"/>
        </w:rPr>
        <w:t>Anoplopoma fimbria</w:t>
      </w:r>
      <w:r w:rsidR="003316CC" w:rsidRPr="00AE34F8">
        <w:rPr>
          <w:rFonts w:ascii="Times New Roman" w:eastAsia="Calibri" w:hAnsi="Times New Roman" w:cs="Times New Roman"/>
          <w:color w:val="000000" w:themeColor="text1"/>
          <w:szCs w:val="22"/>
        </w:rPr>
        <w:t>)</w:t>
      </w:r>
      <w:r w:rsidR="00E53C4B">
        <w:rPr>
          <w:rFonts w:ascii="Times New Roman" w:eastAsia="Calibri" w:hAnsi="Times New Roman" w:cs="Times New Roman"/>
          <w:color w:val="000000" w:themeColor="text1"/>
          <w:szCs w:val="22"/>
        </w:rPr>
        <w:t xml:space="preserve">. </w:t>
      </w:r>
      <w:r w:rsidR="00F57983">
        <w:rPr>
          <w:rFonts w:ascii="Times New Roman" w:eastAsia="Calibri" w:hAnsi="Times New Roman" w:cs="Times New Roman"/>
          <w:color w:val="000000" w:themeColor="text1"/>
          <w:szCs w:val="22"/>
        </w:rPr>
        <w:t>C</w:t>
      </w:r>
      <w:r w:rsidR="00E53C4B">
        <w:rPr>
          <w:rFonts w:ascii="Times New Roman" w:eastAsia="Calibri" w:hAnsi="Times New Roman" w:cs="Times New Roman"/>
          <w:color w:val="000000" w:themeColor="text1"/>
          <w:szCs w:val="22"/>
        </w:rPr>
        <w:t>luster analysis identif</w:t>
      </w:r>
      <w:r w:rsidR="00F57983">
        <w:rPr>
          <w:rFonts w:ascii="Times New Roman" w:eastAsia="Calibri" w:hAnsi="Times New Roman" w:cs="Times New Roman"/>
          <w:color w:val="000000" w:themeColor="text1"/>
          <w:szCs w:val="22"/>
        </w:rPr>
        <w:t>ied</w:t>
      </w:r>
      <w:r w:rsidR="00E53C4B">
        <w:rPr>
          <w:rFonts w:ascii="Times New Roman" w:eastAsia="Calibri" w:hAnsi="Times New Roman" w:cs="Times New Roman"/>
          <w:color w:val="000000" w:themeColor="text1"/>
          <w:szCs w:val="22"/>
        </w:rPr>
        <w:t xml:space="preserve"> </w:t>
      </w:r>
      <w:r w:rsidR="003316CC">
        <w:rPr>
          <w:rFonts w:ascii="Times New Roman" w:eastAsia="Calibri" w:hAnsi="Times New Roman" w:cs="Times New Roman"/>
          <w:color w:val="000000" w:themeColor="text1"/>
          <w:szCs w:val="22"/>
        </w:rPr>
        <w:t>two</w:t>
      </w:r>
      <w:r w:rsidR="00C849BC">
        <w:rPr>
          <w:rFonts w:ascii="Times New Roman" w:eastAsia="Calibri" w:hAnsi="Times New Roman" w:cs="Times New Roman"/>
          <w:color w:val="000000" w:themeColor="text1"/>
          <w:szCs w:val="22"/>
        </w:rPr>
        <w:t xml:space="preserve"> </w:t>
      </w:r>
      <w:r w:rsidR="00E53C4B">
        <w:rPr>
          <w:rFonts w:ascii="Times New Roman" w:eastAsia="Calibri" w:hAnsi="Times New Roman" w:cs="Times New Roman"/>
          <w:color w:val="000000" w:themeColor="text1"/>
          <w:szCs w:val="22"/>
        </w:rPr>
        <w:t>major changes in gear type</w:t>
      </w:r>
      <w:r w:rsidR="003457CA">
        <w:rPr>
          <w:rFonts w:ascii="Times New Roman" w:eastAsia="Calibri" w:hAnsi="Times New Roman" w:cs="Times New Roman"/>
          <w:color w:val="000000" w:themeColor="text1"/>
          <w:szCs w:val="22"/>
        </w:rPr>
        <w:t xml:space="preserve"> since the enforcement of the first federal regulations in 1982</w:t>
      </w:r>
      <w:r w:rsidR="00C849BC">
        <w:rPr>
          <w:rFonts w:ascii="Times New Roman" w:eastAsia="Calibri" w:hAnsi="Times New Roman" w:cs="Times New Roman"/>
          <w:color w:val="000000" w:themeColor="text1"/>
          <w:szCs w:val="22"/>
        </w:rPr>
        <w:t>:</w:t>
      </w:r>
      <w:r w:rsidR="0095671F">
        <w:rPr>
          <w:rFonts w:ascii="Times New Roman" w:eastAsia="Calibri" w:hAnsi="Times New Roman" w:cs="Times New Roman"/>
          <w:color w:val="000000" w:themeColor="text1"/>
          <w:szCs w:val="22"/>
        </w:rPr>
        <w:t xml:space="preserve"> </w:t>
      </w:r>
      <w:r w:rsidR="003316CC">
        <w:rPr>
          <w:rFonts w:ascii="Times New Roman" w:eastAsia="Calibri" w:hAnsi="Times New Roman" w:cs="Times New Roman"/>
          <w:color w:val="000000" w:themeColor="text1"/>
          <w:szCs w:val="22"/>
        </w:rPr>
        <w:t>1991 and 2005.</w:t>
      </w:r>
      <w:r w:rsidR="0095671F">
        <w:rPr>
          <w:rFonts w:ascii="Times New Roman" w:eastAsia="Calibri" w:hAnsi="Times New Roman" w:cs="Times New Roman"/>
          <w:color w:val="000000" w:themeColor="text1"/>
          <w:szCs w:val="22"/>
        </w:rPr>
        <w:t xml:space="preserve"> </w:t>
      </w:r>
      <w:r w:rsidR="003457CA">
        <w:rPr>
          <w:rFonts w:ascii="Times New Roman" w:eastAsia="Calibri" w:hAnsi="Times New Roman" w:cs="Times New Roman"/>
          <w:color w:val="000000" w:themeColor="text1"/>
          <w:szCs w:val="22"/>
        </w:rPr>
        <w:t>G</w:t>
      </w:r>
      <w:r w:rsidR="008B36C0">
        <w:rPr>
          <w:rFonts w:ascii="Times New Roman" w:eastAsia="Calibri" w:hAnsi="Times New Roman" w:cs="Times New Roman"/>
          <w:color w:val="000000" w:themeColor="text1"/>
          <w:szCs w:val="22"/>
        </w:rPr>
        <w:t xml:space="preserve">eneralized </w:t>
      </w:r>
      <w:r w:rsidR="008B3D8B">
        <w:rPr>
          <w:rFonts w:ascii="Times New Roman" w:eastAsia="Calibri" w:hAnsi="Times New Roman" w:cs="Times New Roman"/>
          <w:color w:val="000000" w:themeColor="text1"/>
          <w:szCs w:val="22"/>
        </w:rPr>
        <w:t>additive</w:t>
      </w:r>
      <w:r w:rsidR="008B36C0">
        <w:rPr>
          <w:rFonts w:ascii="Times New Roman" w:eastAsia="Calibri" w:hAnsi="Times New Roman" w:cs="Times New Roman"/>
          <w:color w:val="000000" w:themeColor="text1"/>
          <w:szCs w:val="22"/>
        </w:rPr>
        <w:t xml:space="preserve"> models were </w:t>
      </w:r>
      <w:r w:rsidR="00092656">
        <w:rPr>
          <w:rFonts w:ascii="Times New Roman" w:eastAsia="Calibri" w:hAnsi="Times New Roman" w:cs="Times New Roman"/>
          <w:color w:val="000000" w:themeColor="text1"/>
          <w:szCs w:val="22"/>
        </w:rPr>
        <w:t xml:space="preserve">developed </w:t>
      </w:r>
      <w:r w:rsidR="008B36C0">
        <w:rPr>
          <w:rFonts w:ascii="Times New Roman" w:eastAsia="Calibri" w:hAnsi="Times New Roman" w:cs="Times New Roman"/>
          <w:color w:val="000000" w:themeColor="text1"/>
          <w:szCs w:val="22"/>
        </w:rPr>
        <w:t>to quantify the effects of biological, economic, and social factors</w:t>
      </w:r>
      <w:r w:rsidR="00092656">
        <w:rPr>
          <w:rFonts w:ascii="Times New Roman" w:eastAsia="Calibri" w:hAnsi="Times New Roman" w:cs="Times New Roman"/>
          <w:color w:val="000000" w:themeColor="text1"/>
          <w:szCs w:val="22"/>
        </w:rPr>
        <w:t xml:space="preserve">. </w:t>
      </w:r>
      <w:r w:rsidR="008B36C0">
        <w:rPr>
          <w:rFonts w:ascii="Times New Roman" w:eastAsia="Calibri" w:hAnsi="Times New Roman" w:cs="Times New Roman"/>
          <w:color w:val="000000" w:themeColor="text1"/>
          <w:szCs w:val="22"/>
        </w:rPr>
        <w:t xml:space="preserve">The application of the </w:t>
      </w:r>
      <w:r w:rsidR="0095671F">
        <w:rPr>
          <w:rFonts w:ascii="Times New Roman" w:eastAsia="Calibri" w:hAnsi="Times New Roman" w:cs="Times New Roman"/>
          <w:color w:val="000000" w:themeColor="text1"/>
          <w:szCs w:val="22"/>
        </w:rPr>
        <w:t xml:space="preserve">model </w:t>
      </w:r>
      <w:r w:rsidR="008B36C0">
        <w:rPr>
          <w:rFonts w:ascii="Times New Roman" w:eastAsia="Calibri" w:hAnsi="Times New Roman" w:cs="Times New Roman"/>
          <w:color w:val="000000" w:themeColor="text1"/>
          <w:szCs w:val="22"/>
        </w:rPr>
        <w:t>approach highlights</w:t>
      </w:r>
      <w:r w:rsidR="00092656">
        <w:rPr>
          <w:rFonts w:ascii="Times New Roman" w:eastAsia="Calibri" w:hAnsi="Times New Roman" w:cs="Times New Roman"/>
          <w:color w:val="000000" w:themeColor="text1"/>
          <w:szCs w:val="22"/>
        </w:rPr>
        <w:t xml:space="preserve"> the major difficulties of integrating data across multiple disciplines and why it is important to </w:t>
      </w:r>
      <w:r w:rsidR="003316CC">
        <w:rPr>
          <w:rFonts w:ascii="Times New Roman" w:eastAsia="Calibri" w:hAnsi="Times New Roman" w:cs="Times New Roman"/>
          <w:color w:val="000000" w:themeColor="text1"/>
          <w:szCs w:val="22"/>
        </w:rPr>
        <w:t xml:space="preserve">include data from such disciplines when analysing </w:t>
      </w:r>
      <w:r w:rsidR="00E23B5F">
        <w:rPr>
          <w:rFonts w:ascii="Times New Roman" w:eastAsia="Calibri" w:hAnsi="Times New Roman" w:cs="Times New Roman"/>
          <w:color w:val="000000" w:themeColor="text1"/>
          <w:szCs w:val="22"/>
        </w:rPr>
        <w:t>human choices</w:t>
      </w:r>
      <w:r w:rsidR="00092656">
        <w:rPr>
          <w:rFonts w:ascii="Times New Roman" w:eastAsia="Calibri" w:hAnsi="Times New Roman" w:cs="Times New Roman"/>
          <w:color w:val="000000" w:themeColor="text1"/>
          <w:szCs w:val="22"/>
        </w:rPr>
        <w:t xml:space="preserve">. </w:t>
      </w:r>
      <w:r w:rsidR="00B271CB">
        <w:rPr>
          <w:rFonts w:ascii="Times New Roman" w:eastAsia="Calibri" w:hAnsi="Times New Roman" w:cs="Times New Roman"/>
          <w:color w:val="000000" w:themeColor="text1"/>
          <w:szCs w:val="22"/>
        </w:rPr>
        <w:t xml:space="preserve"> </w:t>
      </w:r>
      <w:r w:rsidR="003457CA">
        <w:rPr>
          <w:rFonts w:ascii="Times New Roman" w:eastAsia="Calibri" w:hAnsi="Times New Roman" w:cs="Times New Roman"/>
          <w:color w:val="000000" w:themeColor="text1"/>
          <w:szCs w:val="22"/>
        </w:rPr>
        <w:t>This r</w:t>
      </w:r>
      <w:r w:rsidR="00B40298">
        <w:rPr>
          <w:rFonts w:ascii="Times New Roman" w:eastAsia="Calibri" w:hAnsi="Times New Roman" w:cs="Times New Roman"/>
          <w:color w:val="000000" w:themeColor="text1"/>
          <w:szCs w:val="22"/>
        </w:rPr>
        <w:t xml:space="preserve">esearch provides a framework for quantifying </w:t>
      </w:r>
      <w:r w:rsidR="00E23B5F">
        <w:rPr>
          <w:rFonts w:ascii="Times New Roman" w:eastAsia="Calibri" w:hAnsi="Times New Roman" w:cs="Times New Roman"/>
          <w:color w:val="000000" w:themeColor="text1"/>
          <w:szCs w:val="22"/>
        </w:rPr>
        <w:t xml:space="preserve">drivers of fisher behaviour regarding </w:t>
      </w:r>
      <w:r w:rsidR="00B40298">
        <w:rPr>
          <w:rFonts w:ascii="Times New Roman" w:eastAsia="Calibri" w:hAnsi="Times New Roman" w:cs="Times New Roman"/>
          <w:color w:val="000000" w:themeColor="text1"/>
          <w:szCs w:val="22"/>
        </w:rPr>
        <w:t>gear choice in other fisheries</w:t>
      </w:r>
      <w:r w:rsidR="003457CA">
        <w:rPr>
          <w:rFonts w:ascii="Times New Roman" w:eastAsia="Calibri" w:hAnsi="Times New Roman" w:cs="Times New Roman"/>
          <w:color w:val="000000" w:themeColor="text1"/>
          <w:szCs w:val="22"/>
        </w:rPr>
        <w:t>,</w:t>
      </w:r>
      <w:r w:rsidR="00B40298">
        <w:rPr>
          <w:rFonts w:ascii="Times New Roman" w:eastAsia="Calibri" w:hAnsi="Times New Roman" w:cs="Times New Roman"/>
          <w:color w:val="000000" w:themeColor="text1"/>
          <w:szCs w:val="22"/>
        </w:rPr>
        <w:t xml:space="preserve"> and </w:t>
      </w:r>
      <w:r w:rsidR="00153212">
        <w:rPr>
          <w:rFonts w:ascii="Times New Roman" w:eastAsia="Calibri" w:hAnsi="Times New Roman" w:cs="Times New Roman"/>
          <w:color w:val="000000" w:themeColor="text1"/>
          <w:szCs w:val="22"/>
        </w:rPr>
        <w:t>highlights the need for collecting data on local governance structures, such as membership in and/or rules of risk pools,</w:t>
      </w:r>
      <w:r w:rsidR="00B40298">
        <w:rPr>
          <w:rFonts w:ascii="Times New Roman" w:eastAsia="Calibri" w:hAnsi="Times New Roman" w:cs="Times New Roman"/>
          <w:color w:val="000000" w:themeColor="text1"/>
          <w:szCs w:val="22"/>
        </w:rPr>
        <w:t xml:space="preserve"> enabling the quantification of </w:t>
      </w:r>
      <w:r w:rsidR="00153212">
        <w:rPr>
          <w:rFonts w:ascii="Times New Roman" w:eastAsia="Calibri" w:hAnsi="Times New Roman" w:cs="Times New Roman"/>
          <w:color w:val="000000" w:themeColor="text1"/>
          <w:szCs w:val="22"/>
        </w:rPr>
        <w:t>socio-economic drivers of fisher behaviour.</w:t>
      </w:r>
    </w:p>
    <w:p w14:paraId="5DDEB276" w14:textId="3A4368A1" w:rsidR="006774D2" w:rsidRPr="00AF211D" w:rsidRDefault="006774D2" w:rsidP="00145B28">
      <w:pPr>
        <w:spacing w:line="240" w:lineRule="auto"/>
        <w:jc w:val="both"/>
        <w:rPr>
          <w:rFonts w:ascii="Times New Roman" w:hAnsi="Times New Roman" w:cs="Times New Roman"/>
          <w:color w:val="000000" w:themeColor="text1"/>
          <w:szCs w:val="22"/>
        </w:rPr>
      </w:pPr>
    </w:p>
    <w:p w14:paraId="4371533A" w14:textId="5F5C637E" w:rsidR="006774D2" w:rsidRPr="00AF211D" w:rsidRDefault="00821574" w:rsidP="00145B28">
      <w:pPr>
        <w:spacing w:line="240" w:lineRule="auto"/>
        <w:jc w:val="both"/>
        <w:rPr>
          <w:rFonts w:ascii="Times New Roman" w:hAnsi="Times New Roman" w:cs="Times New Roman"/>
          <w:color w:val="000000" w:themeColor="text1"/>
          <w:szCs w:val="22"/>
        </w:rPr>
      </w:pPr>
      <w:r w:rsidRPr="00AF211D">
        <w:rPr>
          <w:rFonts w:ascii="Times New Roman" w:eastAsia="Calibri" w:hAnsi="Times New Roman" w:cs="Times New Roman"/>
          <w:color w:val="000000" w:themeColor="text1"/>
          <w:szCs w:val="22"/>
        </w:rPr>
        <w:t>Keywords: bycatch, catch share, governance,</w:t>
      </w:r>
      <w:r w:rsidR="0069409C" w:rsidRPr="00AF211D">
        <w:rPr>
          <w:rFonts w:ascii="Times New Roman" w:eastAsia="Calibri" w:hAnsi="Times New Roman" w:cs="Times New Roman"/>
          <w:color w:val="000000" w:themeColor="text1"/>
          <w:szCs w:val="22"/>
        </w:rPr>
        <w:t xml:space="preserve"> </w:t>
      </w:r>
      <w:r w:rsidRPr="00AF211D">
        <w:rPr>
          <w:rFonts w:ascii="Times New Roman" w:eastAsia="Calibri" w:hAnsi="Times New Roman" w:cs="Times New Roman"/>
          <w:color w:val="000000" w:themeColor="text1"/>
          <w:szCs w:val="22"/>
        </w:rPr>
        <w:t>individual transferable quota (ITQ), risk pool</w:t>
      </w:r>
      <w:r w:rsidR="00623D53" w:rsidRPr="00AF211D">
        <w:rPr>
          <w:rFonts w:ascii="Times New Roman" w:eastAsia="Calibri" w:hAnsi="Times New Roman" w:cs="Times New Roman"/>
          <w:color w:val="000000" w:themeColor="text1"/>
          <w:szCs w:val="22"/>
        </w:rPr>
        <w:t>, transdisciplinary</w:t>
      </w:r>
    </w:p>
    <w:p w14:paraId="2D8F8289" w14:textId="77777777" w:rsidR="0048082C" w:rsidRPr="003E70ED" w:rsidRDefault="0048082C" w:rsidP="00145B28">
      <w:pPr>
        <w:spacing w:line="240" w:lineRule="auto"/>
        <w:jc w:val="both"/>
        <w:rPr>
          <w:rFonts w:ascii="Times New Roman" w:eastAsia="Calibri" w:hAnsi="Times New Roman" w:cs="Times New Roman"/>
          <w:b/>
          <w:color w:val="000000" w:themeColor="text1"/>
          <w:szCs w:val="22"/>
        </w:rPr>
      </w:pPr>
      <w:r w:rsidRPr="003E70ED">
        <w:rPr>
          <w:rFonts w:ascii="Times New Roman" w:eastAsia="Calibri" w:hAnsi="Times New Roman" w:cs="Times New Roman"/>
          <w:b/>
          <w:color w:val="000000" w:themeColor="text1"/>
          <w:szCs w:val="22"/>
        </w:rPr>
        <w:br w:type="page"/>
      </w:r>
    </w:p>
    <w:p w14:paraId="47CB3F56" w14:textId="49E86EDA"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Timeline</w:t>
      </w:r>
    </w:p>
    <w:p w14:paraId="66FCAC39" w14:textId="77777777" w:rsidR="006D55D3" w:rsidRDefault="006D55D3" w:rsidP="00145B28">
      <w:pPr>
        <w:spacing w:line="240" w:lineRule="auto"/>
        <w:jc w:val="both"/>
        <w:rPr>
          <w:rFonts w:ascii="Times New Roman" w:eastAsia="Calibri" w:hAnsi="Times New Roman" w:cs="Times New Roman"/>
          <w:color w:val="000000" w:themeColor="text1"/>
          <w:szCs w:val="22"/>
        </w:rPr>
      </w:pPr>
    </w:p>
    <w:p w14:paraId="230B1378" w14:textId="2306FD57" w:rsidR="006D55D3" w:rsidRDefault="00272F40"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2016-01-2</w:t>
      </w:r>
      <w:r w:rsidR="007933D3">
        <w:rPr>
          <w:rFonts w:ascii="Times New Roman" w:eastAsia="Calibri" w:hAnsi="Times New Roman" w:cs="Times New Roman"/>
          <w:color w:val="000000" w:themeColor="text1"/>
          <w:szCs w:val="22"/>
        </w:rPr>
        <w:t>7</w:t>
      </w:r>
      <w:r>
        <w:rPr>
          <w:rFonts w:ascii="Times New Roman" w:eastAsia="Calibri" w:hAnsi="Times New Roman" w:cs="Times New Roman"/>
          <w:color w:val="000000" w:themeColor="text1"/>
          <w:szCs w:val="22"/>
        </w:rPr>
        <w:t xml:space="preserve"> Send revision to </w:t>
      </w:r>
      <w:r w:rsidR="00095809">
        <w:rPr>
          <w:rFonts w:ascii="Times New Roman" w:eastAsia="Calibri" w:hAnsi="Times New Roman" w:cs="Times New Roman"/>
          <w:color w:val="000000" w:themeColor="text1"/>
          <w:szCs w:val="22"/>
        </w:rPr>
        <w:t xml:space="preserve">Nadine, Ana, Sarah, </w:t>
      </w:r>
      <w:r w:rsidR="006D55D3">
        <w:rPr>
          <w:rFonts w:ascii="Times New Roman" w:eastAsia="Calibri" w:hAnsi="Times New Roman" w:cs="Times New Roman"/>
          <w:color w:val="000000" w:themeColor="text1"/>
          <w:szCs w:val="22"/>
        </w:rPr>
        <w:t>Lorenzo, Mary, and Kathryn</w:t>
      </w:r>
      <w:r>
        <w:rPr>
          <w:rFonts w:ascii="Times New Roman" w:eastAsia="Calibri" w:hAnsi="Times New Roman" w:cs="Times New Roman"/>
          <w:color w:val="000000" w:themeColor="text1"/>
          <w:szCs w:val="22"/>
        </w:rPr>
        <w:t xml:space="preserve"> for input</w:t>
      </w:r>
    </w:p>
    <w:p w14:paraId="4389F2CA" w14:textId="19A773B7" w:rsidR="007933D3" w:rsidRDefault="007933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2016-02-10 Receive comments</w:t>
      </w:r>
    </w:p>
    <w:p w14:paraId="2ED5FCBA" w14:textId="77777777" w:rsidR="007933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2016-02-</w:t>
      </w:r>
      <w:r w:rsidR="00272F40">
        <w:rPr>
          <w:rFonts w:ascii="Times New Roman" w:eastAsia="Calibri" w:hAnsi="Times New Roman" w:cs="Times New Roman"/>
          <w:color w:val="000000" w:themeColor="text1"/>
          <w:szCs w:val="22"/>
        </w:rPr>
        <w:t>1</w:t>
      </w:r>
      <w:r>
        <w:rPr>
          <w:rFonts w:ascii="Times New Roman" w:eastAsia="Calibri" w:hAnsi="Times New Roman" w:cs="Times New Roman"/>
          <w:color w:val="000000" w:themeColor="text1"/>
          <w:szCs w:val="22"/>
        </w:rPr>
        <w:t xml:space="preserve">5 </w:t>
      </w:r>
      <w:r w:rsidR="007933D3">
        <w:rPr>
          <w:rFonts w:ascii="Times New Roman" w:eastAsia="Calibri" w:hAnsi="Times New Roman" w:cs="Times New Roman"/>
          <w:color w:val="000000" w:themeColor="text1"/>
          <w:szCs w:val="22"/>
        </w:rPr>
        <w:t>Send final revision to Nadine, Ana, Sarah, and Andre</w:t>
      </w:r>
    </w:p>
    <w:p w14:paraId="1687C4CE" w14:textId="43BC1F3B" w:rsidR="006D55D3" w:rsidRDefault="007933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2016-02-20 </w:t>
      </w:r>
      <w:r w:rsidR="006D55D3">
        <w:rPr>
          <w:rFonts w:ascii="Times New Roman" w:eastAsia="Calibri" w:hAnsi="Times New Roman" w:cs="Times New Roman"/>
          <w:color w:val="000000" w:themeColor="text1"/>
          <w:szCs w:val="22"/>
        </w:rPr>
        <w:t>Submit revision</w:t>
      </w:r>
    </w:p>
    <w:p w14:paraId="06FEEEB1" w14:textId="39814DFC" w:rsidR="0061208B" w:rsidRDefault="00FB763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bookmarkStart w:id="1" w:name="Introduction"/>
    <w:p w14:paraId="72D64A7D"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bookmarkEnd w:id="1"/>
      <w:r>
        <w:rPr>
          <w:rFonts w:ascii="Times New Roman" w:eastAsia="Calibri" w:hAnsi="Times New Roman" w:cs="Times New Roman"/>
          <w:color w:val="000000" w:themeColor="text1"/>
          <w:szCs w:val="22"/>
        </w:rPr>
        <w:t xml:space="preserve"> Introduction</w:t>
      </w:r>
    </w:p>
    <w:p w14:paraId="3411147A" w14:textId="314FCEDD" w:rsidR="00EA0AFC" w:rsidRDefault="00EA0AFC" w:rsidP="00145B28">
      <w:pPr>
        <w:spacing w:line="240" w:lineRule="auto"/>
        <w:ind w:firstLine="720"/>
        <w:jc w:val="both"/>
        <w:rPr>
          <w:rFonts w:ascii="Times New Roman" w:eastAsia="Calibri" w:hAnsi="Times New Roman" w:cs="Times New Roman"/>
          <w:color w:val="000000" w:themeColor="text1"/>
          <w:szCs w:val="22"/>
        </w:rPr>
      </w:pPr>
      <w:r w:rsidRPr="009E6635">
        <w:rPr>
          <w:rFonts w:ascii="Times New Roman" w:eastAsia="Calibri" w:hAnsi="Times New Roman" w:cs="Times New Roman"/>
          <w:color w:val="000000" w:themeColor="text1"/>
          <w:szCs w:val="22"/>
        </w:rPr>
        <w:t xml:space="preserve">Uncertainty is a universal </w:t>
      </w:r>
      <w:r w:rsidR="00FF047A">
        <w:rPr>
          <w:rFonts w:ascii="Times New Roman" w:eastAsia="Calibri" w:hAnsi="Times New Roman" w:cs="Times New Roman"/>
          <w:color w:val="000000" w:themeColor="text1"/>
          <w:szCs w:val="22"/>
        </w:rPr>
        <w:t>challenge</w:t>
      </w:r>
      <w:r w:rsidRPr="009E6635">
        <w:rPr>
          <w:rFonts w:ascii="Times New Roman" w:eastAsia="Calibri" w:hAnsi="Times New Roman" w:cs="Times New Roman"/>
          <w:color w:val="000000" w:themeColor="text1"/>
          <w:szCs w:val="22"/>
        </w:rPr>
        <w:t xml:space="preserve"> of resource management</w:t>
      </w:r>
      <w:r w:rsidR="003154CB">
        <w:rPr>
          <w:rFonts w:ascii="Times New Roman" w:eastAsia="Calibri" w:hAnsi="Times New Roman" w:cs="Times New Roman"/>
          <w:color w:val="000000" w:themeColor="text1"/>
          <w:szCs w:val="22"/>
        </w:rPr>
        <w:t xml:space="preserve">. </w:t>
      </w:r>
      <w:r w:rsidR="00604F62">
        <w:rPr>
          <w:rFonts w:ascii="Times New Roman" w:eastAsia="Calibri" w:hAnsi="Times New Roman" w:cs="Times New Roman"/>
          <w:color w:val="000000" w:themeColor="text1"/>
          <w:szCs w:val="22"/>
        </w:rPr>
        <w:t>Management questions often pertain to large complex systems making controlled</w:t>
      </w:r>
      <w:r w:rsidR="005E7A67">
        <w:rPr>
          <w:rFonts w:ascii="Times New Roman" w:eastAsia="Calibri" w:hAnsi="Times New Roman" w:cs="Times New Roman"/>
          <w:color w:val="000000" w:themeColor="text1"/>
          <w:szCs w:val="22"/>
        </w:rPr>
        <w:t xml:space="preserve"> and replicated experiments impossible. Therefore, c</w:t>
      </w:r>
      <w:r w:rsidR="003154CB">
        <w:rPr>
          <w:rFonts w:ascii="Times New Roman" w:eastAsia="Calibri" w:hAnsi="Times New Roman" w:cs="Times New Roman"/>
          <w:color w:val="000000" w:themeColor="text1"/>
          <w:szCs w:val="22"/>
        </w:rPr>
        <w:t>omplete elimination of uncertainty will never be possible</w:t>
      </w:r>
      <w:r w:rsidR="005E7A67">
        <w:rPr>
          <w:rFonts w:ascii="Times New Roman" w:eastAsia="Calibri" w:hAnsi="Times New Roman" w:cs="Times New Roman"/>
          <w:color w:val="000000" w:themeColor="text1"/>
          <w:szCs w:val="22"/>
        </w:rPr>
        <w:t>.</w:t>
      </w:r>
      <w:r w:rsidRPr="009E6635">
        <w:rPr>
          <w:rFonts w:ascii="Times New Roman" w:eastAsia="Calibri" w:hAnsi="Times New Roman" w:cs="Times New Roman"/>
          <w:color w:val="000000" w:themeColor="text1"/>
          <w:szCs w:val="22"/>
        </w:rPr>
        <w:t xml:space="preserve"> </w:t>
      </w:r>
      <w:r w:rsidR="00FF047A">
        <w:rPr>
          <w:rFonts w:ascii="Times New Roman" w:eastAsia="Calibri" w:hAnsi="Times New Roman" w:cs="Times New Roman"/>
          <w:color w:val="000000" w:themeColor="text1"/>
          <w:szCs w:val="22"/>
        </w:rPr>
        <w:t>While</w:t>
      </w:r>
      <w:r>
        <w:rPr>
          <w:rFonts w:ascii="Times New Roman" w:eastAsia="Calibri" w:hAnsi="Times New Roman" w:cs="Times New Roman"/>
          <w:color w:val="000000" w:themeColor="text1"/>
          <w:szCs w:val="22"/>
        </w:rPr>
        <w:t xml:space="preserve"> terms differ among disciplines, uncertaint</w:t>
      </w:r>
      <w:r w:rsidR="003457CA">
        <w:rPr>
          <w:rFonts w:ascii="Times New Roman" w:eastAsia="Calibri" w:hAnsi="Times New Roman" w:cs="Times New Roman"/>
          <w:color w:val="000000" w:themeColor="text1"/>
          <w:szCs w:val="22"/>
        </w:rPr>
        <w:t>ies</w:t>
      </w:r>
      <w:r>
        <w:rPr>
          <w:rFonts w:ascii="Times New Roman" w:eastAsia="Calibri" w:hAnsi="Times New Roman" w:cs="Times New Roman"/>
          <w:color w:val="000000" w:themeColor="text1"/>
          <w:szCs w:val="22"/>
        </w:rPr>
        <w:t xml:space="preserve"> can be </w:t>
      </w:r>
      <w:r w:rsidR="00FF047A">
        <w:rPr>
          <w:rFonts w:ascii="Times New Roman" w:eastAsia="Calibri" w:hAnsi="Times New Roman" w:cs="Times New Roman"/>
          <w:color w:val="000000" w:themeColor="text1"/>
          <w:szCs w:val="22"/>
        </w:rPr>
        <w:t xml:space="preserve">broadly </w:t>
      </w:r>
      <w:r w:rsidR="003457CA">
        <w:rPr>
          <w:rFonts w:ascii="Times New Roman" w:eastAsia="Calibri" w:hAnsi="Times New Roman" w:cs="Times New Roman"/>
          <w:color w:val="000000" w:themeColor="text1"/>
          <w:szCs w:val="22"/>
        </w:rPr>
        <w:t xml:space="preserve">assigned </w:t>
      </w:r>
      <w:r>
        <w:rPr>
          <w:rFonts w:ascii="Times New Roman" w:eastAsia="Calibri" w:hAnsi="Times New Roman" w:cs="Times New Roman"/>
          <w:color w:val="000000" w:themeColor="text1"/>
          <w:szCs w:val="22"/>
        </w:rPr>
        <w:t>into three broad categories: (a) environmental variation, referring to the natural variability of ecosystems; (2) scientific uncertainty, which arises due to imperfect observations and modelling of ecosystem dynamics; and (3) implementation uncertainty, pertaining to imprecisions in the application of management actions (</w:t>
      </w:r>
      <w:r w:rsidR="00CD371C">
        <w:rPr>
          <w:rFonts w:ascii="Times New Roman" w:eastAsia="Calibri" w:hAnsi="Times New Roman" w:cs="Times New Roman"/>
          <w:color w:val="000000" w:themeColor="text1"/>
          <w:szCs w:val="22"/>
        </w:rPr>
        <w:t xml:space="preserve">Mehta </w:t>
      </w:r>
      <w:r w:rsidR="00CD371C">
        <w:rPr>
          <w:rFonts w:ascii="Times New Roman" w:eastAsia="Calibri" w:hAnsi="Times New Roman" w:cs="Times New Roman"/>
          <w:i/>
          <w:color w:val="000000" w:themeColor="text1"/>
          <w:szCs w:val="22"/>
        </w:rPr>
        <w:t xml:space="preserve">et </w:t>
      </w:r>
      <w:r w:rsidR="00CD371C" w:rsidRPr="00CD371C">
        <w:rPr>
          <w:rFonts w:ascii="Times New Roman" w:eastAsia="Calibri" w:hAnsi="Times New Roman" w:cs="Times New Roman"/>
          <w:i/>
          <w:color w:val="000000" w:themeColor="text1"/>
          <w:szCs w:val="22"/>
        </w:rPr>
        <w:t>al</w:t>
      </w:r>
      <w:r w:rsidR="00CD371C">
        <w:rPr>
          <w:rFonts w:ascii="Times New Roman" w:eastAsia="Calibri" w:hAnsi="Times New Roman" w:cs="Times New Roman"/>
          <w:color w:val="000000" w:themeColor="text1"/>
          <w:szCs w:val="22"/>
        </w:rPr>
        <w:t>., 1999</w:t>
      </w:r>
      <w:r>
        <w:rPr>
          <w:rFonts w:ascii="Times New Roman" w:eastAsia="Calibri" w:hAnsi="Times New Roman" w:cs="Times New Roman"/>
          <w:color w:val="000000" w:themeColor="text1"/>
          <w:szCs w:val="22"/>
        </w:rPr>
        <w:t xml:space="preserve">). In fisheries management, </w:t>
      </w:r>
      <w:r w:rsidR="005E7A67">
        <w:rPr>
          <w:rFonts w:ascii="Times New Roman" w:eastAsia="Calibri" w:hAnsi="Times New Roman" w:cs="Times New Roman"/>
          <w:color w:val="000000" w:themeColor="text1"/>
          <w:szCs w:val="22"/>
        </w:rPr>
        <w:t>each type</w:t>
      </w:r>
      <w:r w:rsidRPr="009E6635">
        <w:rPr>
          <w:rFonts w:ascii="Times New Roman" w:eastAsia="Calibri" w:hAnsi="Times New Roman" w:cs="Times New Roman"/>
          <w:color w:val="000000" w:themeColor="text1"/>
          <w:szCs w:val="22"/>
        </w:rPr>
        <w:t xml:space="preserve"> of uncertainty can act to undermine </w:t>
      </w:r>
      <w:r w:rsidR="000A213F">
        <w:rPr>
          <w:rFonts w:ascii="Times New Roman" w:eastAsia="Calibri" w:hAnsi="Times New Roman" w:cs="Times New Roman"/>
          <w:color w:val="000000" w:themeColor="text1"/>
          <w:szCs w:val="22"/>
        </w:rPr>
        <w:t xml:space="preserve">the effectiveness of </w:t>
      </w:r>
      <w:r w:rsidR="005E7A67">
        <w:rPr>
          <w:rFonts w:ascii="Times New Roman" w:eastAsia="Calibri" w:hAnsi="Times New Roman" w:cs="Times New Roman"/>
          <w:color w:val="000000" w:themeColor="text1"/>
          <w:szCs w:val="22"/>
        </w:rPr>
        <w:t>a management framework</w:t>
      </w:r>
      <w:r>
        <w:rPr>
          <w:rFonts w:ascii="Times New Roman" w:eastAsia="Calibri" w:hAnsi="Times New Roman" w:cs="Times New Roman"/>
          <w:color w:val="000000" w:themeColor="text1"/>
          <w:szCs w:val="22"/>
        </w:rPr>
        <w:t xml:space="preserve">, yet (3) has received far less attention than (1) and (2) (Fulton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2011b)</w:t>
      </w:r>
      <w:r w:rsidRPr="009E663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Reducing (3) relies on increasing our ability to predict fisher’s responses to management frameworks, which can be done by: (a) reviewing fisher behaviour under similar management frameworks and (b) using logic to infer what </w:t>
      </w:r>
      <w:r w:rsidR="003457CA">
        <w:rPr>
          <w:rFonts w:ascii="Times New Roman" w:eastAsia="Calibri" w:hAnsi="Times New Roman" w:cs="Times New Roman"/>
          <w:color w:val="000000" w:themeColor="text1"/>
          <w:szCs w:val="22"/>
        </w:rPr>
        <w:t xml:space="preserve">fishers </w:t>
      </w:r>
      <w:r>
        <w:rPr>
          <w:rFonts w:ascii="Times New Roman" w:eastAsia="Calibri" w:hAnsi="Times New Roman" w:cs="Times New Roman"/>
          <w:color w:val="000000" w:themeColor="text1"/>
          <w:szCs w:val="22"/>
        </w:rPr>
        <w:t xml:space="preserve">will do under untried management policies. Here, we focus on </w:t>
      </w:r>
      <w:r w:rsidR="00453F36">
        <w:rPr>
          <w:rFonts w:ascii="Times New Roman" w:eastAsia="Calibri" w:hAnsi="Times New Roman" w:cs="Times New Roman"/>
          <w:color w:val="000000" w:themeColor="text1"/>
          <w:szCs w:val="22"/>
        </w:rPr>
        <w:t xml:space="preserve">developing methods for </w:t>
      </w:r>
      <w:r>
        <w:rPr>
          <w:rFonts w:ascii="Times New Roman" w:eastAsia="Calibri" w:hAnsi="Times New Roman" w:cs="Times New Roman"/>
          <w:color w:val="000000" w:themeColor="text1"/>
          <w:szCs w:val="22"/>
        </w:rPr>
        <w:t xml:space="preserve">(a) </w:t>
      </w:r>
      <w:r w:rsidR="00453F36">
        <w:rPr>
          <w:rFonts w:ascii="Times New Roman" w:eastAsia="Calibri" w:hAnsi="Times New Roman" w:cs="Times New Roman"/>
          <w:color w:val="000000" w:themeColor="text1"/>
          <w:szCs w:val="22"/>
        </w:rPr>
        <w:t xml:space="preserve">to increase the quality of management advice and potentially reduce discrepancies between predicted and realized policy benefits. </w:t>
      </w:r>
    </w:p>
    <w:p w14:paraId="0E4B5B26" w14:textId="67898025" w:rsidR="00EA0AFC"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Fisher behaviour develops in response to both long- and short-term </w:t>
      </w:r>
      <w:r w:rsidR="003457CA">
        <w:rPr>
          <w:rFonts w:ascii="Times New Roman" w:eastAsia="Calibri" w:hAnsi="Times New Roman" w:cs="Times New Roman"/>
          <w:color w:val="000000" w:themeColor="text1"/>
          <w:szCs w:val="22"/>
        </w:rPr>
        <w:t>decisions</w:t>
      </w:r>
      <w:r>
        <w:rPr>
          <w:rFonts w:ascii="Times New Roman" w:eastAsia="Calibri" w:hAnsi="Times New Roman" w:cs="Times New Roman"/>
          <w:color w:val="000000" w:themeColor="text1"/>
          <w:szCs w:val="22"/>
        </w:rPr>
        <w:t>, which are highly contextual (Hart and Pitcher, 1998; Hunt, 2005). For example, long-term choices can include decisions about capital investments, such as purchasing a new vessel, whereas short-term choices can include decisions about a fishing trip, such as whether or not to go fishing. Choices are guided by information on environmental factors, risk tolerance, personal experience, economic expectations, management constraints, etc. (</w:t>
      </w:r>
      <w:r w:rsidR="00CD371C">
        <w:rPr>
          <w:rFonts w:ascii="Times New Roman" w:eastAsia="Calibri" w:hAnsi="Times New Roman" w:cs="Times New Roman"/>
          <w:color w:val="000000" w:themeColor="text1"/>
          <w:szCs w:val="22"/>
        </w:rPr>
        <w:t xml:space="preserve">Steelman and Wallace, </w:t>
      </w:r>
      <w:r w:rsidR="00793CFA">
        <w:rPr>
          <w:rFonts w:ascii="Times New Roman" w:eastAsia="Calibri" w:hAnsi="Times New Roman" w:cs="Times New Roman"/>
          <w:color w:val="000000" w:themeColor="text1"/>
          <w:szCs w:val="22"/>
        </w:rPr>
        <w:t>2001</w:t>
      </w:r>
      <w:r w:rsidR="0067564D">
        <w:rPr>
          <w:rFonts w:ascii="Times New Roman" w:eastAsia="Calibri" w:hAnsi="Times New Roman" w:cs="Times New Roman"/>
          <w:color w:val="000000" w:themeColor="text1"/>
          <w:szCs w:val="22"/>
        </w:rPr>
        <w:t xml:space="preserve">; van Putten </w:t>
      </w:r>
      <w:r w:rsidR="0067564D">
        <w:rPr>
          <w:rFonts w:ascii="Times New Roman" w:eastAsia="Calibri" w:hAnsi="Times New Roman" w:cs="Times New Roman"/>
          <w:i/>
          <w:color w:val="000000" w:themeColor="text1"/>
          <w:szCs w:val="22"/>
        </w:rPr>
        <w:t>et al</w:t>
      </w:r>
      <w:r w:rsidR="0067564D">
        <w:rPr>
          <w:rFonts w:ascii="Times New Roman" w:eastAsia="Calibri" w:hAnsi="Times New Roman" w:cs="Times New Roman"/>
          <w:color w:val="000000" w:themeColor="text1"/>
          <w:szCs w:val="22"/>
        </w:rPr>
        <w:t>., 2012</w:t>
      </w:r>
      <w:r w:rsidR="00793CF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Furthermore, choices are typically </w:t>
      </w:r>
      <w:r w:rsidR="003457CA">
        <w:rPr>
          <w:rFonts w:ascii="Times New Roman" w:eastAsia="Calibri" w:hAnsi="Times New Roman" w:cs="Times New Roman"/>
          <w:color w:val="000000" w:themeColor="text1"/>
          <w:szCs w:val="22"/>
        </w:rPr>
        <w:t>made in relation to</w:t>
      </w:r>
      <w:r>
        <w:rPr>
          <w:rFonts w:ascii="Times New Roman" w:eastAsia="Calibri" w:hAnsi="Times New Roman" w:cs="Times New Roman"/>
          <w:color w:val="000000" w:themeColor="text1"/>
          <w:szCs w:val="22"/>
        </w:rPr>
        <w:t xml:space="preserve"> multiple objectives, involve factors with varying levels of uncertainty, and may depend on the actions of other </w:t>
      </w:r>
      <w:r w:rsidR="003457CA">
        <w:rPr>
          <w:rFonts w:ascii="Times New Roman" w:eastAsia="Calibri" w:hAnsi="Times New Roman" w:cs="Times New Roman"/>
          <w:color w:val="000000" w:themeColor="text1"/>
          <w:szCs w:val="22"/>
        </w:rPr>
        <w:t xml:space="preserve">fishers </w:t>
      </w:r>
      <w:r>
        <w:rPr>
          <w:rFonts w:ascii="Times New Roman" w:eastAsia="Calibri" w:hAnsi="Times New Roman" w:cs="Times New Roman"/>
          <w:color w:val="000000" w:themeColor="text1"/>
          <w:szCs w:val="22"/>
        </w:rPr>
        <w:t>(Allen and McGlade, 1987). Therefore, fisher behaviour will be driven by much more than just economic objectives (e.g., profit maximization)</w:t>
      </w:r>
      <w:r w:rsidR="003457C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policies that fail to account for </w:t>
      </w:r>
      <w:r w:rsidR="00FF047A">
        <w:rPr>
          <w:rFonts w:ascii="Times New Roman" w:eastAsia="Calibri" w:hAnsi="Times New Roman" w:cs="Times New Roman"/>
          <w:color w:val="000000" w:themeColor="text1"/>
          <w:szCs w:val="22"/>
        </w:rPr>
        <w:t>complexities arising from socioeconomic and cultural contexts</w:t>
      </w:r>
      <w:r>
        <w:rPr>
          <w:rFonts w:ascii="Times New Roman" w:eastAsia="Calibri" w:hAnsi="Times New Roman" w:cs="Times New Roman"/>
          <w:color w:val="000000" w:themeColor="text1"/>
          <w:szCs w:val="22"/>
        </w:rPr>
        <w:t xml:space="preserve"> may fail to reach objectives (Mahon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2008).</w:t>
      </w:r>
    </w:p>
    <w:p w14:paraId="7BF47793" w14:textId="4C057EF7" w:rsidR="00EA0AFC" w:rsidRDefault="0051304E"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w:t>
      </w:r>
      <w:r w:rsidR="00EA0AFC">
        <w:rPr>
          <w:rFonts w:ascii="Times New Roman" w:eastAsia="Calibri" w:hAnsi="Times New Roman" w:cs="Times New Roman"/>
          <w:color w:val="000000" w:themeColor="text1"/>
          <w:szCs w:val="22"/>
        </w:rPr>
        <w:t xml:space="preserve">educing catch of non-target species and individuals (i.e., bycatch) is </w:t>
      </w:r>
      <w:r w:rsidR="0046081B">
        <w:rPr>
          <w:rFonts w:ascii="Times New Roman" w:eastAsia="Calibri" w:hAnsi="Times New Roman" w:cs="Times New Roman"/>
          <w:color w:val="000000" w:themeColor="text1"/>
          <w:szCs w:val="22"/>
        </w:rPr>
        <w:t xml:space="preserve">a </w:t>
      </w:r>
      <w:r>
        <w:rPr>
          <w:rFonts w:ascii="Times New Roman" w:eastAsia="Calibri" w:hAnsi="Times New Roman" w:cs="Times New Roman"/>
          <w:color w:val="000000" w:themeColor="text1"/>
          <w:szCs w:val="22"/>
        </w:rPr>
        <w:t xml:space="preserve">globally held </w:t>
      </w:r>
      <w:r w:rsidR="00EA0AFC">
        <w:rPr>
          <w:rFonts w:ascii="Times New Roman" w:eastAsia="Calibri" w:hAnsi="Times New Roman" w:cs="Times New Roman"/>
          <w:color w:val="000000" w:themeColor="text1"/>
          <w:szCs w:val="22"/>
        </w:rPr>
        <w:t>goal of fisheries management</w:t>
      </w:r>
      <w:r>
        <w:rPr>
          <w:rFonts w:ascii="Times New Roman" w:eastAsia="Calibri" w:hAnsi="Times New Roman" w:cs="Times New Roman"/>
          <w:color w:val="000000" w:themeColor="text1"/>
          <w:szCs w:val="22"/>
        </w:rPr>
        <w:t xml:space="preserve"> </w:t>
      </w:r>
      <w:r w:rsidR="00EA0AFC">
        <w:rPr>
          <w:rFonts w:ascii="Times New Roman" w:eastAsia="Calibri" w:hAnsi="Times New Roman" w:cs="Times New Roman"/>
          <w:color w:val="000000" w:themeColor="text1"/>
          <w:szCs w:val="22"/>
        </w:rPr>
        <w:t xml:space="preserve">(FAO, 1995; </w:t>
      </w:r>
      <w:r w:rsidR="00537D78">
        <w:rPr>
          <w:rFonts w:ascii="Times New Roman" w:eastAsia="Calibri" w:hAnsi="Times New Roman" w:cs="Times New Roman"/>
          <w:color w:val="000000" w:themeColor="text1"/>
          <w:szCs w:val="22"/>
        </w:rPr>
        <w:t>NMFS, 1998</w:t>
      </w:r>
      <w:r w:rsidR="00EA0AFC">
        <w:rPr>
          <w:rFonts w:ascii="Times New Roman" w:eastAsia="Calibri" w:hAnsi="Times New Roman" w:cs="Times New Roman"/>
          <w:color w:val="000000" w:themeColor="text1"/>
          <w:szCs w:val="22"/>
        </w:rPr>
        <w:t xml:space="preserve">). Literature suggests that regulatory mechanisms to reduce bycatch are potentially straightforward and achievable by means of gear modifications, avoidance incentives, spatial or temporal closures, or some combination thereof (Hall and Mainprize, 2005). Regrettably, strategies that offer potential decreases in bycatch may impair other aspects of sustainable fisheries or fisher livelihoods </w:t>
      </w:r>
      <w:r w:rsidR="00EA0AFC" w:rsidRPr="00B7513B">
        <w:rPr>
          <w:rFonts w:ascii="Times New Roman" w:eastAsia="Calibri" w:hAnsi="Times New Roman" w:cs="Times New Roman"/>
          <w:color w:val="000000" w:themeColor="text1"/>
          <w:szCs w:val="22"/>
        </w:rPr>
        <w:t>(Lewison et al., 2011; Senko et al., 2014, Teh et al., 2015).</w:t>
      </w:r>
      <w:r w:rsidR="00EA0AFC">
        <w:rPr>
          <w:rFonts w:ascii="Times New Roman" w:eastAsia="Calibri" w:hAnsi="Times New Roman" w:cs="Times New Roman"/>
          <w:color w:val="000000" w:themeColor="text1"/>
          <w:szCs w:val="22"/>
        </w:rPr>
        <w:t xml:space="preserve"> </w:t>
      </w:r>
      <w:r w:rsidR="00EA0AFC" w:rsidRPr="00EF5F8F">
        <w:rPr>
          <w:rFonts w:ascii="Times New Roman" w:eastAsia="Calibri" w:hAnsi="Times New Roman" w:cs="Times New Roman"/>
          <w:color w:val="000000" w:themeColor="text1"/>
          <w:szCs w:val="22"/>
        </w:rPr>
        <w:t xml:space="preserve">For instance, </w:t>
      </w:r>
      <w:r w:rsidR="00B25E0E">
        <w:rPr>
          <w:rFonts w:ascii="Times New Roman" w:eastAsia="Calibri" w:hAnsi="Times New Roman" w:cs="Times New Roman"/>
          <w:color w:val="000000" w:themeColor="text1"/>
          <w:szCs w:val="22"/>
        </w:rPr>
        <w:t xml:space="preserve">mandated </w:t>
      </w:r>
      <w:r w:rsidR="00EA0AFC">
        <w:rPr>
          <w:rFonts w:ascii="Times New Roman" w:eastAsia="Calibri" w:hAnsi="Times New Roman" w:cs="Times New Roman"/>
          <w:color w:val="000000" w:themeColor="text1"/>
          <w:szCs w:val="22"/>
        </w:rPr>
        <w:t xml:space="preserve">gear </w:t>
      </w:r>
      <w:r w:rsidR="00B25E0E">
        <w:rPr>
          <w:rFonts w:ascii="Times New Roman" w:eastAsia="Calibri" w:hAnsi="Times New Roman" w:cs="Times New Roman"/>
          <w:color w:val="000000" w:themeColor="text1"/>
          <w:szCs w:val="22"/>
        </w:rPr>
        <w:t>substitutions</w:t>
      </w:r>
      <w:r w:rsidR="00EA0AFC">
        <w:rPr>
          <w:rFonts w:ascii="Times New Roman" w:eastAsia="Calibri" w:hAnsi="Times New Roman" w:cs="Times New Roman"/>
          <w:color w:val="000000" w:themeColor="text1"/>
          <w:szCs w:val="22"/>
        </w:rPr>
        <w:t xml:space="preserve"> can be prohibitively costly and </w:t>
      </w:r>
      <w:r w:rsidR="00EA0AFC" w:rsidRPr="00EF5F8F">
        <w:rPr>
          <w:rFonts w:ascii="Times New Roman" w:eastAsia="Calibri" w:hAnsi="Times New Roman" w:cs="Times New Roman"/>
          <w:color w:val="000000" w:themeColor="text1"/>
          <w:szCs w:val="22"/>
        </w:rPr>
        <w:t xml:space="preserve">per-unit taxes on bycatch, payable by individual </w:t>
      </w:r>
      <w:r w:rsidR="003457CA" w:rsidRPr="00EF5F8F">
        <w:rPr>
          <w:rFonts w:ascii="Times New Roman" w:eastAsia="Calibri" w:hAnsi="Times New Roman" w:cs="Times New Roman"/>
          <w:color w:val="000000" w:themeColor="text1"/>
          <w:szCs w:val="22"/>
        </w:rPr>
        <w:t>fishe</w:t>
      </w:r>
      <w:r w:rsidR="0046081B">
        <w:rPr>
          <w:rFonts w:ascii="Times New Roman" w:eastAsia="Calibri" w:hAnsi="Times New Roman" w:cs="Times New Roman"/>
          <w:color w:val="000000" w:themeColor="text1"/>
          <w:szCs w:val="22"/>
        </w:rPr>
        <w:t>r</w:t>
      </w:r>
      <w:r w:rsidR="003457CA">
        <w:rPr>
          <w:rFonts w:ascii="Times New Roman" w:eastAsia="Calibri" w:hAnsi="Times New Roman" w:cs="Times New Roman"/>
          <w:color w:val="000000" w:themeColor="text1"/>
          <w:szCs w:val="22"/>
        </w:rPr>
        <w:t>s</w:t>
      </w:r>
      <w:r w:rsidR="00EA0AFC" w:rsidRPr="00EF5F8F">
        <w:rPr>
          <w:rFonts w:ascii="Times New Roman" w:eastAsia="Calibri" w:hAnsi="Times New Roman" w:cs="Times New Roman"/>
          <w:color w:val="000000" w:themeColor="text1"/>
          <w:szCs w:val="22"/>
        </w:rPr>
        <w:t>, promot</w:t>
      </w:r>
      <w:r w:rsidR="00EA0AFC">
        <w:rPr>
          <w:rFonts w:ascii="Times New Roman" w:eastAsia="Calibri" w:hAnsi="Times New Roman" w:cs="Times New Roman"/>
          <w:color w:val="000000" w:themeColor="text1"/>
          <w:szCs w:val="22"/>
        </w:rPr>
        <w:t>e</w:t>
      </w:r>
      <w:r w:rsidR="00EA0AFC" w:rsidRPr="00EF5F8F">
        <w:rPr>
          <w:rFonts w:ascii="Times New Roman" w:eastAsia="Calibri" w:hAnsi="Times New Roman" w:cs="Times New Roman"/>
          <w:color w:val="000000" w:themeColor="text1"/>
          <w:szCs w:val="22"/>
        </w:rPr>
        <w:t xml:space="preserve"> </w:t>
      </w:r>
      <w:r w:rsidR="003457CA">
        <w:rPr>
          <w:rFonts w:ascii="Times New Roman" w:eastAsia="Calibri" w:hAnsi="Times New Roman" w:cs="Times New Roman"/>
          <w:color w:val="000000" w:themeColor="text1"/>
          <w:szCs w:val="22"/>
        </w:rPr>
        <w:t>them</w:t>
      </w:r>
      <w:r w:rsidR="003457CA" w:rsidRPr="00EF5F8F">
        <w:rPr>
          <w:rFonts w:ascii="Times New Roman" w:eastAsia="Calibri" w:hAnsi="Times New Roman" w:cs="Times New Roman"/>
          <w:color w:val="000000" w:themeColor="text1"/>
          <w:szCs w:val="22"/>
        </w:rPr>
        <w:t xml:space="preserve"> </w:t>
      </w:r>
      <w:r w:rsidR="00EA0AFC" w:rsidRPr="00EF5F8F">
        <w:rPr>
          <w:rFonts w:ascii="Times New Roman" w:eastAsia="Calibri" w:hAnsi="Times New Roman" w:cs="Times New Roman"/>
          <w:color w:val="000000" w:themeColor="text1"/>
          <w:szCs w:val="22"/>
        </w:rPr>
        <w:t>to engage in enviro</w:t>
      </w:r>
      <w:r w:rsidR="00EA0AFC">
        <w:rPr>
          <w:rFonts w:ascii="Times New Roman" w:eastAsia="Calibri" w:hAnsi="Times New Roman" w:cs="Times New Roman"/>
          <w:color w:val="000000" w:themeColor="text1"/>
          <w:szCs w:val="22"/>
        </w:rPr>
        <w:t>nmentally sustainable behaviour</w:t>
      </w:r>
      <w:r w:rsidR="003457CA">
        <w:rPr>
          <w:rFonts w:ascii="Times New Roman" w:eastAsia="Calibri" w:hAnsi="Times New Roman" w:cs="Times New Roman"/>
          <w:color w:val="000000" w:themeColor="text1"/>
          <w:szCs w:val="22"/>
        </w:rPr>
        <w:t>,</w:t>
      </w:r>
      <w:r w:rsidR="00EA0AFC" w:rsidRPr="00EF5F8F">
        <w:rPr>
          <w:rFonts w:ascii="Times New Roman" w:eastAsia="Calibri" w:hAnsi="Times New Roman" w:cs="Times New Roman"/>
          <w:color w:val="000000" w:themeColor="text1"/>
          <w:szCs w:val="22"/>
        </w:rPr>
        <w:t xml:space="preserve"> </w:t>
      </w:r>
      <w:r w:rsidR="00EA0AFC">
        <w:rPr>
          <w:rFonts w:ascii="Times New Roman" w:eastAsia="Calibri" w:hAnsi="Times New Roman" w:cs="Times New Roman"/>
          <w:color w:val="000000" w:themeColor="text1"/>
          <w:szCs w:val="22"/>
        </w:rPr>
        <w:t xml:space="preserve">but </w:t>
      </w:r>
      <w:r w:rsidR="00EA0AFC" w:rsidRPr="00EF5F8F">
        <w:rPr>
          <w:rFonts w:ascii="Times New Roman" w:eastAsia="Calibri" w:hAnsi="Times New Roman" w:cs="Times New Roman"/>
          <w:color w:val="000000" w:themeColor="text1"/>
          <w:szCs w:val="22"/>
        </w:rPr>
        <w:t xml:space="preserve">fail to place a hard cap </w:t>
      </w:r>
      <w:r w:rsidR="001C5B88">
        <w:rPr>
          <w:rFonts w:ascii="Times New Roman" w:eastAsia="Calibri" w:hAnsi="Times New Roman" w:cs="Times New Roman"/>
          <w:color w:val="000000" w:themeColor="text1"/>
          <w:szCs w:val="22"/>
        </w:rPr>
        <w:t xml:space="preserve">on </w:t>
      </w:r>
      <w:r w:rsidR="00EA0AFC" w:rsidRPr="00EF5F8F">
        <w:rPr>
          <w:rFonts w:ascii="Times New Roman" w:eastAsia="Calibri" w:hAnsi="Times New Roman" w:cs="Times New Roman"/>
          <w:color w:val="000000" w:themeColor="text1"/>
          <w:szCs w:val="22"/>
        </w:rPr>
        <w:t>bycatch limits and may overly constrain the fishery when bycatch rates are highly variable (Herrera, 2005; Singh</w:t>
      </w:r>
      <w:r w:rsidR="00EA0AFC">
        <w:rPr>
          <w:rFonts w:ascii="Times New Roman" w:eastAsia="Calibri" w:hAnsi="Times New Roman" w:cs="Times New Roman"/>
          <w:color w:val="000000" w:themeColor="text1"/>
          <w:szCs w:val="22"/>
        </w:rPr>
        <w:t xml:space="preserve"> and Weninger, 2009). </w:t>
      </w:r>
      <w:r w:rsidR="00022581">
        <w:rPr>
          <w:rFonts w:ascii="Times New Roman" w:eastAsia="Calibri" w:hAnsi="Times New Roman" w:cs="Times New Roman"/>
          <w:color w:val="000000" w:themeColor="text1"/>
          <w:szCs w:val="22"/>
        </w:rPr>
        <w:t>Additionally, t</w:t>
      </w:r>
      <w:r w:rsidR="00EA0AFC" w:rsidRPr="00EF5F8F">
        <w:rPr>
          <w:rFonts w:ascii="Times New Roman" w:eastAsia="Calibri" w:hAnsi="Times New Roman" w:cs="Times New Roman"/>
          <w:color w:val="000000" w:themeColor="text1"/>
          <w:szCs w:val="22"/>
        </w:rPr>
        <w:t>otal allowable catch (TAC) policies</w:t>
      </w:r>
      <w:r w:rsidR="00B25E0E">
        <w:rPr>
          <w:rFonts w:ascii="Times New Roman" w:eastAsia="Calibri" w:hAnsi="Times New Roman" w:cs="Times New Roman"/>
          <w:color w:val="000000" w:themeColor="text1"/>
          <w:szCs w:val="22"/>
        </w:rPr>
        <w:t xml:space="preserve"> </w:t>
      </w:r>
      <w:r w:rsidR="00022581">
        <w:rPr>
          <w:rFonts w:ascii="Times New Roman" w:eastAsia="Calibri" w:hAnsi="Times New Roman" w:cs="Times New Roman"/>
          <w:color w:val="000000" w:themeColor="text1"/>
          <w:szCs w:val="22"/>
        </w:rPr>
        <w:t xml:space="preserve">that do </w:t>
      </w:r>
      <w:r w:rsidR="0046081B">
        <w:rPr>
          <w:rFonts w:ascii="Times New Roman" w:eastAsia="Calibri" w:hAnsi="Times New Roman" w:cs="Times New Roman"/>
          <w:color w:val="000000" w:themeColor="text1"/>
          <w:szCs w:val="22"/>
        </w:rPr>
        <w:t xml:space="preserve">place a hard cap </w:t>
      </w:r>
      <w:r w:rsidR="00B25E0E">
        <w:rPr>
          <w:rFonts w:ascii="Times New Roman" w:eastAsia="Calibri" w:hAnsi="Times New Roman" w:cs="Times New Roman"/>
          <w:color w:val="000000" w:themeColor="text1"/>
          <w:szCs w:val="22"/>
        </w:rPr>
        <w:t xml:space="preserve">on </w:t>
      </w:r>
      <w:r w:rsidR="0046081B">
        <w:rPr>
          <w:rFonts w:ascii="Times New Roman" w:eastAsia="Calibri" w:hAnsi="Times New Roman" w:cs="Times New Roman"/>
          <w:color w:val="000000" w:themeColor="text1"/>
          <w:szCs w:val="22"/>
        </w:rPr>
        <w:t xml:space="preserve">the amount of bycatch </w:t>
      </w:r>
      <w:r w:rsidR="00B25E0E">
        <w:rPr>
          <w:rFonts w:ascii="Times New Roman" w:eastAsia="Calibri" w:hAnsi="Times New Roman" w:cs="Times New Roman"/>
          <w:color w:val="000000" w:themeColor="text1"/>
          <w:szCs w:val="22"/>
        </w:rPr>
        <w:t xml:space="preserve">caught also </w:t>
      </w:r>
      <w:r w:rsidR="00EA0AFC" w:rsidRPr="00EF5F8F">
        <w:rPr>
          <w:rFonts w:ascii="Times New Roman" w:eastAsia="Calibri" w:hAnsi="Times New Roman" w:cs="Times New Roman"/>
          <w:color w:val="000000" w:themeColor="text1"/>
          <w:szCs w:val="22"/>
        </w:rPr>
        <w:t xml:space="preserve">promote inefficiency when </w:t>
      </w:r>
      <w:r w:rsidR="00B25E0E">
        <w:rPr>
          <w:rFonts w:ascii="Times New Roman" w:eastAsia="Calibri" w:hAnsi="Times New Roman" w:cs="Times New Roman"/>
          <w:color w:val="000000" w:themeColor="text1"/>
          <w:szCs w:val="22"/>
        </w:rPr>
        <w:t xml:space="preserve">profitable </w:t>
      </w:r>
      <w:r w:rsidR="00EA0AFC" w:rsidRPr="00EF5F8F">
        <w:rPr>
          <w:rFonts w:ascii="Times New Roman" w:eastAsia="Calibri" w:hAnsi="Times New Roman" w:cs="Times New Roman"/>
          <w:color w:val="000000" w:themeColor="text1"/>
          <w:szCs w:val="22"/>
        </w:rPr>
        <w:t xml:space="preserve">quota </w:t>
      </w:r>
      <w:r w:rsidR="00B25E0E">
        <w:rPr>
          <w:rFonts w:ascii="Times New Roman" w:eastAsia="Calibri" w:hAnsi="Times New Roman" w:cs="Times New Roman"/>
          <w:color w:val="000000" w:themeColor="text1"/>
          <w:szCs w:val="22"/>
        </w:rPr>
        <w:t xml:space="preserve">remains </w:t>
      </w:r>
      <w:r w:rsidR="00EA0AFC" w:rsidRPr="00EF5F8F">
        <w:rPr>
          <w:rFonts w:ascii="Times New Roman" w:eastAsia="Calibri" w:hAnsi="Times New Roman" w:cs="Times New Roman"/>
          <w:color w:val="000000" w:themeColor="text1"/>
          <w:szCs w:val="22"/>
        </w:rPr>
        <w:t xml:space="preserve">unfilled (Androkovich and Stollery, 1994; Holland, 2010; Patrick and Benaka, 2013). </w:t>
      </w:r>
    </w:p>
    <w:p w14:paraId="6C9C3A23" w14:textId="4F1FB795" w:rsidR="00EA0AFC"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Fisher</w:t>
      </w:r>
      <w:r w:rsidR="001A51D8">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typically favour incentive</w:t>
      </w:r>
      <w:r w:rsidR="003457C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based methods to reduce bycatch (e.g., economic incentives to increase catch utilization) over input </w:t>
      </w:r>
      <w:r w:rsidR="00442231">
        <w:rPr>
          <w:rFonts w:ascii="Times New Roman" w:eastAsia="Calibri" w:hAnsi="Times New Roman" w:cs="Times New Roman"/>
          <w:color w:val="000000" w:themeColor="text1"/>
          <w:szCs w:val="22"/>
        </w:rPr>
        <w:t xml:space="preserve">(e.g., gear restrictions) or output (e.g., daily trip limits) </w:t>
      </w:r>
      <w:r>
        <w:rPr>
          <w:rFonts w:ascii="Times New Roman" w:eastAsia="Calibri" w:hAnsi="Times New Roman" w:cs="Times New Roman"/>
          <w:color w:val="000000" w:themeColor="text1"/>
          <w:szCs w:val="22"/>
        </w:rPr>
        <w:t>controls. For example, changing social norms motivated small-scale fisher</w:t>
      </w:r>
      <w:r w:rsidR="003457CA">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of Baja California Sur, Mexico to spatially shift their effort to reduce bycatch of loggerhead sea turtles (Peckham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2007)</w:t>
      </w:r>
      <w:r w:rsidR="003457C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a desire to fish in parts of the Barents Sea closed </w:t>
      </w:r>
      <w:r w:rsidR="00960834">
        <w:rPr>
          <w:rFonts w:ascii="Times New Roman" w:eastAsia="Calibri" w:hAnsi="Times New Roman" w:cs="Times New Roman"/>
          <w:color w:val="000000" w:themeColor="text1"/>
          <w:szCs w:val="22"/>
        </w:rPr>
        <w:t>because of</w:t>
      </w:r>
      <w:r>
        <w:rPr>
          <w:rFonts w:ascii="Times New Roman" w:eastAsia="Calibri" w:hAnsi="Times New Roman" w:cs="Times New Roman"/>
          <w:color w:val="000000" w:themeColor="text1"/>
          <w:szCs w:val="22"/>
        </w:rPr>
        <w:t xml:space="preserve"> high bycatch rates prompted trawl </w:t>
      </w:r>
      <w:r w:rsidR="003457CA">
        <w:rPr>
          <w:rFonts w:ascii="Times New Roman" w:eastAsia="Calibri" w:hAnsi="Times New Roman" w:cs="Times New Roman"/>
          <w:color w:val="000000" w:themeColor="text1"/>
          <w:szCs w:val="22"/>
        </w:rPr>
        <w:t xml:space="preserve">fishers </w:t>
      </w:r>
      <w:r>
        <w:rPr>
          <w:rFonts w:ascii="Times New Roman" w:eastAsia="Calibri" w:hAnsi="Times New Roman" w:cs="Times New Roman"/>
          <w:color w:val="000000" w:themeColor="text1"/>
          <w:szCs w:val="22"/>
        </w:rPr>
        <w:t xml:space="preserve">to voluntarily adopt gear modifications (Isaksen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1992). </w:t>
      </w:r>
      <w:r w:rsidRPr="00AE34F8">
        <w:rPr>
          <w:rFonts w:ascii="Times New Roman" w:eastAsia="Calibri" w:hAnsi="Times New Roman" w:cs="Times New Roman"/>
          <w:color w:val="000000" w:themeColor="text1"/>
          <w:szCs w:val="22"/>
        </w:rPr>
        <w:t>Unfortunately, most management systems fa</w:t>
      </w:r>
      <w:r w:rsidR="00960834">
        <w:rPr>
          <w:rFonts w:ascii="Times New Roman" w:eastAsia="Calibri" w:hAnsi="Times New Roman" w:cs="Times New Roman"/>
          <w:color w:val="000000" w:themeColor="text1"/>
          <w:szCs w:val="22"/>
        </w:rPr>
        <w:t xml:space="preserve">il to provide incentives or the necessary </w:t>
      </w:r>
      <w:r w:rsidRPr="00AE34F8">
        <w:rPr>
          <w:rFonts w:ascii="Times New Roman" w:eastAsia="Calibri" w:hAnsi="Times New Roman" w:cs="Times New Roman"/>
          <w:color w:val="000000" w:themeColor="text1"/>
          <w:szCs w:val="22"/>
        </w:rPr>
        <w:t>flexibility</w:t>
      </w:r>
      <w:r w:rsidR="00960834">
        <w:rPr>
          <w:rFonts w:ascii="Times New Roman" w:eastAsia="Calibri" w:hAnsi="Times New Roman" w:cs="Times New Roman"/>
          <w:color w:val="000000" w:themeColor="text1"/>
          <w:szCs w:val="22"/>
        </w:rPr>
        <w:t xml:space="preserve"> for</w:t>
      </w:r>
      <w:r w:rsidRPr="00AE34F8">
        <w:rPr>
          <w:rFonts w:ascii="Times New Roman" w:eastAsia="Calibri" w:hAnsi="Times New Roman" w:cs="Times New Roman"/>
          <w:color w:val="000000" w:themeColor="text1"/>
          <w:szCs w:val="22"/>
        </w:rPr>
        <w:t xml:space="preserve"> </w:t>
      </w:r>
      <w:r w:rsidR="003457CA" w:rsidRPr="00AE34F8">
        <w:rPr>
          <w:rFonts w:ascii="Times New Roman" w:eastAsia="Calibri" w:hAnsi="Times New Roman" w:cs="Times New Roman"/>
          <w:color w:val="000000" w:themeColor="text1"/>
          <w:szCs w:val="22"/>
        </w:rPr>
        <w:t>fisher</w:t>
      </w:r>
      <w:r w:rsidR="003457CA">
        <w:rPr>
          <w:rFonts w:ascii="Times New Roman" w:eastAsia="Calibri" w:hAnsi="Times New Roman" w:cs="Times New Roman"/>
          <w:color w:val="000000" w:themeColor="text1"/>
          <w:szCs w:val="22"/>
        </w:rPr>
        <w:t>s</w:t>
      </w:r>
      <w:r w:rsidR="003457CA" w:rsidRPr="00AE34F8">
        <w:rPr>
          <w:rFonts w:ascii="Times New Roman" w:eastAsia="Calibri" w:hAnsi="Times New Roman" w:cs="Times New Roman"/>
          <w:color w:val="000000" w:themeColor="text1"/>
          <w:szCs w:val="22"/>
        </w:rPr>
        <w:t xml:space="preserve"> </w:t>
      </w:r>
      <w:r w:rsidRPr="00AE34F8">
        <w:rPr>
          <w:rFonts w:ascii="Times New Roman" w:eastAsia="Calibri" w:hAnsi="Times New Roman" w:cs="Times New Roman"/>
          <w:color w:val="000000" w:themeColor="text1"/>
          <w:szCs w:val="22"/>
        </w:rPr>
        <w:t xml:space="preserve">to alter their behaviour (Branch et al., 2006; Abbott and Wilen, 2009). </w:t>
      </w:r>
      <w:r w:rsidRPr="00EF5F8F">
        <w:rPr>
          <w:rFonts w:ascii="Times New Roman" w:eastAsia="Calibri" w:hAnsi="Times New Roman" w:cs="Times New Roman"/>
          <w:color w:val="000000" w:themeColor="text1"/>
          <w:szCs w:val="22"/>
        </w:rPr>
        <w:t xml:space="preserve">Individual transferable quotas (ITQs), where </w:t>
      </w:r>
      <w:r w:rsidR="003457CA" w:rsidRPr="00EF5F8F">
        <w:rPr>
          <w:rFonts w:ascii="Times New Roman" w:eastAsia="Calibri" w:hAnsi="Times New Roman" w:cs="Times New Roman"/>
          <w:color w:val="000000" w:themeColor="text1"/>
          <w:szCs w:val="22"/>
        </w:rPr>
        <w:t>fisher</w:t>
      </w:r>
      <w:r w:rsidR="003457CA">
        <w:rPr>
          <w:rFonts w:ascii="Times New Roman" w:eastAsia="Calibri" w:hAnsi="Times New Roman" w:cs="Times New Roman"/>
          <w:color w:val="000000" w:themeColor="text1"/>
          <w:szCs w:val="22"/>
        </w:rPr>
        <w:t>s</w:t>
      </w:r>
      <w:r w:rsidR="003457CA" w:rsidRPr="00EF5F8F">
        <w:rPr>
          <w:rFonts w:ascii="Times New Roman" w:eastAsia="Calibri" w:hAnsi="Times New Roman" w:cs="Times New Roman"/>
          <w:color w:val="000000" w:themeColor="text1"/>
          <w:szCs w:val="22"/>
        </w:rPr>
        <w:t xml:space="preserve"> </w:t>
      </w:r>
      <w:r w:rsidRPr="00EF5F8F">
        <w:rPr>
          <w:rFonts w:ascii="Times New Roman" w:eastAsia="Calibri" w:hAnsi="Times New Roman" w:cs="Times New Roman"/>
          <w:color w:val="000000" w:themeColor="text1"/>
          <w:szCs w:val="22"/>
        </w:rPr>
        <w:t xml:space="preserve">are allocated shares of the TAC, are theorized to reduce </w:t>
      </w:r>
      <w:r>
        <w:rPr>
          <w:rFonts w:ascii="Times New Roman" w:eastAsia="Calibri" w:hAnsi="Times New Roman" w:cs="Times New Roman"/>
          <w:color w:val="000000" w:themeColor="text1"/>
          <w:szCs w:val="22"/>
        </w:rPr>
        <w:t xml:space="preserve">the need for input control measures </w:t>
      </w:r>
      <w:r w:rsidRPr="00EF5F8F">
        <w:rPr>
          <w:rFonts w:ascii="Times New Roman" w:eastAsia="Calibri" w:hAnsi="Times New Roman" w:cs="Times New Roman"/>
          <w:color w:val="000000" w:themeColor="text1"/>
          <w:szCs w:val="22"/>
        </w:rPr>
        <w:t xml:space="preserve">by encouraging </w:t>
      </w:r>
      <w:r w:rsidR="003457CA" w:rsidRPr="00EF5F8F">
        <w:rPr>
          <w:rFonts w:ascii="Times New Roman" w:eastAsia="Calibri" w:hAnsi="Times New Roman" w:cs="Times New Roman"/>
          <w:color w:val="000000" w:themeColor="text1"/>
          <w:szCs w:val="22"/>
        </w:rPr>
        <w:t>fisher</w:t>
      </w:r>
      <w:r w:rsidR="003457CA">
        <w:rPr>
          <w:rFonts w:ascii="Times New Roman" w:eastAsia="Calibri" w:hAnsi="Times New Roman" w:cs="Times New Roman"/>
          <w:color w:val="000000" w:themeColor="text1"/>
          <w:szCs w:val="22"/>
        </w:rPr>
        <w:t>s</w:t>
      </w:r>
      <w:r w:rsidR="003457CA" w:rsidRPr="00EF5F8F">
        <w:rPr>
          <w:rFonts w:ascii="Times New Roman" w:eastAsia="Calibri" w:hAnsi="Times New Roman" w:cs="Times New Roman"/>
          <w:color w:val="000000" w:themeColor="text1"/>
          <w:szCs w:val="22"/>
        </w:rPr>
        <w:t xml:space="preserve"> </w:t>
      </w:r>
      <w:r w:rsidRPr="00EF5F8F">
        <w:rPr>
          <w:rFonts w:ascii="Times New Roman" w:eastAsia="Calibri" w:hAnsi="Times New Roman" w:cs="Times New Roman"/>
          <w:color w:val="000000" w:themeColor="text1"/>
          <w:szCs w:val="22"/>
        </w:rPr>
        <w:t xml:space="preserve">to change their behaviour in a way that reduces </w:t>
      </w:r>
      <w:r>
        <w:rPr>
          <w:rFonts w:ascii="Times New Roman" w:eastAsia="Calibri" w:hAnsi="Times New Roman" w:cs="Times New Roman"/>
          <w:color w:val="000000" w:themeColor="text1"/>
          <w:szCs w:val="22"/>
        </w:rPr>
        <w:t>catch</w:t>
      </w:r>
      <w:r w:rsidRPr="00EF5F8F">
        <w:rPr>
          <w:rFonts w:ascii="Times New Roman" w:eastAsia="Calibri" w:hAnsi="Times New Roman" w:cs="Times New Roman"/>
          <w:color w:val="000000" w:themeColor="text1"/>
          <w:szCs w:val="22"/>
        </w:rPr>
        <w:t xml:space="preserve"> of species for which quota is scarce (Casey, 1995; Hall et al., 2000; Holland and Jannot, 2012).</w:t>
      </w:r>
      <w:r>
        <w:rPr>
          <w:rFonts w:ascii="Times New Roman" w:eastAsia="Calibri" w:hAnsi="Times New Roman" w:cs="Times New Roman"/>
          <w:color w:val="000000" w:themeColor="text1"/>
          <w:szCs w:val="22"/>
        </w:rPr>
        <w:t xml:space="preserve"> Regrettably</w:t>
      </w:r>
      <w:r w:rsidRPr="00AE34F8">
        <w:rPr>
          <w:rFonts w:ascii="Times New Roman" w:eastAsia="Calibri" w:hAnsi="Times New Roman" w:cs="Times New Roman"/>
          <w:color w:val="000000" w:themeColor="text1"/>
          <w:szCs w:val="22"/>
        </w:rPr>
        <w:t xml:space="preserve">, it is difficult for managers to determine </w:t>
      </w:r>
      <w:r w:rsidRPr="00022581">
        <w:rPr>
          <w:rFonts w:ascii="Times New Roman" w:eastAsia="Calibri" w:hAnsi="Times New Roman" w:cs="Times New Roman"/>
          <w:i/>
          <w:color w:val="000000" w:themeColor="text1"/>
          <w:szCs w:val="22"/>
        </w:rPr>
        <w:t>a priori</w:t>
      </w:r>
      <w:r w:rsidRPr="00AE34F8">
        <w:rPr>
          <w:rFonts w:ascii="Times New Roman" w:eastAsia="Calibri" w:hAnsi="Times New Roman" w:cs="Times New Roman"/>
          <w:color w:val="000000" w:themeColor="text1"/>
          <w:szCs w:val="22"/>
        </w:rPr>
        <w:t xml:space="preserve"> how </w:t>
      </w:r>
      <w:r w:rsidR="003457CA" w:rsidRPr="00AE34F8">
        <w:rPr>
          <w:rFonts w:ascii="Times New Roman" w:eastAsia="Calibri" w:hAnsi="Times New Roman" w:cs="Times New Roman"/>
          <w:color w:val="000000" w:themeColor="text1"/>
          <w:szCs w:val="22"/>
        </w:rPr>
        <w:t>fisher</w:t>
      </w:r>
      <w:r w:rsidR="003457CA">
        <w:rPr>
          <w:rFonts w:ascii="Times New Roman" w:eastAsia="Calibri" w:hAnsi="Times New Roman" w:cs="Times New Roman"/>
          <w:color w:val="000000" w:themeColor="text1"/>
          <w:szCs w:val="22"/>
        </w:rPr>
        <w:t>s</w:t>
      </w:r>
      <w:r w:rsidR="003457CA" w:rsidRPr="00AE34F8">
        <w:rPr>
          <w:rFonts w:ascii="Times New Roman" w:eastAsia="Calibri" w:hAnsi="Times New Roman" w:cs="Times New Roman"/>
          <w:color w:val="000000" w:themeColor="text1"/>
          <w:szCs w:val="22"/>
        </w:rPr>
        <w:t xml:space="preserve"> </w:t>
      </w:r>
      <w:r w:rsidRPr="00AE34F8">
        <w:rPr>
          <w:rFonts w:ascii="Times New Roman" w:eastAsia="Calibri" w:hAnsi="Times New Roman" w:cs="Times New Roman"/>
          <w:color w:val="000000" w:themeColor="text1"/>
          <w:szCs w:val="22"/>
        </w:rPr>
        <w:t xml:space="preserve">will behave if given the opportunity to alter their behaviour. </w:t>
      </w:r>
    </w:p>
    <w:p w14:paraId="19BE85CD" w14:textId="2183FC54" w:rsidR="00442231" w:rsidRDefault="004F611A" w:rsidP="00145B28">
      <w:pPr>
        <w:spacing w:line="240" w:lineRule="auto"/>
        <w:ind w:firstLine="720"/>
        <w:jc w:val="both"/>
        <w:rPr>
          <w:rFonts w:ascii="Times New Roman" w:eastAsia="Calibri" w:hAnsi="Times New Roman" w:cs="Times New Roman"/>
          <w:color w:val="000000" w:themeColor="text1"/>
          <w:szCs w:val="22"/>
        </w:rPr>
      </w:pPr>
      <w:r w:rsidRPr="007C2CCF">
        <w:rPr>
          <w:rFonts w:ascii="Times New Roman" w:eastAsia="Calibri" w:hAnsi="Times New Roman" w:cs="Times New Roman"/>
          <w:color w:val="000000" w:themeColor="text1"/>
          <w:szCs w:val="22"/>
        </w:rPr>
        <w:t>Incentive led c</w:t>
      </w:r>
      <w:r w:rsidR="006B7F30" w:rsidRPr="007C2CCF">
        <w:rPr>
          <w:rFonts w:ascii="Times New Roman" w:eastAsia="Calibri" w:hAnsi="Times New Roman" w:cs="Times New Roman"/>
          <w:color w:val="000000" w:themeColor="text1"/>
          <w:szCs w:val="22"/>
        </w:rPr>
        <w:t>hanges in fisher behaviour can often be predicted when thought about in isolation</w:t>
      </w:r>
      <w:r w:rsidRPr="007C2CCF">
        <w:rPr>
          <w:rFonts w:ascii="Times New Roman" w:eastAsia="Calibri" w:hAnsi="Times New Roman" w:cs="Times New Roman"/>
          <w:color w:val="000000" w:themeColor="text1"/>
          <w:szCs w:val="22"/>
        </w:rPr>
        <w:t>, particularly with respect to economic incentives,</w:t>
      </w:r>
      <w:r w:rsidR="006B7F30" w:rsidRPr="007C2CCF">
        <w:rPr>
          <w:rFonts w:ascii="Times New Roman" w:eastAsia="Calibri" w:hAnsi="Times New Roman" w:cs="Times New Roman"/>
          <w:color w:val="000000" w:themeColor="text1"/>
          <w:szCs w:val="22"/>
        </w:rPr>
        <w:t xml:space="preserve"> but in reality </w:t>
      </w:r>
      <w:r w:rsidR="004F1C07" w:rsidRPr="007C2CCF">
        <w:rPr>
          <w:rFonts w:ascii="Times New Roman" w:eastAsia="Calibri" w:hAnsi="Times New Roman" w:cs="Times New Roman"/>
          <w:color w:val="000000" w:themeColor="text1"/>
          <w:szCs w:val="22"/>
        </w:rPr>
        <w:t>multiple factors work in concert to</w:t>
      </w:r>
      <w:r w:rsidR="006B7F30" w:rsidRPr="007C2CCF">
        <w:rPr>
          <w:rFonts w:ascii="Times New Roman" w:eastAsia="Calibri" w:hAnsi="Times New Roman" w:cs="Times New Roman"/>
          <w:color w:val="000000" w:themeColor="text1"/>
          <w:szCs w:val="22"/>
        </w:rPr>
        <w:t xml:space="preserve"> strengthen </w:t>
      </w:r>
      <w:r w:rsidR="006B7F30" w:rsidRPr="007C2CCF">
        <w:rPr>
          <w:rFonts w:ascii="Times New Roman" w:eastAsia="Calibri" w:hAnsi="Times New Roman" w:cs="Times New Roman"/>
          <w:color w:val="000000" w:themeColor="text1"/>
          <w:szCs w:val="22"/>
        </w:rPr>
        <w:lastRenderedPageBreak/>
        <w:t>or counteract incentive</w:t>
      </w:r>
      <w:r w:rsidR="0016301A" w:rsidRPr="007C2CCF">
        <w:rPr>
          <w:rFonts w:ascii="Times New Roman" w:eastAsia="Calibri" w:hAnsi="Times New Roman" w:cs="Times New Roman"/>
          <w:color w:val="000000" w:themeColor="text1"/>
          <w:szCs w:val="22"/>
        </w:rPr>
        <w:t>s</w:t>
      </w:r>
      <w:r w:rsidR="006B7F30" w:rsidRPr="007C2CCF">
        <w:rPr>
          <w:rFonts w:ascii="Times New Roman" w:eastAsia="Calibri" w:hAnsi="Times New Roman" w:cs="Times New Roman"/>
          <w:color w:val="000000" w:themeColor="text1"/>
          <w:szCs w:val="22"/>
        </w:rPr>
        <w:t xml:space="preserve"> (Eliasen </w:t>
      </w:r>
      <w:r w:rsidR="006B7F30" w:rsidRPr="007C2CCF">
        <w:rPr>
          <w:rFonts w:ascii="Times New Roman" w:eastAsia="Calibri" w:hAnsi="Times New Roman" w:cs="Times New Roman"/>
          <w:i/>
          <w:color w:val="000000" w:themeColor="text1"/>
          <w:szCs w:val="22"/>
        </w:rPr>
        <w:t>et al</w:t>
      </w:r>
      <w:r w:rsidR="006B7F30" w:rsidRPr="007C2CCF">
        <w:rPr>
          <w:rFonts w:ascii="Times New Roman" w:eastAsia="Calibri" w:hAnsi="Times New Roman" w:cs="Times New Roman"/>
          <w:color w:val="000000" w:themeColor="text1"/>
          <w:szCs w:val="22"/>
        </w:rPr>
        <w:t>., 2013).</w:t>
      </w:r>
      <w:r w:rsidR="00616D8A" w:rsidRPr="007C2CCF">
        <w:rPr>
          <w:rFonts w:ascii="Times New Roman" w:eastAsia="Calibri" w:hAnsi="Times New Roman" w:cs="Times New Roman"/>
          <w:color w:val="000000" w:themeColor="text1"/>
          <w:szCs w:val="22"/>
        </w:rPr>
        <w:t xml:space="preserve"> </w:t>
      </w:r>
      <w:r w:rsidR="00894BFE" w:rsidRPr="007C2CCF">
        <w:rPr>
          <w:rFonts w:ascii="Times New Roman" w:eastAsia="Calibri" w:hAnsi="Times New Roman" w:cs="Times New Roman"/>
          <w:color w:val="000000" w:themeColor="text1"/>
          <w:szCs w:val="22"/>
        </w:rPr>
        <w:t>For instance, Jenkins and Garrison (2013) predicted that</w:t>
      </w:r>
      <w:r w:rsidRPr="007C2CCF">
        <w:rPr>
          <w:rFonts w:ascii="Times New Roman" w:eastAsia="Calibri" w:hAnsi="Times New Roman" w:cs="Times New Roman"/>
          <w:color w:val="000000" w:themeColor="text1"/>
          <w:szCs w:val="22"/>
        </w:rPr>
        <w:t>, if allowed,</w:t>
      </w:r>
      <w:r w:rsidR="00894BFE" w:rsidRPr="007C2CCF">
        <w:rPr>
          <w:rFonts w:ascii="Times New Roman" w:eastAsia="Calibri" w:hAnsi="Times New Roman" w:cs="Times New Roman"/>
          <w:color w:val="000000" w:themeColor="text1"/>
          <w:szCs w:val="22"/>
        </w:rPr>
        <w:t xml:space="preserve"> fishers in the U</w:t>
      </w:r>
      <w:r w:rsidR="00446CEE">
        <w:rPr>
          <w:rFonts w:ascii="Times New Roman" w:eastAsia="Calibri" w:hAnsi="Times New Roman" w:cs="Times New Roman"/>
          <w:color w:val="000000" w:themeColor="text1"/>
          <w:szCs w:val="22"/>
        </w:rPr>
        <w:t xml:space="preserve">nited </w:t>
      </w:r>
      <w:r w:rsidR="00894BFE" w:rsidRPr="007C2CCF">
        <w:rPr>
          <w:rFonts w:ascii="Times New Roman" w:eastAsia="Calibri" w:hAnsi="Times New Roman" w:cs="Times New Roman"/>
          <w:color w:val="000000" w:themeColor="text1"/>
          <w:szCs w:val="22"/>
        </w:rPr>
        <w:t>S</w:t>
      </w:r>
      <w:r w:rsidR="00446CEE">
        <w:rPr>
          <w:rFonts w:ascii="Times New Roman" w:eastAsia="Calibri" w:hAnsi="Times New Roman" w:cs="Times New Roman"/>
          <w:color w:val="000000" w:themeColor="text1"/>
          <w:szCs w:val="22"/>
        </w:rPr>
        <w:t>tates (US)</w:t>
      </w:r>
      <w:r w:rsidR="00894BFE" w:rsidRPr="007C2CCF">
        <w:rPr>
          <w:rFonts w:ascii="Times New Roman" w:eastAsia="Calibri" w:hAnsi="Times New Roman" w:cs="Times New Roman"/>
          <w:color w:val="000000" w:themeColor="text1"/>
          <w:szCs w:val="22"/>
        </w:rPr>
        <w:t xml:space="preserve"> West Coast </w:t>
      </w:r>
      <w:r w:rsidR="000B72A7">
        <w:rPr>
          <w:rFonts w:ascii="Times New Roman" w:eastAsia="Calibri" w:hAnsi="Times New Roman" w:cs="Times New Roman"/>
          <w:color w:val="000000" w:themeColor="text1"/>
          <w:szCs w:val="22"/>
        </w:rPr>
        <w:t xml:space="preserve">Limited Entry (LE) </w:t>
      </w:r>
      <w:r w:rsidR="00894BFE" w:rsidRPr="007C2CCF">
        <w:rPr>
          <w:rFonts w:ascii="Times New Roman" w:eastAsia="Calibri" w:hAnsi="Times New Roman" w:cs="Times New Roman"/>
          <w:color w:val="000000" w:themeColor="text1"/>
          <w:szCs w:val="22"/>
        </w:rPr>
        <w:t xml:space="preserve">groundfish fishery targeting sablefish </w:t>
      </w:r>
      <w:r w:rsidR="00446CEE" w:rsidRPr="00AE34F8">
        <w:rPr>
          <w:rFonts w:ascii="Times New Roman" w:eastAsia="Calibri" w:hAnsi="Times New Roman" w:cs="Times New Roman"/>
          <w:color w:val="000000" w:themeColor="text1"/>
          <w:szCs w:val="22"/>
        </w:rPr>
        <w:t>(</w:t>
      </w:r>
      <w:r w:rsidR="00446CEE" w:rsidRPr="000D5531">
        <w:rPr>
          <w:rFonts w:ascii="Times New Roman" w:eastAsia="Calibri" w:hAnsi="Times New Roman" w:cs="Times New Roman"/>
          <w:i/>
          <w:color w:val="000000" w:themeColor="text1"/>
          <w:szCs w:val="22"/>
        </w:rPr>
        <w:t>Anoplopoma fimbria</w:t>
      </w:r>
      <w:r w:rsidR="00446CEE" w:rsidRPr="00AE34F8">
        <w:rPr>
          <w:rFonts w:ascii="Times New Roman" w:eastAsia="Calibri" w:hAnsi="Times New Roman" w:cs="Times New Roman"/>
          <w:color w:val="000000" w:themeColor="text1"/>
          <w:szCs w:val="22"/>
        </w:rPr>
        <w:t>)</w:t>
      </w:r>
      <w:r w:rsidR="00446CEE">
        <w:rPr>
          <w:rFonts w:ascii="Times New Roman" w:eastAsia="Calibri" w:hAnsi="Times New Roman" w:cs="Times New Roman"/>
          <w:color w:val="000000" w:themeColor="text1"/>
          <w:szCs w:val="22"/>
        </w:rPr>
        <w:t xml:space="preserve"> </w:t>
      </w:r>
      <w:r w:rsidR="00894BFE" w:rsidRPr="007C2CCF">
        <w:rPr>
          <w:rFonts w:ascii="Times New Roman" w:eastAsia="Calibri" w:hAnsi="Times New Roman" w:cs="Times New Roman"/>
          <w:color w:val="000000" w:themeColor="text1"/>
          <w:szCs w:val="22"/>
        </w:rPr>
        <w:t>would substitute trawls for pots</w:t>
      </w:r>
      <w:r w:rsidRPr="007C2CCF">
        <w:rPr>
          <w:rFonts w:ascii="Times New Roman" w:eastAsia="Calibri" w:hAnsi="Times New Roman" w:cs="Times New Roman"/>
          <w:color w:val="000000" w:themeColor="text1"/>
          <w:szCs w:val="22"/>
        </w:rPr>
        <w:t xml:space="preserve"> leading to reductions in bycatch and increased profits. They </w:t>
      </w:r>
      <w:r w:rsidR="006A59DF" w:rsidRPr="007C2CCF">
        <w:rPr>
          <w:rFonts w:ascii="Times New Roman" w:eastAsia="Calibri" w:hAnsi="Times New Roman" w:cs="Times New Roman"/>
          <w:color w:val="000000" w:themeColor="text1"/>
          <w:szCs w:val="22"/>
        </w:rPr>
        <w:t xml:space="preserve">also hypothesized that </w:t>
      </w:r>
      <w:r w:rsidRPr="007C2CCF">
        <w:rPr>
          <w:rFonts w:ascii="Times New Roman" w:eastAsia="Calibri" w:hAnsi="Times New Roman" w:cs="Times New Roman"/>
          <w:color w:val="000000" w:themeColor="text1"/>
          <w:szCs w:val="22"/>
        </w:rPr>
        <w:t xml:space="preserve">without incentives most fishers using trawl gear would likely </w:t>
      </w:r>
      <w:r w:rsidR="006A59DF" w:rsidRPr="007C2CCF">
        <w:rPr>
          <w:rFonts w:ascii="Times New Roman" w:eastAsia="Calibri" w:hAnsi="Times New Roman" w:cs="Times New Roman"/>
          <w:color w:val="000000" w:themeColor="text1"/>
          <w:szCs w:val="22"/>
        </w:rPr>
        <w:t xml:space="preserve">not </w:t>
      </w:r>
      <w:r w:rsidRPr="007C2CCF">
        <w:rPr>
          <w:rFonts w:ascii="Times New Roman" w:eastAsia="Calibri" w:hAnsi="Times New Roman" w:cs="Times New Roman"/>
          <w:color w:val="000000" w:themeColor="text1"/>
          <w:szCs w:val="22"/>
        </w:rPr>
        <w:t>permanently convert to pots or longlines</w:t>
      </w:r>
      <w:r w:rsidR="006A59DF" w:rsidRPr="007C2CCF">
        <w:rPr>
          <w:rFonts w:ascii="Times New Roman" w:eastAsia="Calibri" w:hAnsi="Times New Roman" w:cs="Times New Roman"/>
          <w:color w:val="000000" w:themeColor="text1"/>
          <w:szCs w:val="22"/>
        </w:rPr>
        <w:t xml:space="preserve">. </w:t>
      </w:r>
      <w:r w:rsidR="00AC590C">
        <w:rPr>
          <w:rFonts w:ascii="Times New Roman" w:eastAsia="Calibri" w:hAnsi="Times New Roman" w:cs="Times New Roman"/>
          <w:color w:val="000000" w:themeColor="text1"/>
          <w:szCs w:val="22"/>
        </w:rPr>
        <w:t xml:space="preserve">The US West Coast groundfish fishery underwent major management changes in 2011, with the implementation of an ITQ system and the endorsement of gear switching. </w:t>
      </w:r>
      <w:r w:rsidR="006A59DF" w:rsidRPr="007C2CCF">
        <w:rPr>
          <w:rFonts w:ascii="Times New Roman" w:eastAsia="Calibri" w:hAnsi="Times New Roman" w:cs="Times New Roman"/>
          <w:color w:val="000000" w:themeColor="text1"/>
          <w:szCs w:val="22"/>
        </w:rPr>
        <w:t xml:space="preserve">Unfortunately, economic incentives </w:t>
      </w:r>
      <w:r w:rsidR="00925CE4" w:rsidRPr="007C2CCF">
        <w:rPr>
          <w:rFonts w:ascii="Times New Roman" w:eastAsia="Calibri" w:hAnsi="Times New Roman" w:cs="Times New Roman"/>
          <w:color w:val="000000" w:themeColor="text1"/>
          <w:szCs w:val="22"/>
        </w:rPr>
        <w:t xml:space="preserve">to switch gears </w:t>
      </w:r>
      <w:r w:rsidR="006A59DF" w:rsidRPr="007C2CCF">
        <w:rPr>
          <w:rFonts w:ascii="Times New Roman" w:eastAsia="Calibri" w:hAnsi="Times New Roman" w:cs="Times New Roman"/>
          <w:color w:val="000000" w:themeColor="text1"/>
          <w:szCs w:val="22"/>
        </w:rPr>
        <w:t xml:space="preserve">declined (i.e., the </w:t>
      </w:r>
      <w:r w:rsidR="007C2CCF" w:rsidRPr="007C2CCF">
        <w:rPr>
          <w:rFonts w:ascii="Times New Roman" w:eastAsia="Calibri" w:hAnsi="Times New Roman" w:cs="Times New Roman"/>
          <w:color w:val="000000" w:themeColor="text1"/>
          <w:szCs w:val="22"/>
        </w:rPr>
        <w:t xml:space="preserve">ex-vessel </w:t>
      </w:r>
      <w:r w:rsidR="006A59DF" w:rsidRPr="007C2CCF">
        <w:rPr>
          <w:rFonts w:ascii="Times New Roman" w:eastAsia="Calibri" w:hAnsi="Times New Roman" w:cs="Times New Roman"/>
          <w:color w:val="000000" w:themeColor="text1"/>
          <w:szCs w:val="22"/>
        </w:rPr>
        <w:t xml:space="preserve">price per pound of sablefish caught using </w:t>
      </w:r>
      <w:r w:rsidR="007C2CCF" w:rsidRPr="007C2CCF">
        <w:rPr>
          <w:rFonts w:ascii="Times New Roman" w:eastAsia="Calibri" w:hAnsi="Times New Roman" w:cs="Times New Roman"/>
          <w:color w:val="000000" w:themeColor="text1"/>
          <w:szCs w:val="22"/>
        </w:rPr>
        <w:t>posts</w:t>
      </w:r>
      <w:r w:rsidR="006A59DF" w:rsidRPr="007C2CCF">
        <w:rPr>
          <w:rFonts w:ascii="Times New Roman" w:eastAsia="Calibri" w:hAnsi="Times New Roman" w:cs="Times New Roman"/>
          <w:color w:val="000000" w:themeColor="text1"/>
          <w:szCs w:val="22"/>
        </w:rPr>
        <w:t xml:space="preserve"> decreased from </w:t>
      </w:r>
      <w:r w:rsidR="007C2CCF" w:rsidRPr="007C2CCF">
        <w:rPr>
          <w:rFonts w:ascii="Times New Roman" w:eastAsia="Calibri" w:hAnsi="Times New Roman" w:cs="Times New Roman"/>
          <w:color w:val="000000" w:themeColor="text1"/>
          <w:szCs w:val="22"/>
        </w:rPr>
        <w:t>3.49 to 2.83 USD (PacFIN, 2015)</w:t>
      </w:r>
      <w:r w:rsidR="006A59DF" w:rsidRPr="007C2CCF">
        <w:rPr>
          <w:rFonts w:ascii="Times New Roman" w:eastAsia="Calibri" w:hAnsi="Times New Roman" w:cs="Times New Roman"/>
          <w:color w:val="000000" w:themeColor="text1"/>
          <w:szCs w:val="22"/>
        </w:rPr>
        <w:t xml:space="preserve">) </w:t>
      </w:r>
      <w:r w:rsidR="00AC590C">
        <w:rPr>
          <w:rFonts w:ascii="Times New Roman" w:eastAsia="Calibri" w:hAnsi="Times New Roman" w:cs="Times New Roman"/>
          <w:color w:val="000000" w:themeColor="text1"/>
          <w:szCs w:val="22"/>
        </w:rPr>
        <w:t>in 2012</w:t>
      </w:r>
      <w:r w:rsidR="00925CE4" w:rsidRPr="007C2CCF">
        <w:rPr>
          <w:rFonts w:ascii="Times New Roman" w:eastAsia="Calibri" w:hAnsi="Times New Roman" w:cs="Times New Roman"/>
          <w:color w:val="000000" w:themeColor="text1"/>
          <w:szCs w:val="22"/>
        </w:rPr>
        <w:t xml:space="preserve">. </w:t>
      </w:r>
      <w:r w:rsidR="006A59DF" w:rsidRPr="007C2CCF">
        <w:rPr>
          <w:rFonts w:ascii="Times New Roman" w:eastAsia="Calibri" w:hAnsi="Times New Roman" w:cs="Times New Roman"/>
          <w:color w:val="000000" w:themeColor="text1"/>
          <w:szCs w:val="22"/>
        </w:rPr>
        <w:t xml:space="preserve">Consequently, </w:t>
      </w:r>
      <w:r w:rsidR="00AC590C">
        <w:rPr>
          <w:rFonts w:ascii="Times New Roman" w:eastAsia="Calibri" w:hAnsi="Times New Roman" w:cs="Times New Roman"/>
          <w:color w:val="000000" w:themeColor="text1"/>
          <w:szCs w:val="22"/>
        </w:rPr>
        <w:t xml:space="preserve">predicted </w:t>
      </w:r>
      <w:r w:rsidR="006A59DF" w:rsidRPr="007C2CCF">
        <w:rPr>
          <w:rFonts w:ascii="Times New Roman" w:eastAsia="Calibri" w:hAnsi="Times New Roman" w:cs="Times New Roman"/>
          <w:color w:val="000000" w:themeColor="text1"/>
          <w:szCs w:val="22"/>
        </w:rPr>
        <w:t>reductions in bycatch due to gear switching were not</w:t>
      </w:r>
      <w:r w:rsidR="007C2CCF" w:rsidRPr="007C2CCF">
        <w:rPr>
          <w:rFonts w:ascii="Times New Roman" w:eastAsia="Calibri" w:hAnsi="Times New Roman" w:cs="Times New Roman"/>
          <w:color w:val="000000" w:themeColor="text1"/>
          <w:szCs w:val="22"/>
        </w:rPr>
        <w:t xml:space="preserve"> fully</w:t>
      </w:r>
      <w:r w:rsidR="006A59DF" w:rsidRPr="007C2CCF">
        <w:rPr>
          <w:rFonts w:ascii="Times New Roman" w:eastAsia="Calibri" w:hAnsi="Times New Roman" w:cs="Times New Roman"/>
          <w:color w:val="000000" w:themeColor="text1"/>
          <w:szCs w:val="22"/>
        </w:rPr>
        <w:t xml:space="preserve"> realized. </w:t>
      </w:r>
      <w:r w:rsidR="0016301A" w:rsidRPr="007C2CCF">
        <w:rPr>
          <w:rFonts w:ascii="Times New Roman" w:eastAsia="Calibri" w:hAnsi="Times New Roman" w:cs="Times New Roman"/>
          <w:color w:val="000000" w:themeColor="text1"/>
          <w:szCs w:val="22"/>
        </w:rPr>
        <w:t xml:space="preserve">We hypothesize that the development of future incentives </w:t>
      </w:r>
      <w:r w:rsidR="00AC590C">
        <w:rPr>
          <w:rFonts w:ascii="Times New Roman" w:eastAsia="Calibri" w:hAnsi="Times New Roman" w:cs="Times New Roman"/>
          <w:color w:val="000000" w:themeColor="text1"/>
          <w:szCs w:val="22"/>
        </w:rPr>
        <w:t xml:space="preserve">to encourage gear switching </w:t>
      </w:r>
      <w:r w:rsidR="0016301A" w:rsidRPr="007C2CCF">
        <w:rPr>
          <w:rFonts w:ascii="Times New Roman" w:eastAsia="Calibri" w:hAnsi="Times New Roman" w:cs="Times New Roman"/>
          <w:color w:val="000000" w:themeColor="text1"/>
          <w:szCs w:val="22"/>
        </w:rPr>
        <w:t xml:space="preserve">can be informed </w:t>
      </w:r>
      <w:r w:rsidR="00AC590C">
        <w:rPr>
          <w:rFonts w:ascii="Times New Roman" w:eastAsia="Calibri" w:hAnsi="Times New Roman" w:cs="Times New Roman"/>
          <w:color w:val="000000" w:themeColor="text1"/>
          <w:szCs w:val="22"/>
        </w:rPr>
        <w:t>by</w:t>
      </w:r>
      <w:r w:rsidR="0016301A" w:rsidRPr="007C2CCF">
        <w:rPr>
          <w:rFonts w:ascii="Times New Roman" w:eastAsia="Calibri" w:hAnsi="Times New Roman" w:cs="Times New Roman"/>
          <w:color w:val="000000" w:themeColor="text1"/>
          <w:szCs w:val="22"/>
        </w:rPr>
        <w:t xml:space="preserve"> historical trends in fisher behaviour, and use </w:t>
      </w:r>
      <w:r w:rsidR="007C2CCF">
        <w:rPr>
          <w:rFonts w:ascii="Times New Roman" w:eastAsia="Calibri" w:hAnsi="Times New Roman" w:cs="Times New Roman"/>
          <w:color w:val="000000" w:themeColor="text1"/>
          <w:szCs w:val="22"/>
        </w:rPr>
        <w:t xml:space="preserve">fishers targeting sablefish within the US West Coast </w:t>
      </w:r>
      <w:r w:rsidR="00AC590C">
        <w:rPr>
          <w:rFonts w:ascii="Times New Roman" w:eastAsia="Calibri" w:hAnsi="Times New Roman" w:cs="Times New Roman"/>
          <w:color w:val="000000" w:themeColor="text1"/>
          <w:szCs w:val="22"/>
        </w:rPr>
        <w:t xml:space="preserve">LE </w:t>
      </w:r>
      <w:r w:rsidR="007C2CCF">
        <w:rPr>
          <w:rFonts w:ascii="Times New Roman" w:eastAsia="Calibri" w:hAnsi="Times New Roman" w:cs="Times New Roman"/>
          <w:color w:val="000000" w:themeColor="text1"/>
          <w:szCs w:val="22"/>
        </w:rPr>
        <w:t xml:space="preserve">trawl fishery </w:t>
      </w:r>
      <w:r w:rsidR="00AC590C">
        <w:rPr>
          <w:rFonts w:ascii="Times New Roman" w:eastAsia="Calibri" w:hAnsi="Times New Roman" w:cs="Times New Roman"/>
          <w:color w:val="000000" w:themeColor="text1"/>
          <w:szCs w:val="22"/>
        </w:rPr>
        <w:t>as a case study.</w:t>
      </w:r>
    </w:p>
    <w:p w14:paraId="406F34BF" w14:textId="61BFA1E5" w:rsidR="00EA0AFC"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This study used cluster analyses and generalized </w:t>
      </w:r>
      <w:r w:rsidR="008B3D8B">
        <w:rPr>
          <w:rFonts w:ascii="Times New Roman" w:eastAsia="Calibri" w:hAnsi="Times New Roman" w:cs="Times New Roman"/>
          <w:color w:val="000000" w:themeColor="text1"/>
          <w:szCs w:val="22"/>
        </w:rPr>
        <w:t>additive</w:t>
      </w:r>
      <w:r>
        <w:rPr>
          <w:rFonts w:ascii="Times New Roman" w:eastAsia="Calibri" w:hAnsi="Times New Roman" w:cs="Times New Roman"/>
          <w:color w:val="000000" w:themeColor="text1"/>
          <w:szCs w:val="22"/>
        </w:rPr>
        <w:t xml:space="preserve"> models (G</w:t>
      </w:r>
      <w:r w:rsidR="008B3D8B">
        <w:rPr>
          <w:rFonts w:ascii="Times New Roman" w:eastAsia="Calibri" w:hAnsi="Times New Roman" w:cs="Times New Roman"/>
          <w:color w:val="000000" w:themeColor="text1"/>
          <w:szCs w:val="22"/>
        </w:rPr>
        <w:t>AM</w:t>
      </w:r>
      <w:r>
        <w:rPr>
          <w:rFonts w:ascii="Times New Roman" w:eastAsia="Calibri" w:hAnsi="Times New Roman" w:cs="Times New Roman"/>
          <w:color w:val="000000" w:themeColor="text1"/>
          <w:szCs w:val="22"/>
        </w:rPr>
        <w:t>s) to better understand fisher behaviour</w:t>
      </w:r>
      <w:r w:rsidR="00FA57C3">
        <w:rPr>
          <w:rFonts w:ascii="Times New Roman" w:eastAsia="Calibri" w:hAnsi="Times New Roman" w:cs="Times New Roman"/>
          <w:color w:val="000000" w:themeColor="text1"/>
          <w:szCs w:val="22"/>
        </w:rPr>
        <w:t xml:space="preserve"> when targeting sablefish in the US West Coast LE groundfish fishery</w:t>
      </w:r>
      <w:r w:rsidR="00446CEE">
        <w:rPr>
          <w:rFonts w:ascii="Times New Roman" w:eastAsia="Calibri" w:hAnsi="Times New Roman" w:cs="Times New Roman"/>
          <w:color w:val="000000" w:themeColor="text1"/>
          <w:szCs w:val="22"/>
        </w:rPr>
        <w:t xml:space="preserve">. Hypothesized drivers include </w:t>
      </w:r>
      <w:r w:rsidR="00FA57C3">
        <w:rPr>
          <w:rFonts w:ascii="Times New Roman" w:eastAsia="Calibri" w:hAnsi="Times New Roman" w:cs="Times New Roman"/>
          <w:color w:val="000000" w:themeColor="text1"/>
          <w:szCs w:val="22"/>
        </w:rPr>
        <w:t xml:space="preserve">variables related to </w:t>
      </w:r>
      <w:r>
        <w:rPr>
          <w:rFonts w:ascii="Times New Roman" w:eastAsia="Calibri" w:hAnsi="Times New Roman" w:cs="Times New Roman"/>
          <w:color w:val="000000" w:themeColor="text1"/>
          <w:szCs w:val="22"/>
        </w:rPr>
        <w:t xml:space="preserve">economic, ecological, and socio-cultural </w:t>
      </w:r>
      <w:r w:rsidR="00FA57C3">
        <w:rPr>
          <w:rFonts w:ascii="Times New Roman" w:eastAsia="Calibri" w:hAnsi="Times New Roman" w:cs="Times New Roman"/>
          <w:color w:val="000000" w:themeColor="text1"/>
          <w:szCs w:val="22"/>
        </w:rPr>
        <w:t>causes</w:t>
      </w:r>
      <w:r>
        <w:rPr>
          <w:rFonts w:ascii="Times New Roman" w:eastAsia="Calibri" w:hAnsi="Times New Roman" w:cs="Times New Roman"/>
          <w:color w:val="000000" w:themeColor="text1"/>
          <w:szCs w:val="22"/>
        </w:rPr>
        <w:t xml:space="preserve">, such as </w:t>
      </w:r>
      <w:r w:rsidR="00446CEE">
        <w:rPr>
          <w:rFonts w:ascii="Times New Roman" w:eastAsia="Calibri" w:hAnsi="Times New Roman" w:cs="Times New Roman"/>
          <w:color w:val="000000" w:themeColor="text1"/>
          <w:szCs w:val="22"/>
        </w:rPr>
        <w:t>fixed costs</w:t>
      </w:r>
      <w:r>
        <w:rPr>
          <w:rFonts w:ascii="Times New Roman" w:eastAsia="Calibri" w:hAnsi="Times New Roman" w:cs="Times New Roman"/>
          <w:color w:val="000000" w:themeColor="text1"/>
          <w:szCs w:val="22"/>
        </w:rPr>
        <w:t xml:space="preserve">, relative abundance, and the presence of an ITQ management framework. </w:t>
      </w:r>
      <w:r w:rsidR="001A1BF2">
        <w:rPr>
          <w:rFonts w:ascii="Times New Roman" w:eastAsia="Calibri" w:hAnsi="Times New Roman" w:cs="Times New Roman"/>
          <w:color w:val="000000" w:themeColor="text1"/>
          <w:szCs w:val="22"/>
        </w:rPr>
        <w:t>A</w:t>
      </w:r>
      <w:r>
        <w:rPr>
          <w:rFonts w:ascii="Times New Roman" w:eastAsia="Calibri" w:hAnsi="Times New Roman" w:cs="Times New Roman"/>
          <w:color w:val="000000" w:themeColor="text1"/>
          <w:szCs w:val="22"/>
        </w:rPr>
        <w:t xml:space="preserve"> socio-ecological assessment (Jenkins and Garrison, 2013) </w:t>
      </w:r>
      <w:r w:rsidR="001A1BF2">
        <w:rPr>
          <w:rFonts w:ascii="Times New Roman" w:eastAsia="Calibri" w:hAnsi="Times New Roman" w:cs="Times New Roman"/>
          <w:color w:val="000000" w:themeColor="text1"/>
          <w:szCs w:val="22"/>
        </w:rPr>
        <w:t>was helpful in increasing support for gear switching by identifying stakeholder concerns prior to the implementation of the ITQ system</w:t>
      </w:r>
      <w:r w:rsidR="00552BA5">
        <w:rPr>
          <w:rFonts w:ascii="Times New Roman" w:eastAsia="Calibri" w:hAnsi="Times New Roman" w:cs="Times New Roman"/>
          <w:color w:val="000000" w:themeColor="text1"/>
          <w:szCs w:val="22"/>
        </w:rPr>
        <w:t xml:space="preserve">, </w:t>
      </w:r>
      <w:r w:rsidR="001A1BF2">
        <w:rPr>
          <w:rFonts w:ascii="Times New Roman" w:eastAsia="Calibri" w:hAnsi="Times New Roman" w:cs="Times New Roman"/>
          <w:color w:val="000000" w:themeColor="text1"/>
          <w:szCs w:val="22"/>
        </w:rPr>
        <w:t xml:space="preserve">but </w:t>
      </w:r>
      <w:r w:rsidR="00552BA5">
        <w:rPr>
          <w:rFonts w:ascii="Times New Roman" w:eastAsia="Calibri" w:hAnsi="Times New Roman" w:cs="Times New Roman"/>
          <w:color w:val="000000" w:themeColor="text1"/>
          <w:szCs w:val="22"/>
        </w:rPr>
        <w:t>i</w:t>
      </w:r>
      <w:r>
        <w:rPr>
          <w:rFonts w:ascii="Times New Roman" w:eastAsia="Calibri" w:hAnsi="Times New Roman" w:cs="Times New Roman"/>
          <w:color w:val="000000" w:themeColor="text1"/>
          <w:szCs w:val="22"/>
        </w:rPr>
        <w:t xml:space="preserve">t remains unclear </w:t>
      </w:r>
      <w:r w:rsidR="001A1BF2">
        <w:rPr>
          <w:rFonts w:ascii="Times New Roman" w:eastAsia="Calibri" w:hAnsi="Times New Roman" w:cs="Times New Roman"/>
          <w:color w:val="000000" w:themeColor="text1"/>
          <w:szCs w:val="22"/>
        </w:rPr>
        <w:t>if fishers changed their behaviour and if so, did they cha</w:t>
      </w:r>
      <w:r w:rsidR="00AC590C">
        <w:rPr>
          <w:rFonts w:ascii="Times New Roman" w:eastAsia="Calibri" w:hAnsi="Times New Roman" w:cs="Times New Roman"/>
          <w:color w:val="000000" w:themeColor="text1"/>
          <w:szCs w:val="22"/>
        </w:rPr>
        <w:t xml:space="preserve">nge in alignment </w:t>
      </w:r>
      <w:r w:rsidR="000B72A7">
        <w:rPr>
          <w:rFonts w:ascii="Times New Roman" w:eastAsia="Calibri" w:hAnsi="Times New Roman" w:cs="Times New Roman"/>
          <w:color w:val="000000" w:themeColor="text1"/>
          <w:szCs w:val="22"/>
        </w:rPr>
        <w:t xml:space="preserve">with </w:t>
      </w:r>
      <w:r w:rsidR="00AC590C">
        <w:rPr>
          <w:rFonts w:ascii="Times New Roman" w:eastAsia="Calibri" w:hAnsi="Times New Roman" w:cs="Times New Roman"/>
          <w:color w:val="000000" w:themeColor="text1"/>
          <w:szCs w:val="22"/>
        </w:rPr>
        <w:t>predictions? T</w:t>
      </w:r>
      <w:r>
        <w:rPr>
          <w:rFonts w:ascii="Times New Roman" w:eastAsia="Calibri" w:hAnsi="Times New Roman" w:cs="Times New Roman"/>
          <w:color w:val="000000" w:themeColor="text1"/>
          <w:szCs w:val="22"/>
        </w:rPr>
        <w:t xml:space="preserve">he objectives of this study are therefore to: (1) identify and contextualize major changes in </w:t>
      </w:r>
      <w:r w:rsidR="00AC590C">
        <w:rPr>
          <w:rFonts w:ascii="Times New Roman" w:eastAsia="Calibri" w:hAnsi="Times New Roman" w:cs="Times New Roman"/>
          <w:color w:val="000000" w:themeColor="text1"/>
          <w:szCs w:val="22"/>
        </w:rPr>
        <w:t>the behaviour of fishers targeting sablefish within the US West Coast LE groundfish fishery</w:t>
      </w:r>
      <w:r>
        <w:rPr>
          <w:rFonts w:ascii="Times New Roman" w:eastAsia="Calibri" w:hAnsi="Times New Roman" w:cs="Times New Roman"/>
          <w:color w:val="000000" w:themeColor="text1"/>
          <w:szCs w:val="22"/>
        </w:rPr>
        <w:t xml:space="preserve">; (2) develop a framework </w:t>
      </w:r>
      <w:r w:rsidR="0050481A">
        <w:rPr>
          <w:rFonts w:ascii="Times New Roman" w:eastAsia="Calibri" w:hAnsi="Times New Roman" w:cs="Times New Roman"/>
          <w:color w:val="000000" w:themeColor="text1"/>
          <w:szCs w:val="22"/>
        </w:rPr>
        <w:t xml:space="preserve">to </w:t>
      </w:r>
      <w:r>
        <w:rPr>
          <w:rFonts w:ascii="Times New Roman" w:eastAsia="Calibri" w:hAnsi="Times New Roman" w:cs="Times New Roman"/>
          <w:color w:val="000000" w:themeColor="text1"/>
          <w:szCs w:val="22"/>
        </w:rPr>
        <w:t xml:space="preserve">quantify drivers of fisher behaviour using a wide variety of data collected across multiple disciplines; </w:t>
      </w:r>
      <w:r w:rsidR="00AC590C">
        <w:rPr>
          <w:rFonts w:ascii="Times New Roman" w:eastAsia="Calibri" w:hAnsi="Times New Roman" w:cs="Times New Roman"/>
          <w:color w:val="000000" w:themeColor="text1"/>
          <w:szCs w:val="22"/>
        </w:rPr>
        <w:t xml:space="preserve">(3) provide results relevant to managers wishing to develop incentive based methods to alter fisher behaviour, </w:t>
      </w:r>
      <w:r>
        <w:rPr>
          <w:rFonts w:ascii="Times New Roman" w:eastAsia="Calibri" w:hAnsi="Times New Roman" w:cs="Times New Roman"/>
          <w:color w:val="000000" w:themeColor="text1"/>
          <w:szCs w:val="22"/>
        </w:rPr>
        <w:t>and (</w:t>
      </w:r>
      <w:r w:rsidR="00AC590C">
        <w:rPr>
          <w:rFonts w:ascii="Times New Roman" w:eastAsia="Calibri" w:hAnsi="Times New Roman" w:cs="Times New Roman"/>
          <w:color w:val="000000" w:themeColor="text1"/>
          <w:szCs w:val="22"/>
        </w:rPr>
        <w:t>4</w:t>
      </w:r>
      <w:r>
        <w:rPr>
          <w:rFonts w:ascii="Times New Roman" w:eastAsia="Calibri" w:hAnsi="Times New Roman" w:cs="Times New Roman"/>
          <w:color w:val="000000" w:themeColor="text1"/>
          <w:szCs w:val="22"/>
        </w:rPr>
        <w:t>)</w:t>
      </w:r>
      <w:r w:rsidRPr="007868AD">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discuss </w:t>
      </w:r>
      <w:r w:rsidRPr="00AE34F8">
        <w:rPr>
          <w:rFonts w:ascii="Times New Roman" w:eastAsia="Calibri" w:hAnsi="Times New Roman" w:cs="Times New Roman"/>
          <w:color w:val="000000" w:themeColor="text1"/>
          <w:szCs w:val="22"/>
        </w:rPr>
        <w:t xml:space="preserve">challenges </w:t>
      </w:r>
      <w:r>
        <w:rPr>
          <w:rFonts w:ascii="Times New Roman" w:eastAsia="Calibri" w:hAnsi="Times New Roman" w:cs="Times New Roman"/>
          <w:color w:val="000000" w:themeColor="text1"/>
          <w:szCs w:val="22"/>
        </w:rPr>
        <w:t>of interdisciplinary research, particularly with regard to quantifying socio-economic factors.</w:t>
      </w:r>
      <w:r w:rsidR="00FA57C3">
        <w:rPr>
          <w:rFonts w:ascii="Times New Roman" w:eastAsia="Calibri" w:hAnsi="Times New Roman" w:cs="Times New Roman"/>
          <w:color w:val="000000" w:themeColor="text1"/>
          <w:szCs w:val="22"/>
        </w:rPr>
        <w:t xml:space="preserve"> </w:t>
      </w:r>
    </w:p>
    <w:p w14:paraId="6178E417" w14:textId="77777777" w:rsidR="0061208B" w:rsidRDefault="0061208B" w:rsidP="00145B28">
      <w:pPr>
        <w:spacing w:line="240" w:lineRule="auto"/>
        <w:jc w:val="both"/>
        <w:rPr>
          <w:rFonts w:ascii="Times New Roman" w:eastAsia="Calibri" w:hAnsi="Times New Roman" w:cs="Times New Roman"/>
          <w:color w:val="000000" w:themeColor="text1"/>
          <w:szCs w:val="22"/>
        </w:rPr>
      </w:pPr>
    </w:p>
    <w:bookmarkStart w:id="2" w:name="Methods"/>
    <w:p w14:paraId="0EB3056A"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bookmarkEnd w:id="2"/>
      <w:r>
        <w:rPr>
          <w:rFonts w:ascii="Times New Roman" w:eastAsia="Calibri" w:hAnsi="Times New Roman" w:cs="Times New Roman"/>
          <w:color w:val="000000" w:themeColor="text1"/>
          <w:szCs w:val="22"/>
        </w:rPr>
        <w:t xml:space="preserve"> Methods</w:t>
      </w:r>
    </w:p>
    <w:p w14:paraId="142B85DF" w14:textId="23CA22DE" w:rsidR="0061208B" w:rsidRDefault="00EA0AFC" w:rsidP="008B3D8B">
      <w:pPr>
        <w:spacing w:before="240"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Overview</w:t>
      </w:r>
    </w:p>
    <w:p w14:paraId="13815ACB" w14:textId="0275BA20" w:rsidR="00EA0AFC" w:rsidRPr="00680B87"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Multiple methods were used to understand fisher behaviour in this case study</w:t>
      </w:r>
      <w:r w:rsidR="00BC444E">
        <w:rPr>
          <w:rFonts w:ascii="Times New Roman" w:eastAsia="Calibri" w:hAnsi="Times New Roman" w:cs="Times New Roman"/>
          <w:color w:val="000000" w:themeColor="text1"/>
          <w:szCs w:val="22"/>
        </w:rPr>
        <w:t>: (1)</w:t>
      </w:r>
      <w:r>
        <w:rPr>
          <w:rFonts w:ascii="Times New Roman" w:eastAsia="Calibri" w:hAnsi="Times New Roman" w:cs="Times New Roman"/>
          <w:color w:val="000000" w:themeColor="text1"/>
          <w:szCs w:val="22"/>
        </w:rPr>
        <w:t xml:space="preserve"> major shifts in gear choices were identified using cluster analysis</w:t>
      </w:r>
      <w:r w:rsidR="00BC444E">
        <w:rPr>
          <w:rFonts w:ascii="Times New Roman" w:eastAsia="Calibri" w:hAnsi="Times New Roman" w:cs="Times New Roman"/>
          <w:color w:val="000000" w:themeColor="text1"/>
          <w:szCs w:val="22"/>
        </w:rPr>
        <w:t xml:space="preserve"> and (2)</w:t>
      </w:r>
      <w:r>
        <w:rPr>
          <w:rFonts w:ascii="Times New Roman" w:eastAsia="Calibri" w:hAnsi="Times New Roman" w:cs="Times New Roman"/>
          <w:color w:val="000000" w:themeColor="text1"/>
          <w:szCs w:val="22"/>
        </w:rPr>
        <w:t xml:space="preserve"> </w:t>
      </w:r>
      <w:r w:rsidR="008B3D8B">
        <w:rPr>
          <w:rFonts w:ascii="Times New Roman" w:eastAsia="Calibri" w:hAnsi="Times New Roman" w:cs="Times New Roman"/>
          <w:color w:val="000000" w:themeColor="text1"/>
          <w:szCs w:val="22"/>
        </w:rPr>
        <w:t>GAM</w:t>
      </w:r>
      <w:r w:rsidR="007F282D">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were used to quantitatively identify likely drivers of gear choice</w:t>
      </w:r>
      <w:r w:rsidR="00BC444E">
        <w:rPr>
          <w:rFonts w:ascii="Times New Roman" w:eastAsia="Calibri" w:hAnsi="Times New Roman" w:cs="Times New Roman"/>
          <w:color w:val="000000" w:themeColor="text1"/>
          <w:szCs w:val="22"/>
        </w:rPr>
        <w:t xml:space="preserve"> given the results of (1)</w:t>
      </w:r>
      <w:r>
        <w:rPr>
          <w:rFonts w:ascii="Times New Roman" w:eastAsia="Calibri" w:hAnsi="Times New Roman" w:cs="Times New Roman"/>
          <w:color w:val="000000" w:themeColor="text1"/>
          <w:szCs w:val="22"/>
        </w:rPr>
        <w:t xml:space="preserve">. </w:t>
      </w:r>
      <w:r w:rsidR="006476E7">
        <w:rPr>
          <w:rFonts w:ascii="Times New Roman" w:eastAsia="Calibri" w:hAnsi="Times New Roman" w:cs="Times New Roman"/>
          <w:color w:val="000000" w:themeColor="text1"/>
          <w:szCs w:val="22"/>
        </w:rPr>
        <w:t xml:space="preserve">Data </w:t>
      </w:r>
      <w:r w:rsidR="0024543C">
        <w:rPr>
          <w:rFonts w:ascii="Times New Roman" w:eastAsia="Calibri" w:hAnsi="Times New Roman" w:cs="Times New Roman"/>
          <w:color w:val="000000" w:themeColor="text1"/>
          <w:szCs w:val="22"/>
        </w:rPr>
        <w:t>include</w:t>
      </w:r>
      <w:r w:rsidR="00CC5C3F">
        <w:rPr>
          <w:rFonts w:ascii="Times New Roman" w:eastAsia="Calibri" w:hAnsi="Times New Roman" w:cs="Times New Roman"/>
          <w:color w:val="000000" w:themeColor="text1"/>
          <w:szCs w:val="22"/>
        </w:rPr>
        <w:t>d</w:t>
      </w:r>
      <w:r w:rsidR="006476E7">
        <w:rPr>
          <w:rFonts w:ascii="Times New Roman" w:eastAsia="Calibri" w:hAnsi="Times New Roman" w:cs="Times New Roman"/>
          <w:color w:val="000000" w:themeColor="text1"/>
          <w:szCs w:val="22"/>
        </w:rPr>
        <w:t xml:space="preserve"> information collected from both f</w:t>
      </w:r>
      <w:r w:rsidR="0073342A" w:rsidRPr="0073342A">
        <w:rPr>
          <w:rFonts w:ascii="Times New Roman" w:eastAsia="Calibri" w:hAnsi="Times New Roman" w:cs="Times New Roman"/>
          <w:color w:val="000000" w:themeColor="text1"/>
          <w:szCs w:val="22"/>
        </w:rPr>
        <w:t xml:space="preserve">ishery-dependent and -independent </w:t>
      </w:r>
      <w:r w:rsidR="006476E7">
        <w:rPr>
          <w:rFonts w:ascii="Times New Roman" w:eastAsia="Calibri" w:hAnsi="Times New Roman" w:cs="Times New Roman"/>
          <w:color w:val="000000" w:themeColor="text1"/>
          <w:szCs w:val="22"/>
        </w:rPr>
        <w:t xml:space="preserve">sources and </w:t>
      </w:r>
      <w:r w:rsidR="0024543C">
        <w:rPr>
          <w:rFonts w:ascii="Times New Roman" w:eastAsia="Calibri" w:hAnsi="Times New Roman" w:cs="Times New Roman"/>
          <w:color w:val="000000" w:themeColor="text1"/>
          <w:szCs w:val="22"/>
        </w:rPr>
        <w:t>involve</w:t>
      </w:r>
      <w:r w:rsidR="00CC5C3F">
        <w:rPr>
          <w:rFonts w:ascii="Times New Roman" w:eastAsia="Calibri" w:hAnsi="Times New Roman" w:cs="Times New Roman"/>
          <w:color w:val="000000" w:themeColor="text1"/>
          <w:szCs w:val="22"/>
        </w:rPr>
        <w:t>d</w:t>
      </w:r>
      <w:r w:rsidR="006476E7">
        <w:rPr>
          <w:rFonts w:ascii="Times New Roman" w:eastAsia="Calibri" w:hAnsi="Times New Roman" w:cs="Times New Roman"/>
          <w:color w:val="000000" w:themeColor="text1"/>
          <w:szCs w:val="22"/>
        </w:rPr>
        <w:t xml:space="preserve"> information </w:t>
      </w:r>
      <w:r w:rsidR="00CC5C3F">
        <w:rPr>
          <w:rFonts w:ascii="Times New Roman" w:eastAsia="Calibri" w:hAnsi="Times New Roman" w:cs="Times New Roman"/>
          <w:color w:val="000000" w:themeColor="text1"/>
          <w:szCs w:val="22"/>
        </w:rPr>
        <w:t>on</w:t>
      </w:r>
      <w:r w:rsidR="006476E7">
        <w:rPr>
          <w:rFonts w:ascii="Times New Roman" w:eastAsia="Calibri" w:hAnsi="Times New Roman" w:cs="Times New Roman"/>
          <w:color w:val="000000" w:themeColor="text1"/>
          <w:szCs w:val="22"/>
        </w:rPr>
        <w:t xml:space="preserve"> ecological, economic, and social aspects of the fishery</w:t>
      </w:r>
      <w:r w:rsidR="0073342A" w:rsidRPr="0073342A">
        <w:rPr>
          <w:rFonts w:ascii="Times New Roman" w:eastAsia="Calibri" w:hAnsi="Times New Roman" w:cs="Times New Roman"/>
          <w:color w:val="000000" w:themeColor="text1"/>
          <w:szCs w:val="22"/>
        </w:rPr>
        <w:t xml:space="preserve">. </w:t>
      </w:r>
      <w:r w:rsidR="00BC444E">
        <w:rPr>
          <w:rFonts w:ascii="Times New Roman" w:eastAsia="Calibri" w:hAnsi="Times New Roman" w:cs="Times New Roman"/>
          <w:color w:val="000000" w:themeColor="text1"/>
          <w:szCs w:val="22"/>
        </w:rPr>
        <w:t>S</w:t>
      </w:r>
      <w:r w:rsidR="0024543C">
        <w:rPr>
          <w:rFonts w:ascii="Times New Roman" w:eastAsia="Calibri" w:hAnsi="Times New Roman" w:cs="Times New Roman"/>
          <w:color w:val="000000" w:themeColor="text1"/>
          <w:szCs w:val="22"/>
        </w:rPr>
        <w:t xml:space="preserve">everal steps </w:t>
      </w:r>
      <w:r w:rsidR="00BC444E">
        <w:rPr>
          <w:rFonts w:ascii="Times New Roman" w:eastAsia="Calibri" w:hAnsi="Times New Roman" w:cs="Times New Roman"/>
          <w:color w:val="000000" w:themeColor="text1"/>
          <w:szCs w:val="22"/>
        </w:rPr>
        <w:t xml:space="preserve">were taken prior to (1) and (2) </w:t>
      </w:r>
      <w:r w:rsidR="0024543C">
        <w:rPr>
          <w:rFonts w:ascii="Times New Roman" w:eastAsia="Calibri" w:hAnsi="Times New Roman" w:cs="Times New Roman"/>
          <w:color w:val="000000" w:themeColor="text1"/>
          <w:szCs w:val="22"/>
        </w:rPr>
        <w:t xml:space="preserve">to organize and integrate the data for its effective use. Where applicable, methods of integration are detailed </w:t>
      </w:r>
      <w:r w:rsidR="00CC5C3F">
        <w:rPr>
          <w:rFonts w:ascii="Times New Roman" w:eastAsia="Calibri" w:hAnsi="Times New Roman" w:cs="Times New Roman"/>
          <w:color w:val="000000" w:themeColor="text1"/>
          <w:szCs w:val="22"/>
        </w:rPr>
        <w:t xml:space="preserve">below </w:t>
      </w:r>
      <w:r w:rsidR="0024543C">
        <w:rPr>
          <w:rFonts w:ascii="Times New Roman" w:eastAsia="Calibri" w:hAnsi="Times New Roman" w:cs="Times New Roman"/>
          <w:color w:val="000000" w:themeColor="text1"/>
          <w:szCs w:val="22"/>
        </w:rPr>
        <w:t>in conjunction with descriptions of each associated analysis.</w:t>
      </w:r>
    </w:p>
    <w:p w14:paraId="3CBA81EF" w14:textId="1CA86156" w:rsidR="00EA0AFC" w:rsidRDefault="00EA0AFC" w:rsidP="008B3D8B">
      <w:pPr>
        <w:spacing w:before="240"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Case-study background</w:t>
      </w:r>
    </w:p>
    <w:p w14:paraId="6D67F1DF" w14:textId="70C35003" w:rsidR="00E13DD8" w:rsidRDefault="00E13DD8" w:rsidP="009A7FA3">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US West Coast </w:t>
      </w:r>
      <w:r w:rsidR="00D82C6B">
        <w:rPr>
          <w:rFonts w:ascii="Times New Roman" w:eastAsia="Calibri" w:hAnsi="Times New Roman" w:cs="Times New Roman"/>
          <w:color w:val="000000" w:themeColor="text1"/>
          <w:szCs w:val="22"/>
        </w:rPr>
        <w:t>sablefish fishery is part of a federally</w:t>
      </w:r>
      <w:r w:rsidR="0050481A">
        <w:rPr>
          <w:rFonts w:ascii="Times New Roman" w:eastAsia="Calibri" w:hAnsi="Times New Roman" w:cs="Times New Roman"/>
          <w:color w:val="000000" w:themeColor="text1"/>
          <w:szCs w:val="22"/>
        </w:rPr>
        <w:t>-</w:t>
      </w:r>
      <w:r w:rsidR="00D82C6B">
        <w:rPr>
          <w:rFonts w:ascii="Times New Roman" w:eastAsia="Calibri" w:hAnsi="Times New Roman" w:cs="Times New Roman"/>
          <w:color w:val="000000" w:themeColor="text1"/>
          <w:szCs w:val="22"/>
        </w:rPr>
        <w:t>managed multispecies (90+) groundfish fishery operating from the US-Canada border in the north to the US-Mexico border in the south</w:t>
      </w:r>
      <w:r w:rsidR="003E0404">
        <w:rPr>
          <w:rFonts w:ascii="Times New Roman" w:eastAsia="Calibri" w:hAnsi="Times New Roman" w:cs="Times New Roman"/>
          <w:color w:val="000000" w:themeColor="text1"/>
          <w:szCs w:val="22"/>
        </w:rPr>
        <w:t xml:space="preserve"> (PFMC, 2014)</w:t>
      </w:r>
      <w:r w:rsidR="00D82C6B">
        <w:rPr>
          <w:rFonts w:ascii="Times New Roman" w:eastAsia="Calibri" w:hAnsi="Times New Roman" w:cs="Times New Roman"/>
          <w:color w:val="000000" w:themeColor="text1"/>
          <w:szCs w:val="22"/>
        </w:rPr>
        <w:t xml:space="preserve">. </w:t>
      </w:r>
      <w:r w:rsidR="00935CD5">
        <w:rPr>
          <w:rFonts w:ascii="Times New Roman" w:eastAsia="Calibri" w:hAnsi="Times New Roman" w:cs="Times New Roman"/>
          <w:color w:val="000000" w:themeColor="text1"/>
          <w:szCs w:val="22"/>
        </w:rPr>
        <w:t xml:space="preserve">Groundfish harvests </w:t>
      </w:r>
      <w:r w:rsidR="00727651">
        <w:rPr>
          <w:rFonts w:ascii="Times New Roman" w:eastAsia="Calibri" w:hAnsi="Times New Roman" w:cs="Times New Roman"/>
          <w:color w:val="000000" w:themeColor="text1"/>
          <w:szCs w:val="22"/>
        </w:rPr>
        <w:t xml:space="preserve">occur </w:t>
      </w:r>
      <w:r w:rsidR="008867E3">
        <w:rPr>
          <w:rFonts w:ascii="Times New Roman" w:eastAsia="Calibri" w:hAnsi="Times New Roman" w:cs="Times New Roman"/>
          <w:color w:val="000000" w:themeColor="text1"/>
          <w:szCs w:val="22"/>
        </w:rPr>
        <w:t xml:space="preserve">both </w:t>
      </w:r>
      <w:r w:rsidR="00D82C6B">
        <w:rPr>
          <w:rFonts w:ascii="Times New Roman" w:eastAsia="Calibri" w:hAnsi="Times New Roman" w:cs="Times New Roman"/>
          <w:color w:val="000000" w:themeColor="text1"/>
          <w:szCs w:val="22"/>
        </w:rPr>
        <w:t>commercially through l</w:t>
      </w:r>
      <w:r w:rsidR="000B72A7">
        <w:rPr>
          <w:rFonts w:ascii="Times New Roman" w:eastAsia="Calibri" w:hAnsi="Times New Roman" w:cs="Times New Roman"/>
          <w:color w:val="000000" w:themeColor="text1"/>
          <w:szCs w:val="22"/>
        </w:rPr>
        <w:t>L</w:t>
      </w:r>
      <w:r w:rsidR="005E62CE">
        <w:rPr>
          <w:rFonts w:ascii="Times New Roman" w:eastAsia="Calibri" w:hAnsi="Times New Roman" w:cs="Times New Roman"/>
          <w:color w:val="000000" w:themeColor="text1"/>
          <w:szCs w:val="22"/>
        </w:rPr>
        <w:t>E</w:t>
      </w:r>
      <w:r w:rsidR="008867E3">
        <w:rPr>
          <w:rFonts w:ascii="Times New Roman" w:eastAsia="Calibri" w:hAnsi="Times New Roman" w:cs="Times New Roman"/>
          <w:color w:val="000000" w:themeColor="text1"/>
          <w:szCs w:val="22"/>
        </w:rPr>
        <w:t>,</w:t>
      </w:r>
      <w:r w:rsidR="00D82C6B">
        <w:rPr>
          <w:rFonts w:ascii="Times New Roman" w:eastAsia="Calibri" w:hAnsi="Times New Roman" w:cs="Times New Roman"/>
          <w:color w:val="000000" w:themeColor="text1"/>
          <w:szCs w:val="22"/>
        </w:rPr>
        <w:t xml:space="preserve"> open access</w:t>
      </w:r>
      <w:r w:rsidR="008867E3">
        <w:rPr>
          <w:rFonts w:ascii="Times New Roman" w:eastAsia="Calibri" w:hAnsi="Times New Roman" w:cs="Times New Roman"/>
          <w:color w:val="000000" w:themeColor="text1"/>
          <w:szCs w:val="22"/>
        </w:rPr>
        <w:t xml:space="preserve">, </w:t>
      </w:r>
      <w:r w:rsidR="003B75C4">
        <w:rPr>
          <w:rFonts w:ascii="Times New Roman" w:eastAsia="Calibri" w:hAnsi="Times New Roman" w:cs="Times New Roman"/>
          <w:color w:val="000000" w:themeColor="text1"/>
          <w:szCs w:val="22"/>
        </w:rPr>
        <w:t>tribal</w:t>
      </w:r>
      <w:r w:rsidR="0050481A">
        <w:rPr>
          <w:rFonts w:ascii="Times New Roman" w:eastAsia="Calibri" w:hAnsi="Times New Roman" w:cs="Times New Roman"/>
          <w:color w:val="000000" w:themeColor="text1"/>
          <w:szCs w:val="22"/>
        </w:rPr>
        <w:t>,</w:t>
      </w:r>
      <w:r w:rsidR="008867E3">
        <w:rPr>
          <w:rFonts w:ascii="Times New Roman" w:eastAsia="Calibri" w:hAnsi="Times New Roman" w:cs="Times New Roman"/>
          <w:color w:val="000000" w:themeColor="text1"/>
          <w:szCs w:val="22"/>
        </w:rPr>
        <w:t xml:space="preserve"> and recreation</w:t>
      </w:r>
      <w:r w:rsidR="003B75C4">
        <w:rPr>
          <w:rFonts w:ascii="Times New Roman" w:eastAsia="Calibri" w:hAnsi="Times New Roman" w:cs="Times New Roman"/>
          <w:color w:val="000000" w:themeColor="text1"/>
          <w:szCs w:val="22"/>
        </w:rPr>
        <w:t>al (targeted and incidental take) sectors</w:t>
      </w:r>
      <w:r w:rsidR="008867E3">
        <w:rPr>
          <w:rFonts w:ascii="Times New Roman" w:eastAsia="Calibri" w:hAnsi="Times New Roman" w:cs="Times New Roman"/>
          <w:color w:val="000000" w:themeColor="text1"/>
          <w:szCs w:val="22"/>
        </w:rPr>
        <w:t xml:space="preserve">. </w:t>
      </w:r>
      <w:r w:rsidR="000B72A7">
        <w:rPr>
          <w:rFonts w:ascii="Times New Roman" w:eastAsia="Calibri" w:hAnsi="Times New Roman" w:cs="Times New Roman"/>
          <w:color w:val="000000" w:themeColor="text1"/>
          <w:szCs w:val="22"/>
        </w:rPr>
        <w:t>The LE sector is restricted to fishers holding a LE permit, where permits</w:t>
      </w:r>
      <w:r w:rsidR="003B75C4">
        <w:rPr>
          <w:rFonts w:ascii="Times New Roman" w:eastAsia="Calibri" w:hAnsi="Times New Roman" w:cs="Times New Roman"/>
          <w:color w:val="000000" w:themeColor="text1"/>
          <w:szCs w:val="22"/>
        </w:rPr>
        <w:t>, issued in 1993,</w:t>
      </w:r>
      <w:r w:rsidR="000B72A7">
        <w:rPr>
          <w:rFonts w:ascii="Times New Roman" w:eastAsia="Calibri" w:hAnsi="Times New Roman" w:cs="Times New Roman"/>
          <w:color w:val="000000" w:themeColor="text1"/>
          <w:szCs w:val="22"/>
        </w:rPr>
        <w:t xml:space="preserve"> provide an endorsement to fish with either trawl or fixed gear (such as longlines, traps, or pots)</w:t>
      </w:r>
      <w:r w:rsidR="003B75C4">
        <w:rPr>
          <w:rFonts w:ascii="Times New Roman" w:eastAsia="Calibri" w:hAnsi="Times New Roman" w:cs="Times New Roman"/>
          <w:color w:val="000000" w:themeColor="text1"/>
          <w:szCs w:val="22"/>
        </w:rPr>
        <w:t xml:space="preserve"> and endorsement eligibility was based on catch history as of </w:t>
      </w:r>
      <w:r w:rsidR="003B75C4" w:rsidRPr="003B75C4">
        <w:rPr>
          <w:rFonts w:ascii="Times New Roman" w:eastAsia="Calibri" w:hAnsi="Times New Roman" w:cs="Times New Roman"/>
          <w:color w:val="000000" w:themeColor="text1"/>
          <w:szCs w:val="22"/>
        </w:rPr>
        <w:t>September 16, 1999</w:t>
      </w:r>
      <w:r w:rsidR="000B72A7">
        <w:rPr>
          <w:rFonts w:ascii="Times New Roman" w:eastAsia="Calibri" w:hAnsi="Times New Roman" w:cs="Times New Roman"/>
          <w:color w:val="000000" w:themeColor="text1"/>
          <w:szCs w:val="22"/>
        </w:rPr>
        <w:t xml:space="preserve">. </w:t>
      </w:r>
      <w:r w:rsidR="003B75C4">
        <w:rPr>
          <w:rFonts w:ascii="Times New Roman" w:eastAsia="Calibri" w:hAnsi="Times New Roman" w:cs="Times New Roman"/>
          <w:color w:val="000000" w:themeColor="text1"/>
          <w:szCs w:val="22"/>
        </w:rPr>
        <w:t>T</w:t>
      </w:r>
      <w:r w:rsidR="000B72A7">
        <w:rPr>
          <w:rFonts w:ascii="Times New Roman" w:eastAsia="Calibri" w:hAnsi="Times New Roman" w:cs="Times New Roman"/>
          <w:color w:val="000000" w:themeColor="text1"/>
          <w:szCs w:val="22"/>
        </w:rPr>
        <w:t xml:space="preserve">he open access fishery, </w:t>
      </w:r>
      <w:r w:rsidR="003B75C4">
        <w:rPr>
          <w:rFonts w:ascii="Times New Roman" w:eastAsia="Calibri" w:hAnsi="Times New Roman" w:cs="Times New Roman"/>
          <w:color w:val="000000" w:themeColor="text1"/>
          <w:szCs w:val="22"/>
        </w:rPr>
        <w:t xml:space="preserve">which is not really open </w:t>
      </w:r>
      <w:r w:rsidR="00B1369B">
        <w:rPr>
          <w:rFonts w:ascii="Times New Roman" w:eastAsia="Calibri" w:hAnsi="Times New Roman" w:cs="Times New Roman"/>
          <w:color w:val="000000" w:themeColor="text1"/>
          <w:szCs w:val="22"/>
        </w:rPr>
        <w:t xml:space="preserve">but restricted to vessels with historical participation in the fishery prior to </w:t>
      </w:r>
      <w:r w:rsidR="003B75C4" w:rsidRPr="003B75C4">
        <w:rPr>
          <w:rFonts w:ascii="Times New Roman" w:eastAsia="Calibri" w:hAnsi="Times New Roman" w:cs="Times New Roman"/>
          <w:color w:val="000000" w:themeColor="text1"/>
          <w:szCs w:val="22"/>
        </w:rPr>
        <w:t>November 5, 1999</w:t>
      </w:r>
      <w:r w:rsidR="00B1369B">
        <w:rPr>
          <w:rFonts w:ascii="Times New Roman" w:eastAsia="Calibri" w:hAnsi="Times New Roman" w:cs="Times New Roman"/>
          <w:color w:val="000000" w:themeColor="text1"/>
          <w:szCs w:val="22"/>
        </w:rPr>
        <w:t xml:space="preserve"> not eligible for a LE permit</w:t>
      </w:r>
      <w:r w:rsidR="000B72A7">
        <w:rPr>
          <w:rFonts w:ascii="Times New Roman" w:eastAsia="Calibri" w:hAnsi="Times New Roman" w:cs="Times New Roman"/>
          <w:color w:val="000000" w:themeColor="text1"/>
          <w:szCs w:val="22"/>
        </w:rPr>
        <w:t xml:space="preserve">, is </w:t>
      </w:r>
      <w:r w:rsidR="009320BD">
        <w:rPr>
          <w:rFonts w:ascii="Times New Roman" w:eastAsia="Calibri" w:hAnsi="Times New Roman" w:cs="Times New Roman"/>
          <w:color w:val="000000" w:themeColor="text1"/>
          <w:szCs w:val="22"/>
        </w:rPr>
        <w:t>managed using cumulative trip limits, size limits, seasons, gear restrictions (prohibiting trawl gear), and closed areas</w:t>
      </w:r>
      <w:r w:rsidR="000B72A7">
        <w:rPr>
          <w:rFonts w:ascii="Times New Roman" w:eastAsia="Calibri" w:hAnsi="Times New Roman" w:cs="Times New Roman"/>
          <w:color w:val="000000" w:themeColor="text1"/>
          <w:szCs w:val="22"/>
        </w:rPr>
        <w:t xml:space="preserve">. </w:t>
      </w:r>
      <w:r w:rsidR="008867E3">
        <w:rPr>
          <w:rFonts w:ascii="Times New Roman" w:eastAsia="Calibri" w:hAnsi="Times New Roman" w:cs="Times New Roman"/>
          <w:color w:val="000000" w:themeColor="text1"/>
          <w:szCs w:val="22"/>
        </w:rPr>
        <w:t>All tribal fisheries are located off the coast of Washington, where tribes have a federal treaty right to fish in their “usual and accustomed” fishing areas</w:t>
      </w:r>
      <w:r w:rsidR="0050481A">
        <w:rPr>
          <w:rFonts w:ascii="Times New Roman" w:eastAsia="Calibri" w:hAnsi="Times New Roman" w:cs="Times New Roman"/>
          <w:color w:val="000000" w:themeColor="text1"/>
          <w:szCs w:val="22"/>
        </w:rPr>
        <w:t xml:space="preserve"> (</w:t>
      </w:r>
      <w:r w:rsidR="008B3D8B">
        <w:rPr>
          <w:rFonts w:ascii="Times New Roman" w:eastAsia="Calibri" w:hAnsi="Times New Roman" w:cs="Times New Roman"/>
          <w:color w:val="000000" w:themeColor="text1"/>
          <w:szCs w:val="22"/>
          <w:highlight w:val="yellow"/>
        </w:rPr>
        <w:t>citation</w:t>
      </w:r>
      <w:r w:rsidR="0050481A">
        <w:rPr>
          <w:rFonts w:ascii="Times New Roman" w:eastAsia="Calibri" w:hAnsi="Times New Roman" w:cs="Times New Roman"/>
          <w:color w:val="000000" w:themeColor="text1"/>
          <w:szCs w:val="22"/>
        </w:rPr>
        <w:t>)</w:t>
      </w:r>
      <w:r w:rsidR="008867E3">
        <w:rPr>
          <w:rFonts w:ascii="Times New Roman" w:eastAsia="Calibri" w:hAnsi="Times New Roman" w:cs="Times New Roman"/>
          <w:color w:val="000000" w:themeColor="text1"/>
          <w:szCs w:val="22"/>
        </w:rPr>
        <w:t xml:space="preserve">. </w:t>
      </w:r>
      <w:r w:rsidR="003B75C4">
        <w:rPr>
          <w:rFonts w:ascii="Times New Roman" w:eastAsia="Calibri" w:hAnsi="Times New Roman" w:cs="Times New Roman"/>
          <w:color w:val="000000" w:themeColor="text1"/>
          <w:szCs w:val="22"/>
        </w:rPr>
        <w:t xml:space="preserve">All sectors are subject to </w:t>
      </w:r>
      <w:r w:rsidR="009320BD">
        <w:rPr>
          <w:rFonts w:ascii="Times New Roman" w:eastAsia="Calibri" w:hAnsi="Times New Roman" w:cs="Times New Roman"/>
          <w:color w:val="000000" w:themeColor="text1"/>
          <w:szCs w:val="22"/>
        </w:rPr>
        <w:t>annual catch</w:t>
      </w:r>
      <w:r w:rsidR="003B75C4">
        <w:rPr>
          <w:rFonts w:ascii="Times New Roman" w:eastAsia="Calibri" w:hAnsi="Times New Roman" w:cs="Times New Roman"/>
          <w:color w:val="000000" w:themeColor="text1"/>
          <w:szCs w:val="22"/>
        </w:rPr>
        <w:t xml:space="preserve"> limits and area</w:t>
      </w:r>
      <w:r w:rsidR="009320BD">
        <w:rPr>
          <w:rFonts w:ascii="Times New Roman" w:eastAsia="Calibri" w:hAnsi="Times New Roman" w:cs="Times New Roman"/>
          <w:color w:val="000000" w:themeColor="text1"/>
          <w:szCs w:val="22"/>
        </w:rPr>
        <w:t>- and gear-specific</w:t>
      </w:r>
      <w:r w:rsidR="003B75C4">
        <w:rPr>
          <w:rFonts w:ascii="Times New Roman" w:eastAsia="Calibri" w:hAnsi="Times New Roman" w:cs="Times New Roman"/>
          <w:color w:val="000000" w:themeColor="text1"/>
          <w:szCs w:val="22"/>
        </w:rPr>
        <w:t xml:space="preserve"> restrictions. </w:t>
      </w:r>
      <w:r w:rsidR="00D82C6B">
        <w:rPr>
          <w:rFonts w:ascii="Times New Roman" w:eastAsia="Calibri" w:hAnsi="Times New Roman" w:cs="Times New Roman"/>
          <w:color w:val="000000" w:themeColor="text1"/>
          <w:szCs w:val="22"/>
        </w:rPr>
        <w:t>The</w:t>
      </w:r>
      <w:r w:rsidR="00935CD5">
        <w:rPr>
          <w:rFonts w:ascii="Times New Roman" w:eastAsia="Calibri" w:hAnsi="Times New Roman" w:cs="Times New Roman"/>
          <w:color w:val="000000" w:themeColor="text1"/>
          <w:szCs w:val="22"/>
        </w:rPr>
        <w:t xml:space="preserve"> groundfish</w:t>
      </w:r>
      <w:r w:rsidR="00D82C6B">
        <w:rPr>
          <w:rFonts w:ascii="Times New Roman" w:eastAsia="Calibri" w:hAnsi="Times New Roman" w:cs="Times New Roman"/>
          <w:color w:val="000000" w:themeColor="text1"/>
          <w:szCs w:val="22"/>
        </w:rPr>
        <w:t xml:space="preserve"> fishery primarily targets</w:t>
      </w:r>
      <w:r w:rsidR="00D82C6B" w:rsidRPr="00E13DD8">
        <w:rPr>
          <w:rFonts w:ascii="Times New Roman" w:eastAsia="Calibri" w:hAnsi="Times New Roman" w:cs="Times New Roman"/>
          <w:color w:val="000000" w:themeColor="text1"/>
          <w:szCs w:val="22"/>
        </w:rPr>
        <w:t xml:space="preserve"> demersal species such as sablefish, Dover sole (</w:t>
      </w:r>
      <w:r w:rsidR="00D82C6B" w:rsidRPr="00E13DD8">
        <w:rPr>
          <w:rFonts w:ascii="Times New Roman" w:eastAsia="Calibri" w:hAnsi="Times New Roman" w:cs="Times New Roman"/>
          <w:i/>
          <w:color w:val="000000" w:themeColor="text1"/>
          <w:szCs w:val="22"/>
        </w:rPr>
        <w:t>Microstomus pacificus</w:t>
      </w:r>
      <w:r w:rsidR="00D82C6B" w:rsidRPr="00E13DD8">
        <w:rPr>
          <w:rFonts w:ascii="Times New Roman" w:eastAsia="Calibri" w:hAnsi="Times New Roman" w:cs="Times New Roman"/>
          <w:color w:val="000000" w:themeColor="text1"/>
          <w:szCs w:val="22"/>
        </w:rPr>
        <w:t>), shortspine thornyhead (</w:t>
      </w:r>
      <w:r w:rsidR="00D82C6B" w:rsidRPr="00E13DD8">
        <w:rPr>
          <w:rFonts w:ascii="Times New Roman" w:eastAsia="Calibri" w:hAnsi="Times New Roman" w:cs="Times New Roman"/>
          <w:i/>
          <w:color w:val="000000" w:themeColor="text1"/>
          <w:szCs w:val="22"/>
        </w:rPr>
        <w:t>Sebastolobus alascanus</w:t>
      </w:r>
      <w:r w:rsidR="00D82C6B" w:rsidRPr="00E13DD8">
        <w:rPr>
          <w:rFonts w:ascii="Times New Roman" w:eastAsia="Calibri" w:hAnsi="Times New Roman" w:cs="Times New Roman"/>
          <w:color w:val="000000" w:themeColor="text1"/>
          <w:szCs w:val="22"/>
        </w:rPr>
        <w:t>), Petrale sole (</w:t>
      </w:r>
      <w:r w:rsidR="00D82C6B" w:rsidRPr="00E13DD8">
        <w:rPr>
          <w:rFonts w:ascii="Times New Roman" w:eastAsia="Calibri" w:hAnsi="Times New Roman" w:cs="Times New Roman"/>
          <w:i/>
          <w:color w:val="000000" w:themeColor="text1"/>
          <w:szCs w:val="22"/>
        </w:rPr>
        <w:t>Eopsetta jordani</w:t>
      </w:r>
      <w:r w:rsidR="00D82C6B" w:rsidRPr="00E13DD8">
        <w:rPr>
          <w:rFonts w:ascii="Times New Roman" w:eastAsia="Calibri" w:hAnsi="Times New Roman" w:cs="Times New Roman"/>
          <w:color w:val="000000" w:themeColor="text1"/>
          <w:szCs w:val="22"/>
        </w:rPr>
        <w:t xml:space="preserve">), and Pacific whiting (Pacific hake, </w:t>
      </w:r>
      <w:r w:rsidR="00D82C6B" w:rsidRPr="00E13DD8">
        <w:rPr>
          <w:rFonts w:ascii="Times New Roman" w:eastAsia="Calibri" w:hAnsi="Times New Roman" w:cs="Times New Roman"/>
          <w:i/>
          <w:color w:val="000000" w:themeColor="text1"/>
          <w:szCs w:val="22"/>
        </w:rPr>
        <w:t>Merluccius productus</w:t>
      </w:r>
      <w:r w:rsidR="00D82C6B" w:rsidRPr="00E13DD8">
        <w:rPr>
          <w:rFonts w:ascii="Times New Roman" w:eastAsia="Calibri" w:hAnsi="Times New Roman" w:cs="Times New Roman"/>
          <w:color w:val="000000" w:themeColor="text1"/>
          <w:szCs w:val="22"/>
        </w:rPr>
        <w:t>).</w:t>
      </w:r>
      <w:r w:rsidR="00727651">
        <w:rPr>
          <w:rFonts w:ascii="Times New Roman" w:eastAsia="Calibri" w:hAnsi="Times New Roman" w:cs="Times New Roman"/>
          <w:color w:val="000000" w:themeColor="text1"/>
          <w:szCs w:val="22"/>
        </w:rPr>
        <w:t xml:space="preserve"> Prior to 1982 management was under the jurisdiction of each respective </w:t>
      </w:r>
      <w:r w:rsidR="00EB5CEF">
        <w:rPr>
          <w:rFonts w:ascii="Times New Roman" w:eastAsia="Calibri" w:hAnsi="Times New Roman" w:cs="Times New Roman"/>
          <w:color w:val="000000" w:themeColor="text1"/>
          <w:szCs w:val="22"/>
        </w:rPr>
        <w:t xml:space="preserve">coastal </w:t>
      </w:r>
      <w:r w:rsidR="00727651">
        <w:rPr>
          <w:rFonts w:ascii="Times New Roman" w:eastAsia="Calibri" w:hAnsi="Times New Roman" w:cs="Times New Roman"/>
          <w:color w:val="000000" w:themeColor="text1"/>
          <w:szCs w:val="22"/>
        </w:rPr>
        <w:t>state (i.e., Wash</w:t>
      </w:r>
      <w:r w:rsidR="00203ADF">
        <w:rPr>
          <w:rFonts w:ascii="Times New Roman" w:eastAsia="Calibri" w:hAnsi="Times New Roman" w:cs="Times New Roman"/>
          <w:color w:val="000000" w:themeColor="text1"/>
          <w:szCs w:val="22"/>
        </w:rPr>
        <w:t xml:space="preserve">ington, Oregon, and California). </w:t>
      </w:r>
      <w:r w:rsidR="00203ADF" w:rsidRPr="00E13DD8">
        <w:rPr>
          <w:rFonts w:ascii="Times New Roman" w:eastAsia="Calibri" w:hAnsi="Times New Roman" w:cs="Times New Roman"/>
          <w:color w:val="000000" w:themeColor="text1"/>
          <w:szCs w:val="22"/>
        </w:rPr>
        <w:t xml:space="preserve">With the implementation of the </w:t>
      </w:r>
      <w:r w:rsidR="00203ADF" w:rsidRPr="00E13DD8">
        <w:rPr>
          <w:rFonts w:ascii="Times New Roman" w:eastAsia="Calibri" w:hAnsi="Times New Roman" w:cs="Times New Roman"/>
          <w:color w:val="000000" w:themeColor="text1"/>
          <w:szCs w:val="22"/>
        </w:rPr>
        <w:lastRenderedPageBreak/>
        <w:t>M</w:t>
      </w:r>
      <w:r w:rsidR="00203ADF">
        <w:rPr>
          <w:rFonts w:ascii="Times New Roman" w:eastAsia="Calibri" w:hAnsi="Times New Roman" w:cs="Times New Roman"/>
          <w:color w:val="000000" w:themeColor="text1"/>
          <w:szCs w:val="22"/>
        </w:rPr>
        <w:t>agnuson-</w:t>
      </w:r>
      <w:r w:rsidR="00203ADF" w:rsidRPr="00E13DD8">
        <w:rPr>
          <w:rFonts w:ascii="Times New Roman" w:eastAsia="Calibri" w:hAnsi="Times New Roman" w:cs="Times New Roman"/>
          <w:color w:val="000000" w:themeColor="text1"/>
          <w:szCs w:val="22"/>
        </w:rPr>
        <w:t>S</w:t>
      </w:r>
      <w:r w:rsidR="00203ADF">
        <w:rPr>
          <w:rFonts w:ascii="Times New Roman" w:eastAsia="Calibri" w:hAnsi="Times New Roman" w:cs="Times New Roman"/>
          <w:color w:val="000000" w:themeColor="text1"/>
          <w:szCs w:val="22"/>
        </w:rPr>
        <w:t xml:space="preserve">tevens </w:t>
      </w:r>
      <w:r w:rsidR="009A7FA3">
        <w:rPr>
          <w:rFonts w:ascii="Times New Roman" w:eastAsia="Calibri" w:hAnsi="Times New Roman" w:cs="Times New Roman"/>
          <w:color w:val="000000" w:themeColor="text1"/>
          <w:szCs w:val="22"/>
        </w:rPr>
        <w:t xml:space="preserve">Conservation and Management </w:t>
      </w:r>
      <w:r w:rsidR="00203ADF" w:rsidRPr="00E13DD8">
        <w:rPr>
          <w:rFonts w:ascii="Times New Roman" w:eastAsia="Calibri" w:hAnsi="Times New Roman" w:cs="Times New Roman"/>
          <w:color w:val="000000" w:themeColor="text1"/>
          <w:szCs w:val="22"/>
        </w:rPr>
        <w:t>A</w:t>
      </w:r>
      <w:r w:rsidR="00203ADF">
        <w:rPr>
          <w:rFonts w:ascii="Times New Roman" w:eastAsia="Calibri" w:hAnsi="Times New Roman" w:cs="Times New Roman"/>
          <w:color w:val="000000" w:themeColor="text1"/>
          <w:szCs w:val="22"/>
        </w:rPr>
        <w:t>ct</w:t>
      </w:r>
      <w:r w:rsidR="00203ADF" w:rsidRPr="00E13DD8">
        <w:rPr>
          <w:rFonts w:ascii="Times New Roman" w:eastAsia="Calibri" w:hAnsi="Times New Roman" w:cs="Times New Roman"/>
          <w:color w:val="000000" w:themeColor="text1"/>
          <w:szCs w:val="22"/>
        </w:rPr>
        <w:t xml:space="preserve"> </w:t>
      </w:r>
      <w:r w:rsidR="009A7FA3">
        <w:rPr>
          <w:rFonts w:ascii="Times New Roman" w:eastAsia="Calibri" w:hAnsi="Times New Roman" w:cs="Times New Roman"/>
          <w:color w:val="000000" w:themeColor="text1"/>
          <w:szCs w:val="22"/>
        </w:rPr>
        <w:t xml:space="preserve">in 1976 </w:t>
      </w:r>
      <w:r w:rsidR="00203ADF" w:rsidRPr="00E13DD8">
        <w:rPr>
          <w:rFonts w:ascii="Times New Roman" w:eastAsia="Calibri" w:hAnsi="Times New Roman" w:cs="Times New Roman"/>
          <w:color w:val="000000" w:themeColor="text1"/>
          <w:szCs w:val="22"/>
        </w:rPr>
        <w:t>and the creation of the Pacific Fisheries Management Council (PFMC) Groundfish Fishery Management Plan</w:t>
      </w:r>
      <w:r w:rsidR="0050481A">
        <w:rPr>
          <w:rFonts w:ascii="Times New Roman" w:eastAsia="Calibri" w:hAnsi="Times New Roman" w:cs="Times New Roman"/>
          <w:color w:val="000000" w:themeColor="text1"/>
          <w:szCs w:val="22"/>
        </w:rPr>
        <w:t xml:space="preserve"> in 19</w:t>
      </w:r>
      <w:r w:rsidR="009A7FA3">
        <w:rPr>
          <w:rFonts w:ascii="Times New Roman" w:eastAsia="Calibri" w:hAnsi="Times New Roman" w:cs="Times New Roman"/>
          <w:color w:val="000000" w:themeColor="text1"/>
          <w:szCs w:val="22"/>
        </w:rPr>
        <w:t>82</w:t>
      </w:r>
      <w:r w:rsidR="00203ADF" w:rsidRPr="00E13DD8">
        <w:rPr>
          <w:rFonts w:ascii="Times New Roman" w:eastAsia="Calibri" w:hAnsi="Times New Roman" w:cs="Times New Roman"/>
          <w:color w:val="000000" w:themeColor="text1"/>
          <w:szCs w:val="22"/>
        </w:rPr>
        <w:t xml:space="preserve">, management authority switched </w:t>
      </w:r>
      <w:r w:rsidR="00EB5CEF">
        <w:rPr>
          <w:rFonts w:ascii="Times New Roman" w:eastAsia="Calibri" w:hAnsi="Times New Roman" w:cs="Times New Roman"/>
          <w:color w:val="000000" w:themeColor="text1"/>
          <w:szCs w:val="22"/>
        </w:rPr>
        <w:t>to</w:t>
      </w:r>
      <w:r w:rsidR="00203ADF" w:rsidRPr="00E13DD8">
        <w:rPr>
          <w:rFonts w:ascii="Times New Roman" w:eastAsia="Calibri" w:hAnsi="Times New Roman" w:cs="Times New Roman"/>
          <w:color w:val="000000" w:themeColor="text1"/>
          <w:szCs w:val="22"/>
        </w:rPr>
        <w:t xml:space="preserve"> the </w:t>
      </w:r>
      <w:r w:rsidR="002A4096">
        <w:rPr>
          <w:rFonts w:ascii="Times New Roman" w:eastAsia="Calibri" w:hAnsi="Times New Roman" w:cs="Times New Roman"/>
          <w:color w:val="000000" w:themeColor="text1"/>
          <w:szCs w:val="22"/>
        </w:rPr>
        <w:t xml:space="preserve">PFMC, a stakeholder body that formally advises the </w:t>
      </w:r>
      <w:r w:rsidR="00203ADF" w:rsidRPr="00E13DD8">
        <w:rPr>
          <w:rFonts w:ascii="Times New Roman" w:eastAsia="Calibri" w:hAnsi="Times New Roman" w:cs="Times New Roman"/>
          <w:color w:val="000000" w:themeColor="text1"/>
          <w:szCs w:val="22"/>
        </w:rPr>
        <w:t>federal government</w:t>
      </w:r>
      <w:r w:rsidR="002A4096">
        <w:rPr>
          <w:rFonts w:ascii="Times New Roman" w:eastAsia="Calibri" w:hAnsi="Times New Roman" w:cs="Times New Roman"/>
          <w:color w:val="000000" w:themeColor="text1"/>
          <w:szCs w:val="22"/>
        </w:rPr>
        <w:t>. The</w:t>
      </w:r>
      <w:r w:rsidR="00203ADF" w:rsidRPr="00E13DD8">
        <w:rPr>
          <w:rFonts w:ascii="Times New Roman" w:eastAsia="Calibri" w:hAnsi="Times New Roman" w:cs="Times New Roman"/>
          <w:color w:val="000000" w:themeColor="text1"/>
          <w:szCs w:val="22"/>
        </w:rPr>
        <w:t xml:space="preserve"> first federal regulation </w:t>
      </w:r>
      <w:r w:rsidR="002A4096">
        <w:rPr>
          <w:rFonts w:ascii="Times New Roman" w:eastAsia="Calibri" w:hAnsi="Times New Roman" w:cs="Times New Roman"/>
          <w:color w:val="000000" w:themeColor="text1"/>
          <w:szCs w:val="22"/>
        </w:rPr>
        <w:t>of</w:t>
      </w:r>
      <w:r w:rsidR="00203ADF" w:rsidRPr="00E13DD8">
        <w:rPr>
          <w:rFonts w:ascii="Times New Roman" w:eastAsia="Calibri" w:hAnsi="Times New Roman" w:cs="Times New Roman"/>
          <w:color w:val="000000" w:themeColor="text1"/>
          <w:szCs w:val="22"/>
        </w:rPr>
        <w:t xml:space="preserve"> coast-wide trip limits</w:t>
      </w:r>
      <w:r w:rsidR="002A4096">
        <w:rPr>
          <w:rFonts w:ascii="Times New Roman" w:eastAsia="Calibri" w:hAnsi="Times New Roman" w:cs="Times New Roman"/>
          <w:color w:val="000000" w:themeColor="text1"/>
          <w:szCs w:val="22"/>
        </w:rPr>
        <w:t xml:space="preserve"> was implemented in October of 1982</w:t>
      </w:r>
      <w:r w:rsidR="00203ADF" w:rsidRPr="00E13DD8">
        <w:rPr>
          <w:rFonts w:ascii="Times New Roman" w:eastAsia="Calibri" w:hAnsi="Times New Roman" w:cs="Times New Roman"/>
          <w:color w:val="000000" w:themeColor="text1"/>
          <w:szCs w:val="22"/>
        </w:rPr>
        <w:t xml:space="preserve">. </w:t>
      </w:r>
    </w:p>
    <w:p w14:paraId="2EDA7156" w14:textId="71172324" w:rsidR="00E13DD8" w:rsidRPr="00E13DD8" w:rsidRDefault="00E13DD8" w:rsidP="00145B28">
      <w:pPr>
        <w:spacing w:line="240" w:lineRule="auto"/>
        <w:ind w:firstLine="720"/>
        <w:jc w:val="both"/>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 xml:space="preserve">Today, sablefish is one of the most valuable </w:t>
      </w:r>
      <w:r w:rsidR="00C862B5">
        <w:rPr>
          <w:rFonts w:ascii="Times New Roman" w:eastAsia="Calibri" w:hAnsi="Times New Roman" w:cs="Times New Roman"/>
          <w:color w:val="000000" w:themeColor="text1"/>
          <w:szCs w:val="22"/>
        </w:rPr>
        <w:t xml:space="preserve">groundfish </w:t>
      </w:r>
      <w:r w:rsidR="003E0404">
        <w:rPr>
          <w:rFonts w:ascii="Times New Roman" w:eastAsia="Calibri" w:hAnsi="Times New Roman" w:cs="Times New Roman"/>
          <w:color w:val="000000" w:themeColor="text1"/>
          <w:szCs w:val="22"/>
        </w:rPr>
        <w:t>stocks</w:t>
      </w:r>
      <w:r w:rsidR="00935CD5">
        <w:rPr>
          <w:rFonts w:ascii="Times New Roman" w:eastAsia="Calibri" w:hAnsi="Times New Roman" w:cs="Times New Roman"/>
          <w:color w:val="000000" w:themeColor="text1"/>
          <w:szCs w:val="22"/>
        </w:rPr>
        <w:t xml:space="preserve"> managed by the PFMC</w:t>
      </w:r>
      <w:r w:rsidR="003C2F10">
        <w:rPr>
          <w:rFonts w:ascii="Times New Roman" w:eastAsia="Calibri" w:hAnsi="Times New Roman" w:cs="Times New Roman"/>
          <w:color w:val="000000" w:themeColor="text1"/>
          <w:szCs w:val="22"/>
        </w:rPr>
        <w:t xml:space="preserve">, with </w:t>
      </w:r>
      <w:r w:rsidR="00925CE4">
        <w:rPr>
          <w:rFonts w:ascii="Times New Roman" w:eastAsia="Calibri" w:hAnsi="Times New Roman" w:cs="Times New Roman"/>
          <w:color w:val="000000" w:themeColor="text1"/>
          <w:szCs w:val="22"/>
        </w:rPr>
        <w:t>gross revenue</w:t>
      </w:r>
      <w:r w:rsidR="003C2F10">
        <w:rPr>
          <w:rFonts w:ascii="Times New Roman" w:eastAsia="Calibri" w:hAnsi="Times New Roman" w:cs="Times New Roman"/>
          <w:color w:val="000000" w:themeColor="text1"/>
          <w:szCs w:val="22"/>
        </w:rPr>
        <w:t xml:space="preserve"> reaching $44.7 million </w:t>
      </w:r>
      <w:r w:rsidR="004F1C07">
        <w:rPr>
          <w:rFonts w:ascii="Times New Roman" w:eastAsia="Calibri" w:hAnsi="Times New Roman" w:cs="Times New Roman"/>
          <w:color w:val="000000" w:themeColor="text1"/>
          <w:szCs w:val="22"/>
        </w:rPr>
        <w:t xml:space="preserve">(USD) </w:t>
      </w:r>
      <w:r w:rsidR="003C2F10">
        <w:rPr>
          <w:rFonts w:ascii="Times New Roman" w:eastAsia="Calibri" w:hAnsi="Times New Roman" w:cs="Times New Roman"/>
          <w:color w:val="000000" w:themeColor="text1"/>
          <w:szCs w:val="22"/>
        </w:rPr>
        <w:t>in 2011 (PacFIN, 2015)</w:t>
      </w:r>
      <w:r>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 xml:space="preserve">Sablefish are also caught within areas managed by </w:t>
      </w:r>
      <w:r w:rsidR="00225251">
        <w:rPr>
          <w:rFonts w:ascii="Times New Roman" w:eastAsia="Calibri" w:hAnsi="Times New Roman" w:cs="Times New Roman"/>
          <w:color w:val="000000" w:themeColor="text1"/>
          <w:szCs w:val="22"/>
        </w:rPr>
        <w:t xml:space="preserve">the Department of Fisheries and Oceans Canada and </w:t>
      </w:r>
      <w:r w:rsidR="00CE6DD8">
        <w:rPr>
          <w:rFonts w:ascii="Times New Roman" w:eastAsia="Calibri" w:hAnsi="Times New Roman" w:cs="Times New Roman"/>
          <w:color w:val="000000" w:themeColor="text1"/>
          <w:szCs w:val="22"/>
        </w:rPr>
        <w:t>the North Pacific Fisheries Management Council</w:t>
      </w:r>
      <w:r w:rsidR="00C862B5">
        <w:rPr>
          <w:rFonts w:ascii="Times New Roman" w:eastAsia="Calibri" w:hAnsi="Times New Roman" w:cs="Times New Roman"/>
          <w:color w:val="000000" w:themeColor="text1"/>
          <w:szCs w:val="22"/>
        </w:rPr>
        <w:t xml:space="preserve">, but the research presented here focuses on the </w:t>
      </w:r>
      <w:r w:rsidR="00CC5C3F">
        <w:rPr>
          <w:rFonts w:ascii="Times New Roman" w:eastAsia="Calibri" w:hAnsi="Times New Roman" w:cs="Times New Roman"/>
          <w:color w:val="000000" w:themeColor="text1"/>
          <w:szCs w:val="22"/>
        </w:rPr>
        <w:t>portion</w:t>
      </w:r>
      <w:r w:rsidR="001C5B88">
        <w:rPr>
          <w:rFonts w:ascii="Times New Roman" w:eastAsia="Calibri" w:hAnsi="Times New Roman" w:cs="Times New Roman"/>
          <w:color w:val="000000" w:themeColor="text1"/>
          <w:szCs w:val="22"/>
        </w:rPr>
        <w:t xml:space="preserve"> of the </w:t>
      </w:r>
      <w:r w:rsidR="00C862B5">
        <w:rPr>
          <w:rFonts w:ascii="Times New Roman" w:eastAsia="Calibri" w:hAnsi="Times New Roman" w:cs="Times New Roman"/>
          <w:color w:val="000000" w:themeColor="text1"/>
          <w:szCs w:val="22"/>
        </w:rPr>
        <w:t xml:space="preserve">fishery </w:t>
      </w:r>
      <w:r w:rsidR="001C5B88">
        <w:rPr>
          <w:rFonts w:ascii="Times New Roman" w:eastAsia="Calibri" w:hAnsi="Times New Roman" w:cs="Times New Roman"/>
          <w:color w:val="000000" w:themeColor="text1"/>
          <w:szCs w:val="22"/>
        </w:rPr>
        <w:t>that operate</w:t>
      </w:r>
      <w:r w:rsidR="00CC5C3F">
        <w:rPr>
          <w:rFonts w:ascii="Times New Roman" w:eastAsia="Calibri" w:hAnsi="Times New Roman" w:cs="Times New Roman"/>
          <w:color w:val="000000" w:themeColor="text1"/>
          <w:szCs w:val="22"/>
        </w:rPr>
        <w:t>s</w:t>
      </w:r>
      <w:r w:rsidR="001C5B88">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under the PFMC (i.e., Washington to California)</w:t>
      </w:r>
      <w:r w:rsidR="00CE6DD8">
        <w:rPr>
          <w:rFonts w:ascii="Times New Roman" w:eastAsia="Calibri" w:hAnsi="Times New Roman" w:cs="Times New Roman"/>
          <w:color w:val="000000" w:themeColor="text1"/>
          <w:szCs w:val="22"/>
        </w:rPr>
        <w:t xml:space="preserve">. </w:t>
      </w:r>
      <w:r w:rsidR="0050481A">
        <w:rPr>
          <w:rFonts w:ascii="Times New Roman" w:eastAsia="Calibri" w:hAnsi="Times New Roman" w:cs="Times New Roman"/>
          <w:color w:val="000000" w:themeColor="text1"/>
          <w:szCs w:val="22"/>
        </w:rPr>
        <w:t>S</w:t>
      </w:r>
      <w:r w:rsidR="00385E7E">
        <w:rPr>
          <w:rFonts w:ascii="Times New Roman" w:eastAsia="Calibri" w:hAnsi="Times New Roman" w:cs="Times New Roman"/>
          <w:color w:val="000000" w:themeColor="text1"/>
          <w:szCs w:val="22"/>
        </w:rPr>
        <w:t>ablefish</w:t>
      </w:r>
      <w:r w:rsidR="00CC5C3F" w:rsidRPr="00E13DD8">
        <w:rPr>
          <w:rFonts w:ascii="Times New Roman" w:eastAsia="Calibri" w:hAnsi="Times New Roman" w:cs="Times New Roman"/>
          <w:color w:val="000000" w:themeColor="text1"/>
          <w:szCs w:val="22"/>
        </w:rPr>
        <w:t xml:space="preserve"> were mainly caught using hook and line</w:t>
      </w:r>
      <w:r w:rsidR="0050481A" w:rsidRPr="0050481A">
        <w:rPr>
          <w:rFonts w:ascii="Times New Roman" w:eastAsia="Calibri" w:hAnsi="Times New Roman" w:cs="Times New Roman"/>
          <w:color w:val="000000" w:themeColor="text1"/>
          <w:szCs w:val="22"/>
        </w:rPr>
        <w:t xml:space="preserve"> </w:t>
      </w:r>
      <w:r w:rsidR="0050481A">
        <w:rPr>
          <w:rFonts w:ascii="Times New Roman" w:eastAsia="Calibri" w:hAnsi="Times New Roman" w:cs="Times New Roman"/>
          <w:color w:val="000000" w:themeColor="text1"/>
          <w:szCs w:val="22"/>
        </w:rPr>
        <w:t>p</w:t>
      </w:r>
      <w:r w:rsidR="0050481A" w:rsidRPr="00E13DD8">
        <w:rPr>
          <w:rFonts w:ascii="Times New Roman" w:eastAsia="Calibri" w:hAnsi="Times New Roman" w:cs="Times New Roman"/>
          <w:color w:val="000000" w:themeColor="text1"/>
          <w:szCs w:val="22"/>
        </w:rPr>
        <w:t>rior to 1960</w:t>
      </w:r>
      <w:r w:rsidR="00CC5C3F" w:rsidRPr="00E13DD8">
        <w:rPr>
          <w:rFonts w:ascii="Times New Roman" w:eastAsia="Calibri" w:hAnsi="Times New Roman" w:cs="Times New Roman"/>
          <w:color w:val="000000" w:themeColor="text1"/>
          <w:szCs w:val="22"/>
        </w:rPr>
        <w:t xml:space="preserve">, </w:t>
      </w:r>
      <w:r w:rsidR="00CC5C3F">
        <w:rPr>
          <w:rFonts w:ascii="Times New Roman" w:eastAsia="Calibri" w:hAnsi="Times New Roman" w:cs="Times New Roman"/>
          <w:color w:val="000000" w:themeColor="text1"/>
          <w:szCs w:val="22"/>
        </w:rPr>
        <w:t>with the f</w:t>
      </w:r>
      <w:r w:rsidR="0029598D">
        <w:rPr>
          <w:rFonts w:ascii="Times New Roman" w:eastAsia="Calibri" w:hAnsi="Times New Roman" w:cs="Times New Roman"/>
          <w:color w:val="000000" w:themeColor="text1"/>
          <w:szCs w:val="22"/>
        </w:rPr>
        <w:t xml:space="preserve">irst records </w:t>
      </w:r>
      <w:r w:rsidR="0050481A">
        <w:rPr>
          <w:rFonts w:ascii="Times New Roman" w:eastAsia="Calibri" w:hAnsi="Times New Roman" w:cs="Times New Roman"/>
          <w:color w:val="000000" w:themeColor="text1"/>
          <w:szCs w:val="22"/>
        </w:rPr>
        <w:t xml:space="preserve">of catch </w:t>
      </w:r>
      <w:r w:rsidR="0029598D">
        <w:rPr>
          <w:rFonts w:ascii="Times New Roman" w:eastAsia="Calibri" w:hAnsi="Times New Roman" w:cs="Times New Roman"/>
          <w:color w:val="000000" w:themeColor="text1"/>
          <w:szCs w:val="22"/>
        </w:rPr>
        <w:t xml:space="preserve">documented by the </w:t>
      </w:r>
      <w:r w:rsidRPr="00E13DD8">
        <w:rPr>
          <w:rFonts w:ascii="Times New Roman" w:eastAsia="Calibri" w:hAnsi="Times New Roman" w:cs="Times New Roman"/>
          <w:color w:val="000000" w:themeColor="text1"/>
          <w:szCs w:val="22"/>
        </w:rPr>
        <w:t>California Department of Fish and Wildlife in 1908 (</w:t>
      </w:r>
      <w:r w:rsidR="00AA14B9">
        <w:rPr>
          <w:rFonts w:ascii="Times New Roman" w:eastAsia="Calibri" w:hAnsi="Times New Roman" w:cs="Times New Roman"/>
          <w:color w:val="000000" w:themeColor="text1"/>
          <w:szCs w:val="22"/>
        </w:rPr>
        <w:fldChar w:fldCharType="begin"/>
      </w:r>
      <w:r w:rsidR="00AA14B9">
        <w:rPr>
          <w:rFonts w:ascii="Times New Roman" w:eastAsia="Calibri" w:hAnsi="Times New Roman" w:cs="Times New Roman"/>
          <w:color w:val="000000" w:themeColor="text1"/>
          <w:szCs w:val="22"/>
        </w:rPr>
        <w:instrText xml:space="preserve"> REF _Ref440542720 \h </w:instrText>
      </w:r>
      <w:r w:rsidR="00145B28">
        <w:rPr>
          <w:rFonts w:ascii="Times New Roman" w:eastAsia="Calibri" w:hAnsi="Times New Roman" w:cs="Times New Roman"/>
          <w:color w:val="000000" w:themeColor="text1"/>
          <w:szCs w:val="22"/>
        </w:rPr>
        <w:instrText xml:space="preserve"> \* MERGEFORMAT </w:instrText>
      </w:r>
      <w:r w:rsidR="00AA14B9">
        <w:rPr>
          <w:rFonts w:ascii="Times New Roman" w:eastAsia="Calibri" w:hAnsi="Times New Roman" w:cs="Times New Roman"/>
          <w:color w:val="000000" w:themeColor="text1"/>
          <w:szCs w:val="22"/>
        </w:rPr>
      </w:r>
      <w:r w:rsidR="00AA14B9">
        <w:rPr>
          <w:rFonts w:ascii="Times New Roman" w:eastAsia="Calibri" w:hAnsi="Times New Roman" w:cs="Times New Roman"/>
          <w:color w:val="000000" w:themeColor="text1"/>
          <w:szCs w:val="22"/>
        </w:rPr>
        <w:fldChar w:fldCharType="separate"/>
      </w:r>
      <w:r w:rsidR="00B20EC7" w:rsidRPr="00543854">
        <w:rPr>
          <w:rFonts w:ascii="Times New Roman" w:hAnsi="Times New Roman" w:cs="Times New Roman"/>
          <w:color w:val="000000" w:themeColor="text1"/>
          <w:szCs w:val="22"/>
        </w:rPr>
        <w:t xml:space="preserve">Figure </w:t>
      </w:r>
      <w:r w:rsidR="00B20EC7">
        <w:rPr>
          <w:rFonts w:ascii="Times New Roman" w:hAnsi="Times New Roman" w:cs="Times New Roman"/>
          <w:noProof/>
          <w:color w:val="000000" w:themeColor="text1"/>
          <w:szCs w:val="22"/>
        </w:rPr>
        <w:t>1</w:t>
      </w:r>
      <w:r w:rsidR="00AA14B9">
        <w:rPr>
          <w:rFonts w:ascii="Times New Roman" w:eastAsia="Calibri" w:hAnsi="Times New Roman" w:cs="Times New Roman"/>
          <w:color w:val="000000" w:themeColor="text1"/>
          <w:szCs w:val="22"/>
        </w:rPr>
        <w:fldChar w:fldCharType="end"/>
      </w:r>
      <w:r w:rsidR="003E0404">
        <w:rPr>
          <w:rFonts w:ascii="Times New Roman" w:eastAsia="Calibri" w:hAnsi="Times New Roman" w:cs="Times New Roman"/>
          <w:color w:val="000000" w:themeColor="text1"/>
          <w:szCs w:val="22"/>
        </w:rPr>
        <w:t xml:space="preserve">; </w:t>
      </w:r>
      <w:r w:rsidR="003E0404" w:rsidRPr="00E13DD8">
        <w:rPr>
          <w:rFonts w:ascii="Times New Roman" w:eastAsia="Calibri" w:hAnsi="Times New Roman" w:cs="Times New Roman"/>
          <w:color w:val="000000" w:themeColor="text1"/>
          <w:szCs w:val="22"/>
        </w:rPr>
        <w:t xml:space="preserve">Johnson </w:t>
      </w:r>
      <w:r w:rsidR="003E0404" w:rsidRPr="00203ADF">
        <w:rPr>
          <w:rFonts w:ascii="Times New Roman" w:eastAsia="Calibri" w:hAnsi="Times New Roman" w:cs="Times New Roman"/>
          <w:i/>
          <w:color w:val="000000" w:themeColor="text1"/>
          <w:szCs w:val="22"/>
        </w:rPr>
        <w:t>et al</w:t>
      </w:r>
      <w:r w:rsidR="003E0404" w:rsidRPr="00E13DD8">
        <w:rPr>
          <w:rFonts w:ascii="Times New Roman" w:eastAsia="Calibri" w:hAnsi="Times New Roman" w:cs="Times New Roman"/>
          <w:color w:val="000000" w:themeColor="text1"/>
          <w:szCs w:val="22"/>
        </w:rPr>
        <w:t>., 2015</w:t>
      </w:r>
      <w:r w:rsidRPr="00E13DD8">
        <w:rPr>
          <w:rFonts w:ascii="Times New Roman" w:eastAsia="Calibri" w:hAnsi="Times New Roman" w:cs="Times New Roman"/>
          <w:color w:val="000000" w:themeColor="text1"/>
          <w:szCs w:val="22"/>
        </w:rPr>
        <w:t xml:space="preserve">). </w:t>
      </w:r>
      <w:r w:rsidR="00385E7E">
        <w:rPr>
          <w:rFonts w:ascii="Times New Roman" w:eastAsia="Calibri" w:hAnsi="Times New Roman" w:cs="Times New Roman"/>
          <w:color w:val="000000" w:themeColor="text1"/>
          <w:szCs w:val="22"/>
        </w:rPr>
        <w:t>L</w:t>
      </w:r>
      <w:r w:rsidRPr="00E13DD8">
        <w:rPr>
          <w:rFonts w:ascii="Times New Roman" w:eastAsia="Calibri" w:hAnsi="Times New Roman" w:cs="Times New Roman"/>
          <w:color w:val="000000" w:themeColor="text1"/>
          <w:szCs w:val="22"/>
        </w:rPr>
        <w:t xml:space="preserve">ater increases </w:t>
      </w:r>
      <w:r w:rsidR="0050481A">
        <w:rPr>
          <w:rFonts w:ascii="Times New Roman" w:eastAsia="Calibri" w:hAnsi="Times New Roman" w:cs="Times New Roman"/>
          <w:color w:val="000000" w:themeColor="text1"/>
          <w:szCs w:val="22"/>
        </w:rPr>
        <w:t xml:space="preserve">in </w:t>
      </w:r>
      <w:r w:rsidR="009A7FA3">
        <w:rPr>
          <w:rFonts w:ascii="Times New Roman" w:eastAsia="Calibri" w:hAnsi="Times New Roman" w:cs="Times New Roman"/>
          <w:color w:val="000000" w:themeColor="text1"/>
          <w:szCs w:val="22"/>
        </w:rPr>
        <w:t xml:space="preserve">landings </w:t>
      </w:r>
      <w:r w:rsidRPr="00E13DD8">
        <w:rPr>
          <w:rFonts w:ascii="Times New Roman" w:eastAsia="Calibri" w:hAnsi="Times New Roman" w:cs="Times New Roman"/>
          <w:color w:val="000000" w:themeColor="text1"/>
          <w:szCs w:val="22"/>
        </w:rPr>
        <w:t xml:space="preserve">in the 1970s </w:t>
      </w:r>
      <w:r w:rsidR="00385E7E">
        <w:rPr>
          <w:rFonts w:ascii="Times New Roman" w:eastAsia="Calibri" w:hAnsi="Times New Roman" w:cs="Times New Roman"/>
          <w:color w:val="000000" w:themeColor="text1"/>
          <w:szCs w:val="22"/>
        </w:rPr>
        <w:t xml:space="preserve">are </w:t>
      </w:r>
      <w:r w:rsidRPr="00E13DD8">
        <w:rPr>
          <w:rFonts w:ascii="Times New Roman" w:eastAsia="Calibri" w:hAnsi="Times New Roman" w:cs="Times New Roman"/>
          <w:color w:val="000000" w:themeColor="text1"/>
          <w:szCs w:val="22"/>
        </w:rPr>
        <w:t>attributed to the development of a pot fishery</w:t>
      </w:r>
      <w:r w:rsidR="00385E7E">
        <w:rPr>
          <w:rFonts w:ascii="Times New Roman" w:eastAsia="Calibri" w:hAnsi="Times New Roman" w:cs="Times New Roman"/>
          <w:color w:val="000000" w:themeColor="text1"/>
          <w:szCs w:val="22"/>
        </w:rPr>
        <w:t xml:space="preserve"> comprised of mainly foreign vessels</w:t>
      </w:r>
      <w:r w:rsidRPr="00E13DD8">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T</w:t>
      </w:r>
      <w:r w:rsidR="0029598D">
        <w:rPr>
          <w:rFonts w:ascii="Times New Roman" w:eastAsia="Calibri" w:hAnsi="Times New Roman" w:cs="Times New Roman"/>
          <w:color w:val="000000" w:themeColor="text1"/>
          <w:szCs w:val="22"/>
        </w:rPr>
        <w:t>rawl landings also date back to the early 1900s, though</w:t>
      </w:r>
      <w:r w:rsidR="00CE6DD8">
        <w:rPr>
          <w:rFonts w:ascii="Times New Roman" w:eastAsia="Calibri" w:hAnsi="Times New Roman" w:cs="Times New Roman"/>
          <w:color w:val="000000" w:themeColor="text1"/>
          <w:szCs w:val="22"/>
        </w:rPr>
        <w:t xml:space="preserve"> trawl</w:t>
      </w:r>
      <w:r w:rsidR="0029598D">
        <w:rPr>
          <w:rFonts w:ascii="Times New Roman" w:eastAsia="Calibri" w:hAnsi="Times New Roman" w:cs="Times New Roman"/>
          <w:color w:val="000000" w:themeColor="text1"/>
          <w:szCs w:val="22"/>
        </w:rPr>
        <w:t xml:space="preserve"> landings rarely exceeded those by hook and line until the late 1960s.</w:t>
      </w:r>
    </w:p>
    <w:p w14:paraId="4453A5AB" w14:textId="1CD263D4" w:rsidR="00CE6DD8" w:rsidRDefault="00CE6DD8"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w:t>
      </w:r>
      <w:r w:rsidR="0067564D">
        <w:rPr>
          <w:rFonts w:ascii="Times New Roman" w:eastAsia="Calibri" w:hAnsi="Times New Roman" w:cs="Times New Roman"/>
          <w:color w:val="000000" w:themeColor="text1"/>
          <w:szCs w:val="22"/>
        </w:rPr>
        <w:t xml:space="preserve">sablefish </w:t>
      </w:r>
      <w:r>
        <w:rPr>
          <w:rFonts w:ascii="Times New Roman" w:eastAsia="Calibri" w:hAnsi="Times New Roman" w:cs="Times New Roman"/>
          <w:color w:val="000000" w:themeColor="text1"/>
          <w:szCs w:val="22"/>
        </w:rPr>
        <w:t xml:space="preserve">fishery encounters </w:t>
      </w:r>
      <w:r w:rsidR="00284FA7">
        <w:rPr>
          <w:rFonts w:ascii="Times New Roman" w:eastAsia="Calibri" w:hAnsi="Times New Roman" w:cs="Times New Roman"/>
          <w:color w:val="000000" w:themeColor="text1"/>
          <w:szCs w:val="22"/>
        </w:rPr>
        <w:t xml:space="preserve">several </w:t>
      </w:r>
      <w:r>
        <w:rPr>
          <w:rFonts w:ascii="Times New Roman" w:eastAsia="Calibri" w:hAnsi="Times New Roman" w:cs="Times New Roman"/>
          <w:color w:val="000000" w:themeColor="text1"/>
          <w:szCs w:val="22"/>
        </w:rPr>
        <w:t xml:space="preserve">bycatch species, including </w:t>
      </w:r>
      <w:r w:rsidRPr="00E13DD8">
        <w:rPr>
          <w:rFonts w:ascii="Times New Roman" w:eastAsia="Calibri" w:hAnsi="Times New Roman" w:cs="Times New Roman"/>
          <w:color w:val="000000" w:themeColor="text1"/>
          <w:szCs w:val="22"/>
        </w:rPr>
        <w:t>Pacific halibut (</w:t>
      </w:r>
      <w:r w:rsidRPr="00CE6DD8">
        <w:rPr>
          <w:rFonts w:ascii="Times New Roman" w:eastAsia="Calibri" w:hAnsi="Times New Roman" w:cs="Times New Roman"/>
          <w:i/>
          <w:color w:val="000000" w:themeColor="text1"/>
          <w:szCs w:val="22"/>
        </w:rPr>
        <w:t>Hippoglossus stenolepis</w:t>
      </w:r>
      <w:r w:rsidRPr="00E13DD8">
        <w:rPr>
          <w:rFonts w:ascii="Times New Roman" w:eastAsia="Calibri" w:hAnsi="Times New Roman" w:cs="Times New Roman"/>
          <w:color w:val="000000" w:themeColor="text1"/>
          <w:szCs w:val="22"/>
        </w:rPr>
        <w:t>), an internationally managed species, and five overfished species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_Ref431013306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B20EC7" w:rsidRPr="003E70ED">
        <w:rPr>
          <w:rFonts w:ascii="Times New Roman" w:eastAsia="Calibri" w:hAnsi="Times New Roman" w:cs="Times New Roman"/>
          <w:color w:val="000000" w:themeColor="text1"/>
          <w:szCs w:val="22"/>
        </w:rPr>
        <w:t xml:space="preserve">Table </w:t>
      </w:r>
      <w:r w:rsidR="00B20EC7">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sidRPr="00E13DD8">
        <w:rPr>
          <w:rFonts w:ascii="Times New Roman" w:eastAsia="Calibri" w:hAnsi="Times New Roman" w:cs="Times New Roman"/>
          <w:color w:val="000000" w:themeColor="text1"/>
          <w:szCs w:val="22"/>
        </w:rPr>
        <w:t>):  (</w:t>
      </w:r>
      <w:r>
        <w:rPr>
          <w:rFonts w:ascii="Times New Roman" w:eastAsia="Calibri" w:hAnsi="Times New Roman" w:cs="Times New Roman"/>
          <w:color w:val="000000" w:themeColor="text1"/>
          <w:szCs w:val="22"/>
        </w:rPr>
        <w:t>1</w:t>
      </w:r>
      <w:r w:rsidRPr="00E13DD8">
        <w:rPr>
          <w:rFonts w:ascii="Times New Roman" w:eastAsia="Calibri" w:hAnsi="Times New Roman" w:cs="Times New Roman"/>
          <w:color w:val="000000" w:themeColor="text1"/>
          <w:szCs w:val="22"/>
        </w:rPr>
        <w:t xml:space="preserve">) bocaccio </w:t>
      </w:r>
      <w:r w:rsidR="00462597">
        <w:rPr>
          <w:rFonts w:ascii="Times New Roman" w:eastAsia="Calibri" w:hAnsi="Times New Roman" w:cs="Times New Roman"/>
          <w:color w:val="000000" w:themeColor="text1"/>
          <w:szCs w:val="22"/>
        </w:rPr>
        <w:t xml:space="preserve">rockfish </w:t>
      </w:r>
      <w:r w:rsidRPr="00E13DD8">
        <w:rPr>
          <w:rFonts w:ascii="Times New Roman" w:eastAsia="Calibri" w:hAnsi="Times New Roman" w:cs="Times New Roman"/>
          <w:color w:val="000000" w:themeColor="text1"/>
          <w:szCs w:val="22"/>
        </w:rPr>
        <w:t>(</w:t>
      </w:r>
      <w:r w:rsidRPr="00CE6DD8">
        <w:rPr>
          <w:rFonts w:ascii="Times New Roman" w:eastAsia="Calibri" w:hAnsi="Times New Roman" w:cs="Times New Roman"/>
          <w:i/>
          <w:color w:val="000000" w:themeColor="text1"/>
          <w:szCs w:val="22"/>
        </w:rPr>
        <w:t>S. paucispinis</w:t>
      </w:r>
      <w:r w:rsidRPr="00E13DD8">
        <w:rPr>
          <w:rFonts w:ascii="Times New Roman" w:eastAsia="Calibri" w:hAnsi="Times New Roman" w:cs="Times New Roman"/>
          <w:color w:val="000000" w:themeColor="text1"/>
          <w:szCs w:val="22"/>
        </w:rPr>
        <w:t>; Field, 2013); (</w:t>
      </w:r>
      <w:r>
        <w:rPr>
          <w:rFonts w:ascii="Times New Roman" w:eastAsia="Calibri" w:hAnsi="Times New Roman" w:cs="Times New Roman"/>
          <w:color w:val="000000" w:themeColor="text1"/>
          <w:szCs w:val="22"/>
        </w:rPr>
        <w:t>2</w:t>
      </w:r>
      <w:r w:rsidRPr="00E13DD8">
        <w:rPr>
          <w:rFonts w:ascii="Times New Roman" w:eastAsia="Calibri" w:hAnsi="Times New Roman" w:cs="Times New Roman"/>
          <w:color w:val="000000" w:themeColor="text1"/>
          <w:szCs w:val="22"/>
        </w:rPr>
        <w:t xml:space="preserve">) cowcod </w:t>
      </w:r>
      <w:r w:rsidR="00462597">
        <w:rPr>
          <w:rFonts w:ascii="Times New Roman" w:eastAsia="Calibri" w:hAnsi="Times New Roman" w:cs="Times New Roman"/>
          <w:color w:val="000000" w:themeColor="text1"/>
          <w:szCs w:val="22"/>
        </w:rPr>
        <w:t xml:space="preserve">rockfish </w:t>
      </w:r>
      <w:r w:rsidRPr="00E13DD8">
        <w:rPr>
          <w:rFonts w:ascii="Times New Roman" w:eastAsia="Calibri" w:hAnsi="Times New Roman" w:cs="Times New Roman"/>
          <w:color w:val="000000" w:themeColor="text1"/>
          <w:szCs w:val="22"/>
        </w:rPr>
        <w:t>(</w:t>
      </w:r>
      <w:r w:rsidRPr="00CE6DD8">
        <w:rPr>
          <w:rFonts w:ascii="Times New Roman" w:eastAsia="Calibri" w:hAnsi="Times New Roman" w:cs="Times New Roman"/>
          <w:i/>
          <w:color w:val="000000" w:themeColor="text1"/>
          <w:szCs w:val="22"/>
        </w:rPr>
        <w:t>S. levis</w:t>
      </w:r>
      <w:r w:rsidRPr="00E13DD8">
        <w:rPr>
          <w:rFonts w:ascii="Times New Roman" w:eastAsia="Calibri" w:hAnsi="Times New Roman" w:cs="Times New Roman"/>
          <w:color w:val="000000" w:themeColor="text1"/>
          <w:szCs w:val="22"/>
        </w:rPr>
        <w:t>; Dick and MacCall, 2014); (</w:t>
      </w:r>
      <w:r>
        <w:rPr>
          <w:rFonts w:ascii="Times New Roman" w:eastAsia="Calibri" w:hAnsi="Times New Roman" w:cs="Times New Roman"/>
          <w:color w:val="000000" w:themeColor="text1"/>
          <w:szCs w:val="22"/>
        </w:rPr>
        <w:t>3</w:t>
      </w:r>
      <w:r w:rsidRPr="00E13DD8">
        <w:rPr>
          <w:rFonts w:ascii="Times New Roman" w:eastAsia="Calibri" w:hAnsi="Times New Roman" w:cs="Times New Roman"/>
          <w:color w:val="000000" w:themeColor="text1"/>
          <w:szCs w:val="22"/>
        </w:rPr>
        <w:t>) darkblotched rockfish (</w:t>
      </w:r>
      <w:r w:rsidRPr="00CE6DD8">
        <w:rPr>
          <w:rFonts w:ascii="Times New Roman" w:eastAsia="Calibri" w:hAnsi="Times New Roman" w:cs="Times New Roman"/>
          <w:i/>
          <w:color w:val="000000" w:themeColor="text1"/>
          <w:szCs w:val="22"/>
        </w:rPr>
        <w:t>S. crameri</w:t>
      </w:r>
      <w:r w:rsidRPr="00E13DD8">
        <w:rPr>
          <w:rFonts w:ascii="Times New Roman" w:eastAsia="Calibri" w:hAnsi="Times New Roman" w:cs="Times New Roman"/>
          <w:color w:val="000000" w:themeColor="text1"/>
          <w:szCs w:val="22"/>
        </w:rPr>
        <w:t>; Gertseva and Thorson, 2013); (</w:t>
      </w:r>
      <w:r>
        <w:rPr>
          <w:rFonts w:ascii="Times New Roman" w:eastAsia="Calibri" w:hAnsi="Times New Roman" w:cs="Times New Roman"/>
          <w:color w:val="000000" w:themeColor="text1"/>
          <w:szCs w:val="22"/>
        </w:rPr>
        <w:t>4</w:t>
      </w:r>
      <w:r w:rsidRPr="00E13DD8">
        <w:rPr>
          <w:rFonts w:ascii="Times New Roman" w:eastAsia="Calibri" w:hAnsi="Times New Roman" w:cs="Times New Roman"/>
          <w:color w:val="000000" w:themeColor="text1"/>
          <w:szCs w:val="22"/>
        </w:rPr>
        <w:t xml:space="preserve">) Pacific ocean perch (POP, </w:t>
      </w:r>
      <w:r w:rsidRPr="00CE6DD8">
        <w:rPr>
          <w:rFonts w:ascii="Times New Roman" w:eastAsia="Calibri" w:hAnsi="Times New Roman" w:cs="Times New Roman"/>
          <w:i/>
          <w:color w:val="000000" w:themeColor="text1"/>
          <w:szCs w:val="22"/>
        </w:rPr>
        <w:t>S. alutus</w:t>
      </w:r>
      <w:r w:rsidRPr="00E13DD8">
        <w:rPr>
          <w:rFonts w:ascii="Times New Roman" w:eastAsia="Calibri" w:hAnsi="Times New Roman" w:cs="Times New Roman"/>
          <w:color w:val="000000" w:themeColor="text1"/>
          <w:szCs w:val="22"/>
        </w:rPr>
        <w:t>; Hamel and Ono, 2011); and (</w:t>
      </w:r>
      <w:r>
        <w:rPr>
          <w:rFonts w:ascii="Times New Roman" w:eastAsia="Calibri" w:hAnsi="Times New Roman" w:cs="Times New Roman"/>
          <w:color w:val="000000" w:themeColor="text1"/>
          <w:szCs w:val="22"/>
        </w:rPr>
        <w:t>5</w:t>
      </w:r>
      <w:r w:rsidRPr="00E13DD8">
        <w:rPr>
          <w:rFonts w:ascii="Times New Roman" w:eastAsia="Calibri" w:hAnsi="Times New Roman" w:cs="Times New Roman"/>
          <w:color w:val="000000" w:themeColor="text1"/>
          <w:szCs w:val="22"/>
        </w:rPr>
        <w:t>) yelloweye rockfish (</w:t>
      </w:r>
      <w:r w:rsidRPr="00CE6DD8">
        <w:rPr>
          <w:rFonts w:ascii="Times New Roman" w:eastAsia="Calibri" w:hAnsi="Times New Roman" w:cs="Times New Roman"/>
          <w:i/>
          <w:color w:val="000000" w:themeColor="text1"/>
          <w:szCs w:val="22"/>
        </w:rPr>
        <w:t>S. ruberrimus</w:t>
      </w:r>
      <w:r w:rsidRPr="00E13DD8">
        <w:rPr>
          <w:rFonts w:ascii="Times New Roman" w:eastAsia="Calibri" w:hAnsi="Times New Roman" w:cs="Times New Roman"/>
          <w:color w:val="000000" w:themeColor="text1"/>
          <w:szCs w:val="22"/>
        </w:rPr>
        <w:t xml:space="preserve">; Taylor and Wetzel, 2011). </w:t>
      </w:r>
      <w:r>
        <w:rPr>
          <w:rFonts w:ascii="Times New Roman" w:eastAsia="Calibri" w:hAnsi="Times New Roman" w:cs="Times New Roman"/>
          <w:color w:val="000000" w:themeColor="text1"/>
          <w:szCs w:val="22"/>
        </w:rPr>
        <w:t xml:space="preserve">Prior to 2011, discarding was allowed, thus </w:t>
      </w:r>
      <w:r w:rsidR="00225251">
        <w:rPr>
          <w:rFonts w:ascii="Times New Roman" w:eastAsia="Calibri" w:hAnsi="Times New Roman" w:cs="Times New Roman"/>
          <w:color w:val="000000" w:themeColor="text1"/>
          <w:szCs w:val="22"/>
        </w:rPr>
        <w:t xml:space="preserve">bycatch </w:t>
      </w:r>
      <w:r w:rsidR="00341BB0">
        <w:rPr>
          <w:rFonts w:ascii="Times New Roman" w:eastAsia="Calibri" w:hAnsi="Times New Roman" w:cs="Times New Roman"/>
          <w:color w:val="000000" w:themeColor="text1"/>
          <w:szCs w:val="22"/>
        </w:rPr>
        <w:t>allowable catch limits</w:t>
      </w:r>
      <w:r>
        <w:rPr>
          <w:rFonts w:ascii="Times New Roman" w:eastAsia="Calibri" w:hAnsi="Times New Roman" w:cs="Times New Roman"/>
          <w:color w:val="000000" w:themeColor="text1"/>
          <w:szCs w:val="22"/>
        </w:rPr>
        <w:t xml:space="preserve"> were non-binding. </w:t>
      </w:r>
      <w:r w:rsidR="0050481A">
        <w:rPr>
          <w:rFonts w:ascii="Times New Roman" w:eastAsia="Calibri" w:hAnsi="Times New Roman" w:cs="Times New Roman"/>
          <w:color w:val="000000" w:themeColor="text1"/>
          <w:szCs w:val="22"/>
        </w:rPr>
        <w:t>A</w:t>
      </w:r>
      <w:r w:rsidR="005E62CE">
        <w:rPr>
          <w:rFonts w:ascii="Times New Roman" w:eastAsia="Calibri" w:hAnsi="Times New Roman" w:cs="Times New Roman"/>
          <w:color w:val="000000" w:themeColor="text1"/>
          <w:szCs w:val="22"/>
        </w:rPr>
        <w:t xml:space="preserve">n ITQ program was implemented for the LE trawl groundfish fishery </w:t>
      </w:r>
      <w:r w:rsidR="0050481A">
        <w:rPr>
          <w:rFonts w:ascii="Times New Roman" w:eastAsia="Calibri" w:hAnsi="Times New Roman" w:cs="Times New Roman"/>
          <w:color w:val="000000" w:themeColor="text1"/>
          <w:szCs w:val="22"/>
        </w:rPr>
        <w:t xml:space="preserve">in 2011 </w:t>
      </w:r>
      <w:r w:rsidR="005E62CE">
        <w:rPr>
          <w:rFonts w:ascii="Times New Roman" w:eastAsia="Calibri" w:hAnsi="Times New Roman" w:cs="Times New Roman"/>
          <w:color w:val="000000" w:themeColor="text1"/>
          <w:szCs w:val="22"/>
        </w:rPr>
        <w:t>which apportioned</w:t>
      </w:r>
      <w:r w:rsidR="00225251">
        <w:rPr>
          <w:rFonts w:ascii="Times New Roman" w:eastAsia="Calibri" w:hAnsi="Times New Roman" w:cs="Times New Roman"/>
          <w:color w:val="000000" w:themeColor="text1"/>
          <w:szCs w:val="22"/>
        </w:rPr>
        <w:t xml:space="preserve"> bycatch</w:t>
      </w:r>
      <w:r w:rsidR="005E62CE">
        <w:rPr>
          <w:rFonts w:ascii="Times New Roman" w:eastAsia="Calibri" w:hAnsi="Times New Roman" w:cs="Times New Roman"/>
          <w:color w:val="000000" w:themeColor="text1"/>
          <w:szCs w:val="22"/>
        </w:rPr>
        <w:t xml:space="preserve"> TACs</w:t>
      </w:r>
      <w:r w:rsidR="00225251">
        <w:rPr>
          <w:rFonts w:ascii="Times New Roman" w:eastAsia="Calibri" w:hAnsi="Times New Roman" w:cs="Times New Roman"/>
          <w:color w:val="000000" w:themeColor="text1"/>
          <w:szCs w:val="22"/>
        </w:rPr>
        <w:t xml:space="preserve"> to individual vessels </w:t>
      </w:r>
      <w:r>
        <w:rPr>
          <w:rFonts w:ascii="Times New Roman" w:eastAsia="Calibri" w:hAnsi="Times New Roman" w:cs="Times New Roman"/>
          <w:color w:val="000000" w:themeColor="text1"/>
          <w:szCs w:val="22"/>
        </w:rPr>
        <w:t xml:space="preserve">based on </w:t>
      </w:r>
      <w:r w:rsidRPr="00E13DD8">
        <w:rPr>
          <w:rFonts w:ascii="Times New Roman" w:eastAsia="Calibri" w:hAnsi="Times New Roman" w:cs="Times New Roman"/>
          <w:color w:val="000000" w:themeColor="text1"/>
          <w:szCs w:val="22"/>
        </w:rPr>
        <w:t xml:space="preserve">bycatch rates applied to target species </w:t>
      </w:r>
      <w:r>
        <w:rPr>
          <w:rFonts w:ascii="Times New Roman" w:eastAsia="Calibri" w:hAnsi="Times New Roman" w:cs="Times New Roman"/>
          <w:color w:val="000000" w:themeColor="text1"/>
          <w:szCs w:val="22"/>
        </w:rPr>
        <w:t>TACs</w:t>
      </w:r>
      <w:r w:rsidR="005E62CE">
        <w:rPr>
          <w:rFonts w:ascii="Times New Roman" w:eastAsia="Calibri" w:hAnsi="Times New Roman" w:cs="Times New Roman"/>
          <w:color w:val="000000" w:themeColor="text1"/>
          <w:szCs w:val="22"/>
        </w:rPr>
        <w:t xml:space="preserve">, made an allowance for gear switching to any fishing gear legal within the groundfish fishery, and made all TACs binding </w:t>
      </w:r>
      <w:r w:rsidRPr="00E13DD8">
        <w:rPr>
          <w:rFonts w:ascii="Times New Roman" w:eastAsia="Calibri" w:hAnsi="Times New Roman" w:cs="Times New Roman"/>
          <w:color w:val="000000" w:themeColor="text1"/>
          <w:szCs w:val="22"/>
        </w:rPr>
        <w:t xml:space="preserve">(PFMC and NMFS, 2010). </w:t>
      </w:r>
      <w:r w:rsidR="00964C23">
        <w:rPr>
          <w:rFonts w:ascii="Times New Roman" w:eastAsia="Calibri" w:hAnsi="Times New Roman" w:cs="Times New Roman"/>
          <w:color w:val="000000" w:themeColor="text1"/>
          <w:szCs w:val="22"/>
        </w:rPr>
        <w:t xml:space="preserve">An ITQ program was simultaneously implemented for the US West Coast Pacific hake fishery, a midwater trawl fishery </w:t>
      </w:r>
      <w:r w:rsidR="009320BD">
        <w:rPr>
          <w:rFonts w:ascii="Times New Roman" w:eastAsia="Calibri" w:hAnsi="Times New Roman" w:cs="Times New Roman"/>
          <w:color w:val="000000" w:themeColor="text1"/>
          <w:szCs w:val="22"/>
        </w:rPr>
        <w:t>with shore</w:t>
      </w:r>
      <w:r w:rsidR="00964C23">
        <w:rPr>
          <w:rFonts w:ascii="Times New Roman" w:eastAsia="Calibri" w:hAnsi="Times New Roman" w:cs="Times New Roman"/>
          <w:color w:val="000000" w:themeColor="text1"/>
          <w:szCs w:val="22"/>
        </w:rPr>
        <w:t>-based, mothership, and catcher/processor sectors.</w:t>
      </w:r>
    </w:p>
    <w:p w14:paraId="736DB097" w14:textId="5567B6B2" w:rsidR="0067564D" w:rsidRDefault="00927128"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Legal gears </w:t>
      </w:r>
      <w:r w:rsidR="008328B4">
        <w:rPr>
          <w:rFonts w:ascii="Times New Roman" w:eastAsia="Calibri" w:hAnsi="Times New Roman" w:cs="Times New Roman"/>
          <w:color w:val="000000" w:themeColor="text1"/>
          <w:szCs w:val="22"/>
        </w:rPr>
        <w:t xml:space="preserve">for sablefish off the US west coast </w:t>
      </w:r>
      <w:r>
        <w:rPr>
          <w:rFonts w:ascii="Times New Roman" w:eastAsia="Calibri" w:hAnsi="Times New Roman" w:cs="Times New Roman"/>
          <w:color w:val="000000" w:themeColor="text1"/>
          <w:szCs w:val="22"/>
        </w:rPr>
        <w:t xml:space="preserve">include: (a) hook and line, or longlines, which </w:t>
      </w:r>
      <w:r w:rsidR="003122B6">
        <w:rPr>
          <w:rFonts w:ascii="Times New Roman" w:eastAsia="Calibri" w:hAnsi="Times New Roman" w:cs="Times New Roman"/>
          <w:color w:val="000000" w:themeColor="text1"/>
          <w:szCs w:val="22"/>
        </w:rPr>
        <w:t xml:space="preserve">typically </w:t>
      </w:r>
      <w:r>
        <w:rPr>
          <w:rFonts w:ascii="Times New Roman" w:eastAsia="Calibri" w:hAnsi="Times New Roman" w:cs="Times New Roman"/>
          <w:color w:val="000000" w:themeColor="text1"/>
          <w:szCs w:val="22"/>
        </w:rPr>
        <w:t xml:space="preserve">encompass </w:t>
      </w:r>
      <w:r w:rsidR="003122B6">
        <w:rPr>
          <w:rFonts w:ascii="Times New Roman" w:eastAsia="Calibri" w:hAnsi="Times New Roman" w:cs="Times New Roman"/>
          <w:color w:val="000000" w:themeColor="text1"/>
          <w:szCs w:val="22"/>
        </w:rPr>
        <w:t xml:space="preserve">a </w:t>
      </w:r>
      <w:r>
        <w:rPr>
          <w:rFonts w:ascii="Times New Roman" w:eastAsia="Calibri" w:hAnsi="Times New Roman" w:cs="Times New Roman"/>
          <w:color w:val="000000" w:themeColor="text1"/>
          <w:szCs w:val="22"/>
        </w:rPr>
        <w:t>mechanically deployed weighted mainline approximately 50 ft in length with baited hooks on shorter lines spaced every 40 in</w:t>
      </w:r>
      <w:r w:rsidR="008328B4">
        <w:rPr>
          <w:rFonts w:ascii="Times New Roman" w:eastAsia="Calibri" w:hAnsi="Times New Roman" w:cs="Times New Roman"/>
          <w:color w:val="000000" w:themeColor="text1"/>
          <w:szCs w:val="22"/>
        </w:rPr>
        <w:t xml:space="preserve">; </w:t>
      </w:r>
      <w:r w:rsidR="003122B6">
        <w:rPr>
          <w:rFonts w:ascii="Times New Roman" w:eastAsia="Calibri" w:hAnsi="Times New Roman" w:cs="Times New Roman"/>
          <w:color w:val="000000" w:themeColor="text1"/>
          <w:szCs w:val="22"/>
        </w:rPr>
        <w:t xml:space="preserve">more generally hook and line </w:t>
      </w:r>
      <w:r w:rsidR="000D1401">
        <w:rPr>
          <w:rFonts w:ascii="Times New Roman" w:eastAsia="Calibri" w:hAnsi="Times New Roman" w:cs="Times New Roman"/>
          <w:color w:val="000000" w:themeColor="text1"/>
          <w:szCs w:val="22"/>
        </w:rPr>
        <w:t>can include</w:t>
      </w:r>
      <w:r w:rsidR="003122B6">
        <w:rPr>
          <w:rFonts w:ascii="Times New Roman" w:eastAsia="Calibri" w:hAnsi="Times New Roman" w:cs="Times New Roman"/>
          <w:color w:val="000000" w:themeColor="text1"/>
          <w:szCs w:val="22"/>
        </w:rPr>
        <w:t xml:space="preserve"> one or more hooks attached to one or more stationary or mobile lines</w:t>
      </w:r>
      <w:r>
        <w:rPr>
          <w:rFonts w:ascii="Times New Roman" w:eastAsia="Calibri" w:hAnsi="Times New Roman" w:cs="Times New Roman"/>
          <w:color w:val="000000" w:themeColor="text1"/>
          <w:szCs w:val="22"/>
        </w:rPr>
        <w:t>; (b) pot, or fish traps, which are biodegradable pots typically 54 in in diameter deployed on the seafloor at 120-150 ft intervals</w:t>
      </w:r>
      <w:r w:rsidR="003122B6">
        <w:rPr>
          <w:rFonts w:ascii="Times New Roman" w:eastAsia="Calibri" w:hAnsi="Times New Roman" w:cs="Times New Roman"/>
          <w:color w:val="000000" w:themeColor="text1"/>
          <w:szCs w:val="22"/>
        </w:rPr>
        <w:t xml:space="preserve"> using a trotline; and (c) </w:t>
      </w:r>
      <w:r w:rsidR="000D1401">
        <w:rPr>
          <w:rFonts w:ascii="Times New Roman" w:eastAsia="Calibri" w:hAnsi="Times New Roman" w:cs="Times New Roman"/>
          <w:color w:val="000000" w:themeColor="text1"/>
          <w:szCs w:val="22"/>
        </w:rPr>
        <w:t xml:space="preserve">bottom </w:t>
      </w:r>
      <w:r w:rsidR="003122B6">
        <w:rPr>
          <w:rFonts w:ascii="Times New Roman" w:eastAsia="Calibri" w:hAnsi="Times New Roman" w:cs="Times New Roman"/>
          <w:color w:val="000000" w:themeColor="text1"/>
          <w:szCs w:val="22"/>
        </w:rPr>
        <w:t xml:space="preserve">trawls,  </w:t>
      </w:r>
      <w:r w:rsidR="000D1401">
        <w:rPr>
          <w:rFonts w:ascii="Times New Roman" w:eastAsia="Calibri" w:hAnsi="Times New Roman" w:cs="Times New Roman"/>
          <w:color w:val="000000" w:themeColor="text1"/>
          <w:szCs w:val="22"/>
        </w:rPr>
        <w:t xml:space="preserve">meaning a trawl with a net footrope that comes into contact with the seabed. Vessels using trawl gear target multiple species, though when sablefish are caught captains are typically targeting members of the DTS (i.e., </w:t>
      </w:r>
      <w:r w:rsidR="008328B4">
        <w:rPr>
          <w:rFonts w:ascii="Times New Roman" w:eastAsia="Calibri" w:hAnsi="Times New Roman" w:cs="Times New Roman"/>
          <w:color w:val="000000" w:themeColor="text1"/>
          <w:szCs w:val="22"/>
        </w:rPr>
        <w:t>D</w:t>
      </w:r>
      <w:r w:rsidR="000D1401">
        <w:rPr>
          <w:rFonts w:ascii="Times New Roman" w:eastAsia="Calibri" w:hAnsi="Times New Roman" w:cs="Times New Roman"/>
          <w:color w:val="000000" w:themeColor="text1"/>
          <w:szCs w:val="22"/>
        </w:rPr>
        <w:t>over</w:t>
      </w:r>
      <w:r w:rsidR="008328B4">
        <w:rPr>
          <w:rFonts w:ascii="Times New Roman" w:eastAsia="Calibri" w:hAnsi="Times New Roman" w:cs="Times New Roman"/>
          <w:color w:val="000000" w:themeColor="text1"/>
          <w:szCs w:val="22"/>
        </w:rPr>
        <w:t xml:space="preserve"> sole</w:t>
      </w:r>
      <w:r w:rsidR="000D1401">
        <w:rPr>
          <w:rFonts w:ascii="Times New Roman" w:eastAsia="Calibri" w:hAnsi="Times New Roman" w:cs="Times New Roman"/>
          <w:color w:val="000000" w:themeColor="text1"/>
          <w:szCs w:val="22"/>
        </w:rPr>
        <w:t>, thorny</w:t>
      </w:r>
      <w:r w:rsidR="003E6253">
        <w:rPr>
          <w:rFonts w:ascii="Times New Roman" w:eastAsia="Calibri" w:hAnsi="Times New Roman" w:cs="Times New Roman"/>
          <w:color w:val="000000" w:themeColor="text1"/>
          <w:szCs w:val="22"/>
        </w:rPr>
        <w:t>h</w:t>
      </w:r>
      <w:r w:rsidR="000D1401">
        <w:rPr>
          <w:rFonts w:ascii="Times New Roman" w:eastAsia="Calibri" w:hAnsi="Times New Roman" w:cs="Times New Roman"/>
          <w:color w:val="000000" w:themeColor="text1"/>
          <w:szCs w:val="22"/>
        </w:rPr>
        <w:t>ead</w:t>
      </w:r>
      <w:r w:rsidR="008328B4">
        <w:rPr>
          <w:rFonts w:ascii="Times New Roman" w:eastAsia="Calibri" w:hAnsi="Times New Roman" w:cs="Times New Roman"/>
          <w:color w:val="000000" w:themeColor="text1"/>
          <w:szCs w:val="22"/>
        </w:rPr>
        <w:t xml:space="preserve"> (shortspine and l</w:t>
      </w:r>
      <w:r w:rsidR="007F282D">
        <w:rPr>
          <w:rFonts w:ascii="Times New Roman" w:eastAsia="Calibri" w:hAnsi="Times New Roman" w:cs="Times New Roman"/>
          <w:color w:val="000000" w:themeColor="text1"/>
          <w:szCs w:val="22"/>
        </w:rPr>
        <w:t>ong</w:t>
      </w:r>
      <w:r w:rsidR="008328B4">
        <w:rPr>
          <w:rFonts w:ascii="Times New Roman" w:eastAsia="Calibri" w:hAnsi="Times New Roman" w:cs="Times New Roman"/>
          <w:color w:val="000000" w:themeColor="text1"/>
          <w:szCs w:val="22"/>
        </w:rPr>
        <w:t>spine)</w:t>
      </w:r>
      <w:r w:rsidR="000D1401">
        <w:rPr>
          <w:rFonts w:ascii="Times New Roman" w:eastAsia="Calibri" w:hAnsi="Times New Roman" w:cs="Times New Roman"/>
          <w:color w:val="000000" w:themeColor="text1"/>
          <w:szCs w:val="22"/>
        </w:rPr>
        <w:t>, and sablefish)</w:t>
      </w:r>
      <w:r w:rsidR="008328B4">
        <w:rPr>
          <w:rFonts w:ascii="Times New Roman" w:eastAsia="Calibri" w:hAnsi="Times New Roman" w:cs="Times New Roman"/>
          <w:color w:val="000000" w:themeColor="text1"/>
          <w:szCs w:val="22"/>
        </w:rPr>
        <w:t xml:space="preserve"> complex</w:t>
      </w:r>
      <w:r w:rsidR="000D1401">
        <w:rPr>
          <w:rFonts w:ascii="Times New Roman" w:eastAsia="Calibri" w:hAnsi="Times New Roman" w:cs="Times New Roman"/>
          <w:color w:val="000000" w:themeColor="text1"/>
          <w:szCs w:val="22"/>
        </w:rPr>
        <w:t xml:space="preserve">, whereas vessels using fixed-gear (non-trawl gear) are primarily targeting only sablefish. Most vessels targeting sablefish operate out of Washington and Oregon, fishing primarily north of Monterey, CA. </w:t>
      </w:r>
    </w:p>
    <w:p w14:paraId="2C32DC8F" w14:textId="76604FFE" w:rsidR="004C79B9" w:rsidRDefault="004C79B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Fishing opportunities exist year round, depending on gear type</w:t>
      </w:r>
      <w:r w:rsidR="00736C04">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over time regulations have been created with the intent of spreading the harvest throughout the year (</w:t>
      </w:r>
      <w:r w:rsidR="002A4096">
        <w:rPr>
          <w:rFonts w:ascii="Times New Roman" w:eastAsia="Calibri" w:hAnsi="Times New Roman" w:cs="Times New Roman"/>
          <w:color w:val="000000" w:themeColor="text1"/>
          <w:szCs w:val="22"/>
        </w:rPr>
        <w:t xml:space="preserve">see results section for more details; </w:t>
      </w:r>
      <w:r w:rsidR="002A4096">
        <w:rPr>
          <w:rFonts w:ascii="Times New Roman" w:eastAsia="Calibri" w:hAnsi="Times New Roman" w:cs="Times New Roman"/>
          <w:color w:val="000000" w:themeColor="text1"/>
          <w:szCs w:val="22"/>
        </w:rPr>
        <w:fldChar w:fldCharType="begin"/>
      </w:r>
      <w:r w:rsidR="002A4096">
        <w:rPr>
          <w:rFonts w:ascii="Times New Roman" w:eastAsia="Calibri" w:hAnsi="Times New Roman" w:cs="Times New Roman"/>
          <w:color w:val="000000" w:themeColor="text1"/>
          <w:szCs w:val="22"/>
        </w:rPr>
        <w:instrText xml:space="preserve"> REF _Ref439236896 \h </w:instrText>
      </w:r>
      <w:r w:rsidR="00145B28">
        <w:rPr>
          <w:rFonts w:ascii="Times New Roman" w:eastAsia="Calibri" w:hAnsi="Times New Roman" w:cs="Times New Roman"/>
          <w:color w:val="000000" w:themeColor="text1"/>
          <w:szCs w:val="22"/>
        </w:rPr>
        <w:instrText xml:space="preserve"> \* MERGEFORMAT </w:instrText>
      </w:r>
      <w:r w:rsidR="002A4096">
        <w:rPr>
          <w:rFonts w:ascii="Times New Roman" w:eastAsia="Calibri" w:hAnsi="Times New Roman" w:cs="Times New Roman"/>
          <w:color w:val="000000" w:themeColor="text1"/>
          <w:szCs w:val="22"/>
        </w:rPr>
      </w:r>
      <w:r w:rsidR="002A4096">
        <w:rPr>
          <w:rFonts w:ascii="Times New Roman" w:eastAsia="Calibri" w:hAnsi="Times New Roman" w:cs="Times New Roman"/>
          <w:color w:val="000000" w:themeColor="text1"/>
          <w:szCs w:val="22"/>
        </w:rPr>
        <w:fldChar w:fldCharType="separate"/>
      </w:r>
      <w:r w:rsidR="00B20EC7">
        <w:rPr>
          <w:rFonts w:ascii="Times New Roman" w:hAnsi="Times New Roman" w:cs="Times New Roman"/>
          <w:color w:val="000000" w:themeColor="text1"/>
          <w:szCs w:val="22"/>
        </w:rPr>
        <w:t xml:space="preserve">Table </w:t>
      </w:r>
      <w:r w:rsidR="00B20EC7">
        <w:rPr>
          <w:rFonts w:ascii="Times New Roman" w:hAnsi="Times New Roman" w:cs="Times New Roman"/>
          <w:noProof/>
          <w:color w:val="000000" w:themeColor="text1"/>
          <w:szCs w:val="22"/>
        </w:rPr>
        <w:t>5</w:t>
      </w:r>
      <w:r w:rsidR="002A4096">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w:t>
      </w:r>
      <w:r w:rsidR="002A4096">
        <w:rPr>
          <w:rFonts w:ascii="Times New Roman" w:eastAsia="Calibri" w:hAnsi="Times New Roman" w:cs="Times New Roman"/>
          <w:color w:val="000000" w:themeColor="text1"/>
          <w:szCs w:val="22"/>
        </w:rPr>
        <w:t>Recently, p</w:t>
      </w:r>
      <w:r>
        <w:rPr>
          <w:rFonts w:ascii="Times New Roman" w:eastAsia="Calibri" w:hAnsi="Times New Roman" w:cs="Times New Roman"/>
          <w:color w:val="000000" w:themeColor="text1"/>
          <w:szCs w:val="22"/>
        </w:rPr>
        <w:t>rocessing of the landings mainly occurs onshore by relatively few</w:t>
      </w:r>
      <w:r w:rsidR="002A4096">
        <w:rPr>
          <w:rFonts w:ascii="Times New Roman" w:eastAsia="Calibri" w:hAnsi="Times New Roman" w:cs="Times New Roman"/>
          <w:color w:val="000000" w:themeColor="text1"/>
          <w:szCs w:val="22"/>
        </w:rPr>
        <w:t xml:space="preserve"> (i.e., less than four)</w:t>
      </w:r>
      <w:r>
        <w:rPr>
          <w:rFonts w:ascii="Times New Roman" w:eastAsia="Calibri" w:hAnsi="Times New Roman" w:cs="Times New Roman"/>
          <w:color w:val="000000" w:themeColor="text1"/>
          <w:szCs w:val="22"/>
        </w:rPr>
        <w:t xml:space="preserve"> processing plants. </w:t>
      </w:r>
      <w:r w:rsidR="00E4710C">
        <w:rPr>
          <w:rFonts w:ascii="Times New Roman" w:eastAsia="Calibri" w:hAnsi="Times New Roman" w:cs="Times New Roman"/>
          <w:color w:val="000000" w:themeColor="text1"/>
          <w:szCs w:val="22"/>
        </w:rPr>
        <w:t xml:space="preserve">Communities significantly involved in commercial fishing are relatively equally distributed throughout Washington, Oregon, and California (40, 30, and 52 respectively), although the community of Astoria/Warrenton, Oregon is by far the most prominent community in terms of commercial catch landings (Sepez </w:t>
      </w:r>
      <w:r w:rsidR="00E4710C">
        <w:rPr>
          <w:rFonts w:ascii="Times New Roman" w:eastAsia="Calibri" w:hAnsi="Times New Roman" w:cs="Times New Roman"/>
          <w:i/>
          <w:color w:val="000000" w:themeColor="text1"/>
          <w:szCs w:val="22"/>
        </w:rPr>
        <w:t>et al</w:t>
      </w:r>
      <w:r w:rsidR="00E4710C">
        <w:rPr>
          <w:rFonts w:ascii="Times New Roman" w:eastAsia="Calibri" w:hAnsi="Times New Roman" w:cs="Times New Roman"/>
          <w:color w:val="000000" w:themeColor="text1"/>
          <w:szCs w:val="22"/>
        </w:rPr>
        <w:t>., 2006).</w:t>
      </w:r>
      <w:r w:rsidR="00576519">
        <w:rPr>
          <w:rFonts w:ascii="Times New Roman" w:eastAsia="Calibri" w:hAnsi="Times New Roman" w:cs="Times New Roman"/>
          <w:color w:val="000000" w:themeColor="text1"/>
          <w:szCs w:val="22"/>
        </w:rPr>
        <w:t xml:space="preserve"> </w:t>
      </w:r>
    </w:p>
    <w:p w14:paraId="42588712" w14:textId="6E88F0D0" w:rsidR="004C79B9" w:rsidRDefault="004C79B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Market prices are largely driven by </w:t>
      </w:r>
      <w:r w:rsidR="00576519" w:rsidRPr="0077211B">
        <w:rPr>
          <w:rFonts w:ascii="Times New Roman" w:eastAsia="Calibri" w:hAnsi="Times New Roman" w:cs="Times New Roman"/>
          <w:color w:val="000000" w:themeColor="text1"/>
          <w:szCs w:val="22"/>
          <w:highlight w:val="yellow"/>
        </w:rPr>
        <w:t>…</w:t>
      </w:r>
    </w:p>
    <w:p w14:paraId="4783F52C" w14:textId="4458B1BA" w:rsidR="00D35260" w:rsidRDefault="0057651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The harvesting of groundfish, including but not limited to sablefish, is linked with human wellbeing in a number of ways. Fishing contributes to job satisfaction, quality of life, local ecological knowledge, human capacity building, etc. The current community faces issues common with other fisheries (e.g., ageing of the fleet and infrastructure) and through interactions with other economic</w:t>
      </w:r>
      <w:r w:rsidR="008328B4">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socially</w:t>
      </w:r>
      <w:r w:rsidR="008328B4">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important species (e.g., forage fish, salmon, </w:t>
      </w:r>
      <w:r w:rsidR="0077211B">
        <w:rPr>
          <w:rFonts w:ascii="Times New Roman" w:eastAsia="Calibri" w:hAnsi="Times New Roman" w:cs="Times New Roman"/>
          <w:color w:val="000000" w:themeColor="text1"/>
          <w:szCs w:val="22"/>
        </w:rPr>
        <w:t xml:space="preserve">sea birds, and marine mammals). </w:t>
      </w:r>
      <w:commentRangeStart w:id="3"/>
      <w:r w:rsidR="0077211B" w:rsidRPr="0077211B">
        <w:rPr>
          <w:rFonts w:ascii="Times New Roman" w:eastAsia="Calibri" w:hAnsi="Times New Roman" w:cs="Times New Roman"/>
          <w:color w:val="000000" w:themeColor="text1"/>
          <w:szCs w:val="22"/>
          <w:highlight w:val="yellow"/>
        </w:rPr>
        <w:t>..</w:t>
      </w:r>
      <w:r w:rsidR="00D35260" w:rsidRPr="0077211B">
        <w:rPr>
          <w:rFonts w:ascii="Times New Roman" w:eastAsia="Calibri" w:hAnsi="Times New Roman" w:cs="Times New Roman"/>
          <w:color w:val="000000" w:themeColor="text1"/>
          <w:szCs w:val="22"/>
          <w:highlight w:val="yellow"/>
        </w:rPr>
        <w:t>.</w:t>
      </w:r>
      <w:commentRangeEnd w:id="3"/>
      <w:r w:rsidR="00D35260" w:rsidRPr="0077211B">
        <w:rPr>
          <w:rStyle w:val="CommentReference"/>
          <w:highlight w:val="yellow"/>
        </w:rPr>
        <w:commentReference w:id="3"/>
      </w:r>
    </w:p>
    <w:p w14:paraId="5DB2EBD8" w14:textId="33836F64" w:rsidR="00EA0AFC" w:rsidRDefault="00EA0AFC" w:rsidP="008B3D8B">
      <w:pPr>
        <w:spacing w:before="240"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Determination of dominant transition points</w:t>
      </w:r>
    </w:p>
    <w:p w14:paraId="78024AA9" w14:textId="5F0E0487" w:rsidR="00893E38" w:rsidRDefault="004F462D"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Reported landings by gear type (Johnson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2015) were used to determine transitions in </w:t>
      </w:r>
      <w:r w:rsidR="00893E38">
        <w:rPr>
          <w:rFonts w:ascii="Times New Roman" w:eastAsia="Calibri" w:hAnsi="Times New Roman" w:cs="Times New Roman"/>
          <w:color w:val="000000" w:themeColor="text1"/>
          <w:szCs w:val="22"/>
        </w:rPr>
        <w:t xml:space="preserve">the </w:t>
      </w:r>
      <w:r>
        <w:rPr>
          <w:rFonts w:ascii="Times New Roman" w:eastAsia="Calibri" w:hAnsi="Times New Roman" w:cs="Times New Roman"/>
          <w:color w:val="000000" w:themeColor="text1"/>
          <w:szCs w:val="22"/>
        </w:rPr>
        <w:t xml:space="preserve">dominant gear type </w:t>
      </w:r>
      <w:r w:rsidR="0045724D">
        <w:rPr>
          <w:rFonts w:ascii="Times New Roman" w:eastAsia="Calibri" w:hAnsi="Times New Roman" w:cs="Times New Roman"/>
          <w:color w:val="000000" w:themeColor="text1"/>
          <w:szCs w:val="22"/>
        </w:rPr>
        <w:t xml:space="preserve">used to land sablefish in the US West Coast groundfish fishery </w:t>
      </w:r>
      <w:r>
        <w:rPr>
          <w:rFonts w:ascii="Times New Roman" w:eastAsia="Calibri" w:hAnsi="Times New Roman" w:cs="Times New Roman"/>
          <w:color w:val="000000" w:themeColor="text1"/>
          <w:szCs w:val="22"/>
        </w:rPr>
        <w:t xml:space="preserve">from 1900 to 2014. </w:t>
      </w:r>
      <w:r>
        <w:rPr>
          <w:rFonts w:ascii="Times New Roman" w:eastAsia="Calibri" w:hAnsi="Times New Roman" w:cs="Times New Roman"/>
          <w:color w:val="000000" w:themeColor="text1"/>
          <w:szCs w:val="22"/>
        </w:rPr>
        <w:lastRenderedPageBreak/>
        <w:t>Here, landings are defined as fish brought to shore, where landings plus discards equal catch, and gear types include</w:t>
      </w:r>
      <w:r w:rsidR="0045724D">
        <w:rPr>
          <w:rFonts w:ascii="Times New Roman" w:eastAsia="Calibri" w:hAnsi="Times New Roman" w:cs="Times New Roman"/>
          <w:color w:val="000000" w:themeColor="text1"/>
          <w:szCs w:val="22"/>
        </w:rPr>
        <w:t>d</w:t>
      </w:r>
      <w:r>
        <w:rPr>
          <w:rFonts w:ascii="Times New Roman" w:eastAsia="Calibri" w:hAnsi="Times New Roman" w:cs="Times New Roman"/>
          <w:color w:val="000000" w:themeColor="text1"/>
          <w:szCs w:val="22"/>
        </w:rPr>
        <w:t xml:space="preserve">: trawls, pots, and longlines. Bray-Curtis measures of distance were computed on the </w:t>
      </w:r>
      <w:r w:rsidR="006E07B6">
        <w:rPr>
          <w:rFonts w:ascii="Times New Roman" w:eastAsia="Calibri" w:hAnsi="Times New Roman" w:cs="Times New Roman"/>
          <w:color w:val="000000" w:themeColor="text1"/>
          <w:szCs w:val="22"/>
        </w:rPr>
        <w:t xml:space="preserve">proportions of yearly landings caught by each gear type. Proportions were used to give greater weight to differences in composition rather than absolute differences, which could be affected by yearly catch limits. Differences of one indicate complete dissimilarity and </w:t>
      </w:r>
      <w:r w:rsidR="00893E38">
        <w:rPr>
          <w:rFonts w:ascii="Times New Roman" w:eastAsia="Calibri" w:hAnsi="Times New Roman" w:cs="Times New Roman"/>
          <w:color w:val="000000" w:themeColor="text1"/>
          <w:szCs w:val="22"/>
        </w:rPr>
        <w:t xml:space="preserve">differences of zero occur when </w:t>
      </w:r>
      <w:r w:rsidR="006E07B6">
        <w:rPr>
          <w:rFonts w:ascii="Times New Roman" w:eastAsia="Calibri" w:hAnsi="Times New Roman" w:cs="Times New Roman"/>
          <w:color w:val="000000" w:themeColor="text1"/>
          <w:szCs w:val="22"/>
        </w:rPr>
        <w:t xml:space="preserve">proportions are completely similar between years. </w:t>
      </w:r>
      <w:r>
        <w:rPr>
          <w:rFonts w:ascii="Times New Roman" w:eastAsia="Calibri" w:hAnsi="Times New Roman" w:cs="Times New Roman"/>
          <w:color w:val="000000" w:themeColor="text1"/>
          <w:szCs w:val="22"/>
        </w:rPr>
        <w:t xml:space="preserve">Hierarchical clustering </w:t>
      </w:r>
      <w:r w:rsidR="006E07B6">
        <w:rPr>
          <w:rFonts w:ascii="Times New Roman" w:eastAsia="Calibri" w:hAnsi="Times New Roman" w:cs="Times New Roman"/>
          <w:color w:val="000000" w:themeColor="text1"/>
          <w:szCs w:val="22"/>
        </w:rPr>
        <w:t xml:space="preserve">was </w:t>
      </w:r>
      <w:r w:rsidR="00893E38">
        <w:rPr>
          <w:rFonts w:ascii="Times New Roman" w:eastAsia="Calibri" w:hAnsi="Times New Roman" w:cs="Times New Roman"/>
          <w:color w:val="000000" w:themeColor="text1"/>
          <w:szCs w:val="22"/>
        </w:rPr>
        <w:t>performed</w:t>
      </w:r>
      <w:r w:rsidR="006E07B6">
        <w:rPr>
          <w:rFonts w:ascii="Times New Roman" w:eastAsia="Calibri" w:hAnsi="Times New Roman" w:cs="Times New Roman"/>
          <w:color w:val="000000" w:themeColor="text1"/>
          <w:szCs w:val="22"/>
        </w:rPr>
        <w:t xml:space="preserve"> on the Bray-Curtis measures</w:t>
      </w:r>
      <w:r w:rsidR="00B648D2">
        <w:rPr>
          <w:rFonts w:ascii="Times New Roman" w:eastAsia="Calibri" w:hAnsi="Times New Roman" w:cs="Times New Roman"/>
          <w:color w:val="000000" w:themeColor="text1"/>
          <w:szCs w:val="22"/>
        </w:rPr>
        <w:t xml:space="preserve"> for years starting in 1982, the first year of federal management, to determine dominant transition points. </w:t>
      </w:r>
      <w:r w:rsidR="00BE6BA3">
        <w:rPr>
          <w:rFonts w:ascii="Times New Roman" w:eastAsia="Calibri" w:hAnsi="Times New Roman" w:cs="Times New Roman"/>
          <w:color w:val="000000" w:themeColor="text1"/>
          <w:szCs w:val="22"/>
        </w:rPr>
        <w:t>Clusters were defined using nearest neighbour-chain algorithms</w:t>
      </w:r>
      <w:r w:rsidR="00F04A26">
        <w:rPr>
          <w:rFonts w:ascii="Times New Roman" w:eastAsia="Calibri" w:hAnsi="Times New Roman" w:cs="Times New Roman"/>
          <w:color w:val="000000" w:themeColor="text1"/>
          <w:szCs w:val="22"/>
        </w:rPr>
        <w:t>,</w:t>
      </w:r>
      <w:r w:rsidR="00BE6BA3">
        <w:rPr>
          <w:rFonts w:ascii="Times New Roman" w:eastAsia="Calibri" w:hAnsi="Times New Roman" w:cs="Times New Roman"/>
          <w:color w:val="000000" w:themeColor="text1"/>
          <w:szCs w:val="22"/>
        </w:rPr>
        <w:t xml:space="preserve"> </w:t>
      </w:r>
      <w:r w:rsidR="00F04A26">
        <w:rPr>
          <w:rFonts w:ascii="Times New Roman" w:eastAsia="Calibri" w:hAnsi="Times New Roman" w:cs="Times New Roman"/>
          <w:color w:val="000000" w:themeColor="text1"/>
          <w:szCs w:val="22"/>
        </w:rPr>
        <w:t>which minimize variance using a “complete” “bottom up”, or agglomerative, criterion</w:t>
      </w:r>
      <w:r w:rsidR="001F6CBD">
        <w:rPr>
          <w:rFonts w:ascii="Times New Roman" w:eastAsia="Calibri" w:hAnsi="Times New Roman" w:cs="Times New Roman"/>
          <w:color w:val="000000" w:themeColor="text1"/>
          <w:szCs w:val="22"/>
        </w:rPr>
        <w:t>. Analyses were performed</w:t>
      </w:r>
      <w:r w:rsidR="00F04A26">
        <w:rPr>
          <w:rFonts w:ascii="Times New Roman" w:eastAsia="Calibri" w:hAnsi="Times New Roman" w:cs="Times New Roman"/>
          <w:color w:val="000000" w:themeColor="text1"/>
          <w:szCs w:val="22"/>
        </w:rPr>
        <w:t xml:space="preserve"> </w:t>
      </w:r>
      <w:r w:rsidR="00BE6BA3">
        <w:rPr>
          <w:rFonts w:ascii="Times New Roman" w:eastAsia="Calibri" w:hAnsi="Times New Roman" w:cs="Times New Roman"/>
          <w:color w:val="000000" w:themeColor="text1"/>
          <w:szCs w:val="22"/>
        </w:rPr>
        <w:t>within the R statistical environment (</w:t>
      </w:r>
      <w:r w:rsidR="00ED04D0">
        <w:rPr>
          <w:rFonts w:ascii="Times New Roman" w:eastAsia="Calibri" w:hAnsi="Times New Roman" w:cs="Times New Roman"/>
          <w:color w:val="000000" w:themeColor="text1"/>
          <w:szCs w:val="22"/>
        </w:rPr>
        <w:t>R Core Team, 2015</w:t>
      </w:r>
      <w:r w:rsidR="00BE6BA3">
        <w:rPr>
          <w:rFonts w:ascii="Times New Roman" w:eastAsia="Calibri" w:hAnsi="Times New Roman" w:cs="Times New Roman"/>
          <w:color w:val="000000" w:themeColor="text1"/>
          <w:szCs w:val="22"/>
        </w:rPr>
        <w:t>)</w:t>
      </w:r>
      <w:r w:rsidR="00B648D2">
        <w:rPr>
          <w:rFonts w:ascii="Times New Roman" w:eastAsia="Calibri" w:hAnsi="Times New Roman" w:cs="Times New Roman"/>
          <w:color w:val="000000" w:themeColor="text1"/>
          <w:szCs w:val="22"/>
        </w:rPr>
        <w:t xml:space="preserve"> using the </w:t>
      </w:r>
      <w:r w:rsidR="00B648D2">
        <w:rPr>
          <w:rFonts w:ascii="Courier New" w:eastAsia="Calibri" w:hAnsi="Courier New" w:cs="Courier New"/>
          <w:color w:val="000000" w:themeColor="text1"/>
          <w:szCs w:val="22"/>
        </w:rPr>
        <w:t xml:space="preserve">vegdist </w:t>
      </w:r>
      <w:r w:rsidR="00B648D2">
        <w:rPr>
          <w:rFonts w:ascii="Times New Roman" w:eastAsia="Calibri" w:hAnsi="Times New Roman" w:cs="Times New Roman"/>
          <w:color w:val="000000" w:themeColor="text1"/>
          <w:szCs w:val="22"/>
        </w:rPr>
        <w:t xml:space="preserve">function of the </w:t>
      </w:r>
      <w:r w:rsidR="00B648D2">
        <w:rPr>
          <w:rFonts w:ascii="Courier New" w:eastAsia="Calibri" w:hAnsi="Courier New" w:cs="Courier New"/>
          <w:color w:val="000000" w:themeColor="text1"/>
          <w:szCs w:val="22"/>
        </w:rPr>
        <w:t>vegan</w:t>
      </w:r>
      <w:r w:rsidR="00B648D2">
        <w:rPr>
          <w:rFonts w:ascii="Times New Roman" w:eastAsia="Calibri" w:hAnsi="Times New Roman" w:cs="Times New Roman"/>
          <w:color w:val="000000" w:themeColor="text1"/>
          <w:szCs w:val="22"/>
        </w:rPr>
        <w:t xml:space="preserve"> package (Oksanen </w:t>
      </w:r>
      <w:r w:rsidR="00B648D2">
        <w:rPr>
          <w:rFonts w:ascii="Times New Roman" w:eastAsia="Calibri" w:hAnsi="Times New Roman" w:cs="Times New Roman"/>
          <w:i/>
          <w:color w:val="000000" w:themeColor="text1"/>
          <w:szCs w:val="22"/>
        </w:rPr>
        <w:t>et al</w:t>
      </w:r>
      <w:r w:rsidR="00B648D2">
        <w:rPr>
          <w:rFonts w:ascii="Times New Roman" w:eastAsia="Calibri" w:hAnsi="Times New Roman" w:cs="Times New Roman"/>
          <w:color w:val="000000" w:themeColor="text1"/>
          <w:szCs w:val="22"/>
        </w:rPr>
        <w:t xml:space="preserve">., 2015) and the </w:t>
      </w:r>
      <w:r w:rsidR="00B648D2" w:rsidRPr="00BE6BA3">
        <w:rPr>
          <w:rFonts w:ascii="Courier New" w:eastAsia="Calibri" w:hAnsi="Courier New" w:cs="Courier New"/>
          <w:color w:val="000000" w:themeColor="text1"/>
          <w:szCs w:val="22"/>
        </w:rPr>
        <w:t>hclust</w:t>
      </w:r>
      <w:r w:rsidR="00B648D2">
        <w:rPr>
          <w:rFonts w:ascii="Courier New" w:eastAsia="Calibri" w:hAnsi="Courier New" w:cs="Courier New"/>
          <w:color w:val="000000" w:themeColor="text1"/>
          <w:szCs w:val="22"/>
        </w:rPr>
        <w:t xml:space="preserve"> </w:t>
      </w:r>
      <w:r w:rsidR="00B648D2">
        <w:rPr>
          <w:rFonts w:ascii="Times New Roman" w:eastAsia="Calibri" w:hAnsi="Times New Roman" w:cs="Times New Roman"/>
          <w:color w:val="000000" w:themeColor="text1"/>
          <w:szCs w:val="22"/>
        </w:rPr>
        <w:t>function of</w:t>
      </w:r>
      <w:r w:rsidR="00B648D2" w:rsidRPr="00B648D2">
        <w:rPr>
          <w:rFonts w:ascii="Times New Roman" w:eastAsia="Calibri" w:hAnsi="Times New Roman" w:cs="Times New Roman"/>
          <w:color w:val="000000" w:themeColor="text1"/>
          <w:szCs w:val="22"/>
        </w:rPr>
        <w:t xml:space="preserve"> the</w:t>
      </w:r>
      <w:r w:rsidR="00B648D2">
        <w:rPr>
          <w:rFonts w:ascii="Courier New" w:eastAsia="Calibri" w:hAnsi="Courier New" w:cs="Courier New"/>
          <w:color w:val="000000" w:themeColor="text1"/>
          <w:szCs w:val="22"/>
        </w:rPr>
        <w:t xml:space="preserve"> stat </w:t>
      </w:r>
      <w:r w:rsidR="00B648D2" w:rsidRPr="00B648D2">
        <w:rPr>
          <w:rFonts w:ascii="Times New Roman" w:eastAsia="Calibri" w:hAnsi="Times New Roman" w:cs="Times New Roman"/>
          <w:color w:val="000000" w:themeColor="text1"/>
          <w:szCs w:val="22"/>
        </w:rPr>
        <w:t>package</w:t>
      </w:r>
      <w:r w:rsidR="00B648D2">
        <w:rPr>
          <w:rFonts w:ascii="Times New Roman" w:eastAsia="Calibri" w:hAnsi="Times New Roman" w:cs="Times New Roman"/>
          <w:color w:val="000000" w:themeColor="text1"/>
          <w:szCs w:val="22"/>
        </w:rPr>
        <w:t xml:space="preserve"> (R Core Team, 2015), respectively</w:t>
      </w:r>
      <w:r w:rsidR="00BE6BA3">
        <w:rPr>
          <w:rFonts w:ascii="Times New Roman" w:eastAsia="Calibri" w:hAnsi="Times New Roman" w:cs="Times New Roman"/>
          <w:color w:val="000000" w:themeColor="text1"/>
          <w:szCs w:val="22"/>
        </w:rPr>
        <w:t>.</w:t>
      </w:r>
      <w:r w:rsidR="00ED04D0">
        <w:rPr>
          <w:rFonts w:ascii="Times New Roman" w:eastAsia="Calibri" w:hAnsi="Times New Roman" w:cs="Times New Roman"/>
          <w:color w:val="000000" w:themeColor="text1"/>
          <w:szCs w:val="22"/>
        </w:rPr>
        <w:t xml:space="preserve"> Resulting dendrograms were plotted within R</w:t>
      </w:r>
      <w:r w:rsidR="00676829">
        <w:rPr>
          <w:rFonts w:ascii="Times New Roman" w:eastAsia="Calibri" w:hAnsi="Times New Roman" w:cs="Times New Roman"/>
          <w:color w:val="000000" w:themeColor="text1"/>
          <w:szCs w:val="22"/>
        </w:rPr>
        <w:t xml:space="preserve"> (</w:t>
      </w:r>
      <w:r w:rsidR="00BC444E">
        <w:rPr>
          <w:rFonts w:ascii="Times New Roman" w:eastAsia="Calibri" w:hAnsi="Times New Roman" w:cs="Times New Roman"/>
          <w:color w:val="000000" w:themeColor="text1"/>
          <w:szCs w:val="22"/>
        </w:rPr>
        <w:t>R Core Team, 2015</w:t>
      </w:r>
      <w:r w:rsidR="00676829">
        <w:rPr>
          <w:rFonts w:ascii="Times New Roman" w:eastAsia="Calibri" w:hAnsi="Times New Roman" w:cs="Times New Roman"/>
          <w:color w:val="000000" w:themeColor="text1"/>
          <w:szCs w:val="22"/>
        </w:rPr>
        <w:t>)</w:t>
      </w:r>
      <w:r w:rsidR="00B648D2">
        <w:rPr>
          <w:rFonts w:ascii="Times New Roman" w:eastAsia="Calibri" w:hAnsi="Times New Roman" w:cs="Times New Roman"/>
          <w:color w:val="000000" w:themeColor="text1"/>
          <w:szCs w:val="22"/>
        </w:rPr>
        <w:t xml:space="preserve"> and groups were defined using </w:t>
      </w:r>
      <w:r w:rsidR="00087E7C">
        <w:rPr>
          <w:rFonts w:ascii="Times New Roman" w:eastAsia="Calibri" w:hAnsi="Times New Roman" w:cs="Times New Roman"/>
          <w:color w:val="000000" w:themeColor="text1"/>
          <w:szCs w:val="22"/>
        </w:rPr>
        <w:t xml:space="preserve">the average </w:t>
      </w:r>
      <w:r w:rsidR="00B648D2">
        <w:rPr>
          <w:rFonts w:ascii="Times New Roman" w:eastAsia="Calibri" w:hAnsi="Times New Roman" w:cs="Times New Roman"/>
          <w:color w:val="000000" w:themeColor="text1"/>
          <w:szCs w:val="22"/>
        </w:rPr>
        <w:t>silhouette width</w:t>
      </w:r>
      <w:r w:rsidR="00087E7C">
        <w:rPr>
          <w:rFonts w:ascii="Times New Roman" w:eastAsia="Calibri" w:hAnsi="Times New Roman" w:cs="Times New Roman"/>
          <w:color w:val="000000" w:themeColor="text1"/>
          <w:szCs w:val="22"/>
        </w:rPr>
        <w:t xml:space="preserve"> (</w:t>
      </w:r>
      <w:r w:rsidR="00087E7C" w:rsidRPr="00087E7C">
        <w:rPr>
          <w:rFonts w:ascii="Courier New" w:eastAsia="Calibri" w:hAnsi="Courier New" w:cs="Courier New"/>
          <w:color w:val="000000" w:themeColor="text1"/>
          <w:szCs w:val="22"/>
        </w:rPr>
        <w:t>cluster::silhouette</w:t>
      </w:r>
      <w:r w:rsidR="00087E7C">
        <w:rPr>
          <w:rFonts w:ascii="Times New Roman" w:eastAsia="Calibri" w:hAnsi="Times New Roman" w:cs="Times New Roman"/>
          <w:color w:val="000000" w:themeColor="text1"/>
          <w:szCs w:val="22"/>
        </w:rPr>
        <w:t xml:space="preserve">; Maechlet </w:t>
      </w:r>
      <w:r w:rsidR="00087E7C">
        <w:rPr>
          <w:rFonts w:ascii="Times New Roman" w:eastAsia="Calibri" w:hAnsi="Times New Roman" w:cs="Times New Roman"/>
          <w:i/>
          <w:color w:val="000000" w:themeColor="text1"/>
          <w:szCs w:val="22"/>
        </w:rPr>
        <w:t>et al</w:t>
      </w:r>
      <w:r w:rsidR="00087E7C">
        <w:rPr>
          <w:rFonts w:ascii="Times New Roman" w:eastAsia="Calibri" w:hAnsi="Times New Roman" w:cs="Times New Roman"/>
          <w:color w:val="000000" w:themeColor="text1"/>
          <w:szCs w:val="22"/>
        </w:rPr>
        <w:t>., 2014)</w:t>
      </w:r>
      <w:r w:rsidR="00271031">
        <w:rPr>
          <w:rFonts w:ascii="Times New Roman" w:eastAsia="Calibri" w:hAnsi="Times New Roman" w:cs="Times New Roman"/>
          <w:color w:val="000000" w:themeColor="text1"/>
          <w:szCs w:val="22"/>
        </w:rPr>
        <w:t xml:space="preserve">. </w:t>
      </w:r>
      <w:r w:rsidR="00B648D2">
        <w:rPr>
          <w:rFonts w:ascii="Times New Roman" w:eastAsia="Calibri" w:hAnsi="Times New Roman" w:cs="Times New Roman"/>
          <w:color w:val="000000" w:themeColor="text1"/>
          <w:szCs w:val="22"/>
        </w:rPr>
        <w:t xml:space="preserve">Silhouette width is a measure of the degree of membership of an object to its cluster based on the average distance between the given object and all objects of the cluster to which it belongs compared to the same measure computed for the next closest cluster. </w:t>
      </w:r>
      <w:r w:rsidR="00087E7C">
        <w:rPr>
          <w:rFonts w:ascii="Times New Roman" w:eastAsia="Calibri" w:hAnsi="Times New Roman" w:cs="Times New Roman"/>
          <w:color w:val="000000" w:themeColor="text1"/>
          <w:szCs w:val="22"/>
        </w:rPr>
        <w:t>Average silhouette width provide</w:t>
      </w:r>
      <w:r w:rsidR="0045724D">
        <w:rPr>
          <w:rFonts w:ascii="Times New Roman" w:eastAsia="Calibri" w:hAnsi="Times New Roman" w:cs="Times New Roman"/>
          <w:color w:val="000000" w:themeColor="text1"/>
          <w:szCs w:val="22"/>
        </w:rPr>
        <w:t>d</w:t>
      </w:r>
      <w:r w:rsidR="00087E7C">
        <w:rPr>
          <w:rFonts w:ascii="Times New Roman" w:eastAsia="Calibri" w:hAnsi="Times New Roman" w:cs="Times New Roman"/>
          <w:color w:val="000000" w:themeColor="text1"/>
          <w:szCs w:val="22"/>
        </w:rPr>
        <w:t xml:space="preserve"> a measure of clustering validity, where the highest value indicates the optimum number of clusters</w:t>
      </w:r>
      <w:r w:rsidR="00893E38">
        <w:rPr>
          <w:rFonts w:ascii="Times New Roman" w:eastAsia="Calibri" w:hAnsi="Times New Roman" w:cs="Times New Roman"/>
          <w:color w:val="000000" w:themeColor="text1"/>
          <w:szCs w:val="22"/>
        </w:rPr>
        <w:t xml:space="preserve"> (Rousseeuw, 1987)</w:t>
      </w:r>
      <w:r w:rsidR="00087E7C">
        <w:rPr>
          <w:rFonts w:ascii="Times New Roman" w:eastAsia="Calibri" w:hAnsi="Times New Roman" w:cs="Times New Roman"/>
          <w:color w:val="000000" w:themeColor="text1"/>
          <w:szCs w:val="22"/>
        </w:rPr>
        <w:t xml:space="preserve">. </w:t>
      </w:r>
    </w:p>
    <w:p w14:paraId="2AB10AAA" w14:textId="248DEDE9" w:rsidR="008533D7" w:rsidRDefault="008533D7"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Two dimensional </w:t>
      </w:r>
      <w:r w:rsidR="00F5252B">
        <w:rPr>
          <w:rFonts w:ascii="Times New Roman" w:eastAsia="Calibri" w:hAnsi="Times New Roman" w:cs="Times New Roman"/>
          <w:color w:val="000000" w:themeColor="text1"/>
          <w:szCs w:val="22"/>
        </w:rPr>
        <w:t>Nonmetric Multidimensional Scaling (NMDS) was used to better view which years were dominated by any one gear type, where years closer to one another are more similar in terms of proportion</w:t>
      </w:r>
      <w:r w:rsidR="0045724D">
        <w:rPr>
          <w:rFonts w:ascii="Times New Roman" w:eastAsia="Calibri" w:hAnsi="Times New Roman" w:cs="Times New Roman"/>
          <w:color w:val="000000" w:themeColor="text1"/>
          <w:szCs w:val="22"/>
        </w:rPr>
        <w:t>s</w:t>
      </w:r>
      <w:r w:rsidR="00F5252B">
        <w:rPr>
          <w:rFonts w:ascii="Times New Roman" w:eastAsia="Calibri" w:hAnsi="Times New Roman" w:cs="Times New Roman"/>
          <w:color w:val="000000" w:themeColor="text1"/>
          <w:szCs w:val="22"/>
        </w:rPr>
        <w:t xml:space="preserve"> of landings by gear type.</w:t>
      </w:r>
      <w:r w:rsidR="00EE3616">
        <w:rPr>
          <w:rFonts w:ascii="Times New Roman" w:eastAsia="Calibri" w:hAnsi="Times New Roman" w:cs="Times New Roman"/>
          <w:color w:val="000000" w:themeColor="text1"/>
          <w:szCs w:val="22"/>
        </w:rPr>
        <w:t xml:space="preserve"> </w:t>
      </w:r>
      <w:r w:rsidR="00F5252B">
        <w:rPr>
          <w:rFonts w:ascii="Times New Roman" w:eastAsia="Calibri" w:hAnsi="Times New Roman" w:cs="Times New Roman"/>
          <w:color w:val="000000" w:themeColor="text1"/>
          <w:szCs w:val="22"/>
        </w:rPr>
        <w:t xml:space="preserve">Analyses were performed using the </w:t>
      </w:r>
      <w:r w:rsidR="00F5252B" w:rsidRPr="00F5252B">
        <w:rPr>
          <w:rFonts w:ascii="Courier New" w:eastAsia="Calibri" w:hAnsi="Courier New" w:cs="Courier New"/>
          <w:color w:val="000000" w:themeColor="text1"/>
          <w:szCs w:val="22"/>
        </w:rPr>
        <w:t>metaMDS</w:t>
      </w:r>
      <w:r w:rsidR="00F5252B">
        <w:rPr>
          <w:rFonts w:ascii="Times New Roman" w:eastAsia="Calibri" w:hAnsi="Times New Roman" w:cs="Times New Roman"/>
          <w:color w:val="000000" w:themeColor="text1"/>
          <w:szCs w:val="22"/>
        </w:rPr>
        <w:t xml:space="preserve"> function in the </w:t>
      </w:r>
      <w:r w:rsidR="00F5252B" w:rsidRPr="00F5252B">
        <w:rPr>
          <w:rFonts w:ascii="Courier New" w:eastAsia="Calibri" w:hAnsi="Courier New" w:cs="Courier New"/>
          <w:color w:val="000000" w:themeColor="text1"/>
          <w:szCs w:val="22"/>
        </w:rPr>
        <w:t>vegan</w:t>
      </w:r>
      <w:r w:rsidR="00F5252B">
        <w:rPr>
          <w:rFonts w:ascii="Times New Roman" w:eastAsia="Calibri" w:hAnsi="Times New Roman" w:cs="Times New Roman"/>
          <w:color w:val="000000" w:themeColor="text1"/>
          <w:szCs w:val="22"/>
        </w:rPr>
        <w:t xml:space="preserve"> package (Oksanen </w:t>
      </w:r>
      <w:r w:rsidR="00F5252B">
        <w:rPr>
          <w:rFonts w:ascii="Times New Roman" w:eastAsia="Calibri" w:hAnsi="Times New Roman" w:cs="Times New Roman"/>
          <w:i/>
          <w:color w:val="000000" w:themeColor="text1"/>
          <w:szCs w:val="22"/>
        </w:rPr>
        <w:t>et al</w:t>
      </w:r>
      <w:r w:rsidR="00F5252B">
        <w:rPr>
          <w:rFonts w:ascii="Times New Roman" w:eastAsia="Calibri" w:hAnsi="Times New Roman" w:cs="Times New Roman"/>
          <w:color w:val="000000" w:themeColor="text1"/>
          <w:szCs w:val="22"/>
        </w:rPr>
        <w:t>., 2015) and ordination plots, or scatterplots of the NMDS results, were plotted within R (R Core Team, 2015).</w:t>
      </w:r>
      <w:r>
        <w:rPr>
          <w:rFonts w:ascii="Times New Roman" w:eastAsia="Calibri" w:hAnsi="Times New Roman" w:cs="Times New Roman"/>
          <w:color w:val="000000" w:themeColor="text1"/>
          <w:szCs w:val="22"/>
        </w:rPr>
        <w:t xml:space="preserve"> </w:t>
      </w:r>
    </w:p>
    <w:p w14:paraId="670F3213" w14:textId="477B43AD" w:rsidR="008533D7" w:rsidRDefault="008533D7"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Years of relatively equal catches by each gear type were determined using the Simpson Index of Diversity, computed via the </w:t>
      </w:r>
      <w:r w:rsidRPr="008533D7">
        <w:rPr>
          <w:rFonts w:ascii="Courier New" w:eastAsia="Calibri" w:hAnsi="Courier New" w:cs="Courier New"/>
          <w:color w:val="000000" w:themeColor="text1"/>
          <w:szCs w:val="22"/>
        </w:rPr>
        <w:t>diversity</w:t>
      </w:r>
      <w:r>
        <w:rPr>
          <w:rFonts w:ascii="Times New Roman" w:eastAsia="Calibri" w:hAnsi="Times New Roman" w:cs="Times New Roman"/>
          <w:color w:val="000000" w:themeColor="text1"/>
          <w:szCs w:val="22"/>
        </w:rPr>
        <w:t xml:space="preserve"> function of the </w:t>
      </w:r>
      <w:r w:rsidRPr="00F5252B">
        <w:rPr>
          <w:rFonts w:ascii="Courier New" w:eastAsia="Calibri" w:hAnsi="Courier New" w:cs="Courier New"/>
          <w:color w:val="000000" w:themeColor="text1"/>
          <w:szCs w:val="22"/>
        </w:rPr>
        <w:t>vegan</w:t>
      </w:r>
      <w:r>
        <w:rPr>
          <w:rFonts w:ascii="Times New Roman" w:eastAsia="Calibri" w:hAnsi="Times New Roman" w:cs="Times New Roman"/>
          <w:color w:val="000000" w:themeColor="text1"/>
          <w:szCs w:val="22"/>
        </w:rPr>
        <w:t xml:space="preserve"> package (Oksanen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2015). Measures of diversity were computed for all years (i.e., 1900 to 2014) but dominant transitions were only identified for those years with a measure of evenness below the mean since 1982.</w:t>
      </w:r>
    </w:p>
    <w:p w14:paraId="5069F8F2" w14:textId="4CB4C7F3" w:rsidR="00EA0AFC" w:rsidRDefault="0045724D"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Years defined as transitions were used to guide a literature review of PFMC documents, non-governmental organization reports, and peer-reviewed literature to characterize the identified transitions between dominant gear types. </w:t>
      </w:r>
      <w:r w:rsidR="008533D7">
        <w:rPr>
          <w:rFonts w:ascii="Times New Roman" w:eastAsia="Calibri" w:hAnsi="Times New Roman" w:cs="Times New Roman"/>
          <w:color w:val="000000" w:themeColor="text1"/>
          <w:szCs w:val="22"/>
        </w:rPr>
        <w:t xml:space="preserve">Results were </w:t>
      </w:r>
      <w:r>
        <w:rPr>
          <w:rFonts w:ascii="Times New Roman" w:eastAsia="Calibri" w:hAnsi="Times New Roman" w:cs="Times New Roman"/>
          <w:color w:val="000000" w:themeColor="text1"/>
          <w:szCs w:val="22"/>
        </w:rPr>
        <w:t xml:space="preserve">also </w:t>
      </w:r>
      <w:r w:rsidR="008533D7">
        <w:rPr>
          <w:rFonts w:ascii="Times New Roman" w:eastAsia="Calibri" w:hAnsi="Times New Roman" w:cs="Times New Roman"/>
          <w:color w:val="000000" w:themeColor="text1"/>
          <w:szCs w:val="22"/>
        </w:rPr>
        <w:t>used to inform potential variables</w:t>
      </w:r>
      <w:r w:rsidR="00CD48C9">
        <w:rPr>
          <w:rFonts w:ascii="Times New Roman" w:eastAsia="Calibri" w:hAnsi="Times New Roman" w:cs="Times New Roman"/>
          <w:color w:val="000000" w:themeColor="text1"/>
          <w:szCs w:val="22"/>
        </w:rPr>
        <w:t xml:space="preserve"> related to fisher behaviour</w:t>
      </w:r>
      <w:r>
        <w:rPr>
          <w:rFonts w:ascii="Times New Roman" w:eastAsia="Calibri" w:hAnsi="Times New Roman" w:cs="Times New Roman"/>
          <w:color w:val="000000" w:themeColor="text1"/>
          <w:szCs w:val="22"/>
        </w:rPr>
        <w:t>.</w:t>
      </w:r>
    </w:p>
    <w:p w14:paraId="48E663AC" w14:textId="7C2D61F7" w:rsidR="00EA0AFC" w:rsidRDefault="00EA0AFC" w:rsidP="008B3D8B">
      <w:pPr>
        <w:spacing w:before="240"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w:t>
      </w:r>
      <w:r w:rsidR="008B3D8B">
        <w:rPr>
          <w:rFonts w:ascii="Times New Roman" w:eastAsia="Calibri" w:hAnsi="Times New Roman" w:cs="Times New Roman"/>
          <w:color w:val="000000" w:themeColor="text1"/>
          <w:szCs w:val="22"/>
        </w:rPr>
        <w:t>additive</w:t>
      </w:r>
      <w:r>
        <w:rPr>
          <w:rFonts w:ascii="Times New Roman" w:eastAsia="Calibri" w:hAnsi="Times New Roman" w:cs="Times New Roman"/>
          <w:color w:val="000000" w:themeColor="text1"/>
          <w:szCs w:val="22"/>
        </w:rPr>
        <w:t xml:space="preserve"> models</w:t>
      </w:r>
    </w:p>
    <w:p w14:paraId="2A8A0520" w14:textId="24DE27F5" w:rsidR="00E468AE" w:rsidRDefault="00D35260"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Generalized </w:t>
      </w:r>
      <w:r w:rsidR="001B2327">
        <w:rPr>
          <w:rFonts w:ascii="Times New Roman" w:eastAsia="Calibri" w:hAnsi="Times New Roman" w:cs="Times New Roman"/>
          <w:color w:val="000000" w:themeColor="text1"/>
          <w:szCs w:val="22"/>
        </w:rPr>
        <w:t xml:space="preserve">additive models for location, scale, and shape (GAMLSS; </w:t>
      </w:r>
      <w:r w:rsidR="001B2327" w:rsidRPr="00F2171C">
        <w:rPr>
          <w:rFonts w:ascii="Times New Roman" w:eastAsia="Calibri" w:hAnsi="Times New Roman" w:cs="Times New Roman"/>
          <w:color w:val="000000" w:themeColor="text1"/>
          <w:szCs w:val="22"/>
        </w:rPr>
        <w:t>Rigby and Stasinopoulos, 2005</w:t>
      </w:r>
      <w:r w:rsidR="001B2327">
        <w:rPr>
          <w:rFonts w:ascii="Times New Roman" w:eastAsia="Calibri" w:hAnsi="Times New Roman" w:cs="Times New Roman"/>
          <w:color w:val="000000" w:themeColor="text1"/>
          <w:szCs w:val="22"/>
        </w:rPr>
        <w:t xml:space="preserve">) were used to identify covariates that could </w:t>
      </w:r>
      <w:r w:rsidR="00BA524A">
        <w:rPr>
          <w:rFonts w:ascii="Times New Roman" w:eastAsia="Calibri" w:hAnsi="Times New Roman" w:cs="Times New Roman"/>
          <w:color w:val="000000" w:themeColor="text1"/>
          <w:szCs w:val="22"/>
        </w:rPr>
        <w:t xml:space="preserve">explain </w:t>
      </w:r>
      <w:r w:rsidR="001B2327">
        <w:rPr>
          <w:rFonts w:ascii="Times New Roman" w:eastAsia="Calibri" w:hAnsi="Times New Roman" w:cs="Times New Roman"/>
          <w:color w:val="000000" w:themeColor="text1"/>
          <w:szCs w:val="22"/>
        </w:rPr>
        <w:t>observed patterns in “attainment”</w:t>
      </w:r>
      <w:r w:rsidR="001A4FD7">
        <w:rPr>
          <w:rFonts w:ascii="Times New Roman" w:eastAsia="Calibri" w:hAnsi="Times New Roman" w:cs="Times New Roman"/>
          <w:color w:val="000000" w:themeColor="text1"/>
          <w:szCs w:val="22"/>
        </w:rPr>
        <w:t xml:space="preserve"> since 2009</w:t>
      </w:r>
      <w:r w:rsidR="001B2327">
        <w:rPr>
          <w:rFonts w:ascii="Times New Roman" w:eastAsia="Calibri" w:hAnsi="Times New Roman" w:cs="Times New Roman"/>
          <w:color w:val="000000" w:themeColor="text1"/>
          <w:szCs w:val="22"/>
        </w:rPr>
        <w:t xml:space="preserve">. Here, attainment refers to the proportion of </w:t>
      </w:r>
      <w:r w:rsidR="00FA4C7E">
        <w:rPr>
          <w:rFonts w:ascii="Times New Roman" w:eastAsia="Calibri" w:hAnsi="Times New Roman" w:cs="Times New Roman"/>
          <w:color w:val="000000" w:themeColor="text1"/>
          <w:szCs w:val="22"/>
        </w:rPr>
        <w:t xml:space="preserve">the </w:t>
      </w:r>
      <w:r w:rsidR="00091453">
        <w:rPr>
          <w:rFonts w:ascii="Times New Roman" w:eastAsia="Calibri" w:hAnsi="Times New Roman" w:cs="Times New Roman"/>
          <w:color w:val="000000" w:themeColor="text1"/>
          <w:szCs w:val="22"/>
        </w:rPr>
        <w:t xml:space="preserve">northern (north of 36°N latitude) </w:t>
      </w:r>
      <w:r w:rsidR="00FA4C7E">
        <w:rPr>
          <w:rFonts w:ascii="Times New Roman" w:eastAsia="Calibri" w:hAnsi="Times New Roman" w:cs="Times New Roman"/>
          <w:color w:val="000000" w:themeColor="text1"/>
          <w:szCs w:val="22"/>
        </w:rPr>
        <w:t>annual catch limit</w:t>
      </w:r>
      <w:r w:rsidR="001B2327">
        <w:rPr>
          <w:rFonts w:ascii="Times New Roman" w:eastAsia="Calibri" w:hAnsi="Times New Roman" w:cs="Times New Roman"/>
          <w:color w:val="000000" w:themeColor="text1"/>
          <w:szCs w:val="22"/>
        </w:rPr>
        <w:t xml:space="preserve"> </w:t>
      </w:r>
      <w:r w:rsidR="00E46593">
        <w:rPr>
          <w:rFonts w:ascii="Times New Roman" w:eastAsia="Calibri" w:hAnsi="Times New Roman" w:cs="Times New Roman"/>
          <w:color w:val="000000" w:themeColor="text1"/>
          <w:szCs w:val="22"/>
        </w:rPr>
        <w:t xml:space="preserve">for sablefish </w:t>
      </w:r>
      <w:r w:rsidR="001B2327">
        <w:rPr>
          <w:rFonts w:ascii="Times New Roman" w:eastAsia="Calibri" w:hAnsi="Times New Roman" w:cs="Times New Roman"/>
          <w:color w:val="000000" w:themeColor="text1"/>
          <w:szCs w:val="22"/>
        </w:rPr>
        <w:t>assigne</w:t>
      </w:r>
      <w:r w:rsidR="00E46593">
        <w:rPr>
          <w:rFonts w:ascii="Times New Roman" w:eastAsia="Calibri" w:hAnsi="Times New Roman" w:cs="Times New Roman"/>
          <w:color w:val="000000" w:themeColor="text1"/>
          <w:szCs w:val="22"/>
        </w:rPr>
        <w:t xml:space="preserve">d to the LE shoreside trawl </w:t>
      </w:r>
      <w:r w:rsidR="00D02F85">
        <w:rPr>
          <w:rFonts w:ascii="Times New Roman" w:eastAsia="Calibri" w:hAnsi="Times New Roman" w:cs="Times New Roman"/>
          <w:color w:val="000000" w:themeColor="text1"/>
          <w:szCs w:val="22"/>
        </w:rPr>
        <w:t>sector</w:t>
      </w:r>
      <w:r w:rsidR="00091453">
        <w:rPr>
          <w:rFonts w:ascii="Times New Roman" w:eastAsia="Calibri" w:hAnsi="Times New Roman" w:cs="Times New Roman"/>
          <w:color w:val="000000" w:themeColor="text1"/>
          <w:szCs w:val="22"/>
        </w:rPr>
        <w:t xml:space="preserve"> </w:t>
      </w:r>
      <w:r w:rsidR="001B2327">
        <w:rPr>
          <w:rFonts w:ascii="Times New Roman" w:eastAsia="Calibri" w:hAnsi="Times New Roman" w:cs="Times New Roman"/>
          <w:color w:val="000000" w:themeColor="text1"/>
          <w:szCs w:val="22"/>
        </w:rPr>
        <w:t>landed in a “port group” by LE trawl permit holders while fishing with bottom trawls</w:t>
      </w:r>
      <w:r w:rsidR="00091453">
        <w:rPr>
          <w:rFonts w:ascii="Times New Roman" w:eastAsia="Calibri" w:hAnsi="Times New Roman" w:cs="Times New Roman"/>
          <w:color w:val="000000" w:themeColor="text1"/>
          <w:szCs w:val="22"/>
        </w:rPr>
        <w:t>.</w:t>
      </w:r>
      <w:r w:rsidR="001B2327">
        <w:rPr>
          <w:rFonts w:ascii="Times New Roman" w:eastAsia="Calibri" w:hAnsi="Times New Roman" w:cs="Times New Roman"/>
          <w:color w:val="000000" w:themeColor="text1"/>
          <w:szCs w:val="22"/>
        </w:rPr>
        <w:t xml:space="preserve"> </w:t>
      </w:r>
      <w:r w:rsidR="00E468AE">
        <w:rPr>
          <w:rFonts w:ascii="Times New Roman" w:eastAsia="Calibri" w:hAnsi="Times New Roman" w:cs="Times New Roman"/>
          <w:color w:val="000000" w:themeColor="text1"/>
          <w:szCs w:val="22"/>
        </w:rPr>
        <w:t xml:space="preserve">Historically, LE trawl permit holders fished exclusively with trawl gear, but beginning in 2011 they could fish using any gear legal within the groundfish fishery. The original intent was to compare drivers between a model investigating attainment using trawl gear and a model investigating attainment using fixed gear, but due to insufficient data for the latter conclusions will be based on </w:t>
      </w:r>
      <w:r w:rsidR="00E46593">
        <w:rPr>
          <w:rFonts w:ascii="Times New Roman" w:eastAsia="Calibri" w:hAnsi="Times New Roman" w:cs="Times New Roman"/>
          <w:color w:val="000000" w:themeColor="text1"/>
          <w:szCs w:val="22"/>
        </w:rPr>
        <w:t>estimated effects of</w:t>
      </w:r>
      <w:r w:rsidR="00E468AE">
        <w:rPr>
          <w:rFonts w:ascii="Times New Roman" w:eastAsia="Calibri" w:hAnsi="Times New Roman" w:cs="Times New Roman"/>
          <w:color w:val="000000" w:themeColor="text1"/>
          <w:szCs w:val="22"/>
        </w:rPr>
        <w:t xml:space="preserve"> drivers of fisher behaviour when using trawl gear and potential incentives that c</w:t>
      </w:r>
      <w:r w:rsidR="00E46593">
        <w:rPr>
          <w:rFonts w:ascii="Times New Roman" w:eastAsia="Calibri" w:hAnsi="Times New Roman" w:cs="Times New Roman"/>
          <w:color w:val="000000" w:themeColor="text1"/>
          <w:szCs w:val="22"/>
        </w:rPr>
        <w:t>ould</w:t>
      </w:r>
      <w:r w:rsidR="00E468AE">
        <w:rPr>
          <w:rFonts w:ascii="Times New Roman" w:eastAsia="Calibri" w:hAnsi="Times New Roman" w:cs="Times New Roman"/>
          <w:color w:val="000000" w:themeColor="text1"/>
          <w:szCs w:val="22"/>
        </w:rPr>
        <w:t xml:space="preserve"> be implemented to encourage gear switching should that be a future management goal. Patterns in attainment were investigated since 2009 because of limitations in data availability for independent variables.</w:t>
      </w:r>
    </w:p>
    <w:p w14:paraId="786B36BB" w14:textId="09C53FF0" w:rsidR="00D02F85" w:rsidRDefault="00407A14" w:rsidP="00E46593">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Landings data were retrieved from the </w:t>
      </w:r>
      <w:r w:rsidRPr="00416F9F">
        <w:rPr>
          <w:rFonts w:ascii="Times New Roman" w:eastAsia="Calibri" w:hAnsi="Times New Roman" w:cs="Times New Roman"/>
          <w:color w:val="000000" w:themeColor="text1"/>
          <w:szCs w:val="22"/>
        </w:rPr>
        <w:t xml:space="preserve">Pacific Fisheries Information Network (PacFIN) regional database, a compilation of sales receipts (i.e., fish-tickets) collected during the delivery of fish to processing plants in Washington, Oregon, and California (Pacific States Marine Fisheries Commission, Portland, OR, www.psmfc.org/pacfin). The database contains information on landings by </w:t>
      </w:r>
      <w:r>
        <w:rPr>
          <w:rFonts w:ascii="Times New Roman" w:eastAsia="Calibri" w:hAnsi="Times New Roman" w:cs="Times New Roman"/>
          <w:color w:val="000000" w:themeColor="text1"/>
          <w:szCs w:val="22"/>
        </w:rPr>
        <w:t xml:space="preserve">permit type, </w:t>
      </w:r>
      <w:r w:rsidRPr="00416F9F">
        <w:rPr>
          <w:rFonts w:ascii="Times New Roman" w:eastAsia="Calibri" w:hAnsi="Times New Roman" w:cs="Times New Roman"/>
          <w:color w:val="000000" w:themeColor="text1"/>
          <w:szCs w:val="22"/>
        </w:rPr>
        <w:t>gear</w:t>
      </w:r>
      <w:r>
        <w:rPr>
          <w:rFonts w:ascii="Times New Roman" w:eastAsia="Calibri" w:hAnsi="Times New Roman" w:cs="Times New Roman"/>
          <w:color w:val="000000" w:themeColor="text1"/>
          <w:szCs w:val="22"/>
        </w:rPr>
        <w:t>,</w:t>
      </w:r>
      <w:r w:rsidRPr="00416F9F">
        <w:rPr>
          <w:rFonts w:ascii="Times New Roman" w:eastAsia="Calibri" w:hAnsi="Times New Roman" w:cs="Times New Roman"/>
          <w:color w:val="000000" w:themeColor="text1"/>
          <w:szCs w:val="22"/>
        </w:rPr>
        <w:t xml:space="preserve"> and market category, where sablefish represent a market category.</w:t>
      </w:r>
      <w:r w:rsidR="00E1132D">
        <w:rPr>
          <w:rFonts w:ascii="Times New Roman" w:eastAsia="Calibri" w:hAnsi="Times New Roman" w:cs="Times New Roman"/>
          <w:color w:val="000000" w:themeColor="text1"/>
          <w:szCs w:val="22"/>
        </w:rPr>
        <w:t xml:space="preserve"> Landings of sablefish from US West Coast LE trawl permit holders were provided as yearly landings by port group</w:t>
      </w:r>
      <w:r w:rsidR="00091453">
        <w:rPr>
          <w:rFonts w:ascii="Times New Roman" w:eastAsia="Calibri" w:hAnsi="Times New Roman" w:cs="Times New Roman"/>
          <w:color w:val="000000" w:themeColor="text1"/>
          <w:szCs w:val="22"/>
        </w:rPr>
        <w:t xml:space="preserve"> and gear type</w:t>
      </w:r>
      <w:r w:rsidR="00E1132D">
        <w:rPr>
          <w:rFonts w:ascii="Times New Roman" w:eastAsia="Calibri" w:hAnsi="Times New Roman" w:cs="Times New Roman"/>
          <w:color w:val="000000" w:themeColor="text1"/>
          <w:szCs w:val="22"/>
        </w:rPr>
        <w:t xml:space="preserve"> (</w:t>
      </w:r>
      <w:r w:rsidR="00E1132D" w:rsidRPr="003E70ED">
        <w:rPr>
          <w:rFonts w:ascii="Times New Roman" w:eastAsia="Calibri" w:hAnsi="Times New Roman" w:cs="Times New Roman"/>
          <w:color w:val="000000" w:themeColor="text1"/>
          <w:szCs w:val="22"/>
        </w:rPr>
        <w:t xml:space="preserve">(1) Washington, (2) Astoria and Tillamook, (3) Newport, (4) Coos Bay, (5) Brookings and Crescent City, (6) Eureka, (7) Fort Bragg, </w:t>
      </w:r>
      <w:r w:rsidR="00E1132D" w:rsidRPr="003E70ED">
        <w:rPr>
          <w:rFonts w:ascii="Times New Roman" w:eastAsia="Calibri" w:hAnsi="Times New Roman" w:cs="Times New Roman"/>
          <w:color w:val="000000" w:themeColor="text1"/>
          <w:szCs w:val="22"/>
        </w:rPr>
        <w:lastRenderedPageBreak/>
        <w:t>(8) San Francisco and Bodega Bay</w:t>
      </w:r>
      <w:r w:rsidR="00C75F35">
        <w:rPr>
          <w:rFonts w:ascii="Times New Roman" w:eastAsia="Calibri" w:hAnsi="Times New Roman" w:cs="Times New Roman"/>
          <w:color w:val="000000" w:themeColor="text1"/>
          <w:szCs w:val="22"/>
        </w:rPr>
        <w:t>, and (9) Monterey and Morro Bay</w:t>
      </w:r>
      <w:r w:rsidR="00E1132D">
        <w:rPr>
          <w:rFonts w:ascii="Times New Roman" w:eastAsia="Calibri" w:hAnsi="Times New Roman" w:cs="Times New Roman"/>
          <w:color w:val="000000" w:themeColor="text1"/>
          <w:szCs w:val="22"/>
        </w:rPr>
        <w:t xml:space="preserve">). </w:t>
      </w:r>
      <w:r w:rsidR="00091453">
        <w:rPr>
          <w:rFonts w:ascii="Times New Roman" w:eastAsia="Calibri" w:hAnsi="Times New Roman" w:cs="Times New Roman"/>
          <w:color w:val="000000" w:themeColor="text1"/>
          <w:szCs w:val="22"/>
        </w:rPr>
        <w:t xml:space="preserve">The data was pre-processed to the port group level prior to its release. This pre-processing was performed to </w:t>
      </w:r>
      <w:r w:rsidR="00E1132D">
        <w:rPr>
          <w:rFonts w:ascii="Times New Roman" w:eastAsia="Calibri" w:hAnsi="Times New Roman" w:cs="Times New Roman"/>
          <w:color w:val="000000" w:themeColor="text1"/>
          <w:szCs w:val="22"/>
        </w:rPr>
        <w:t>ensure the confidentiality of vessel specific information</w:t>
      </w:r>
      <w:r w:rsidR="00091453">
        <w:rPr>
          <w:rFonts w:ascii="Times New Roman" w:eastAsia="Calibri" w:hAnsi="Times New Roman" w:cs="Times New Roman"/>
          <w:color w:val="000000" w:themeColor="text1"/>
          <w:szCs w:val="22"/>
        </w:rPr>
        <w:t>. Data were masked (i.e., not provided) when</w:t>
      </w:r>
      <w:r w:rsidR="00E1132D">
        <w:rPr>
          <w:rFonts w:ascii="Times New Roman" w:eastAsia="Calibri" w:hAnsi="Times New Roman" w:cs="Times New Roman"/>
          <w:color w:val="000000" w:themeColor="text1"/>
          <w:szCs w:val="22"/>
        </w:rPr>
        <w:t xml:space="preserve"> </w:t>
      </w:r>
      <w:r w:rsidR="00091453">
        <w:rPr>
          <w:rFonts w:ascii="Times New Roman" w:eastAsia="Calibri" w:hAnsi="Times New Roman" w:cs="Times New Roman"/>
          <w:color w:val="000000" w:themeColor="text1"/>
          <w:szCs w:val="22"/>
        </w:rPr>
        <w:t>a value represented less than 3 vessels or one vessel represented 90% of any individual statistic (</w:t>
      </w:r>
      <w:r w:rsidR="00091453" w:rsidRPr="00416F9F">
        <w:rPr>
          <w:rFonts w:ascii="Times New Roman" w:eastAsia="Calibri" w:hAnsi="Times New Roman" w:cs="Times New Roman"/>
          <w:color w:val="000000" w:themeColor="text1"/>
          <w:szCs w:val="22"/>
        </w:rPr>
        <w:t>16 U.S.C. § 1881a</w:t>
      </w:r>
      <w:r w:rsidR="00091453">
        <w:rPr>
          <w:rFonts w:ascii="Times New Roman" w:eastAsia="Calibri" w:hAnsi="Times New Roman" w:cs="Times New Roman"/>
          <w:color w:val="000000" w:themeColor="text1"/>
          <w:szCs w:val="22"/>
        </w:rPr>
        <w:t xml:space="preserve">). </w:t>
      </w:r>
      <w:r w:rsidR="00E1132D">
        <w:rPr>
          <w:rFonts w:ascii="Times New Roman" w:eastAsia="Calibri" w:hAnsi="Times New Roman" w:cs="Times New Roman"/>
          <w:color w:val="000000" w:themeColor="text1"/>
          <w:szCs w:val="22"/>
        </w:rPr>
        <w:t>Port groups were based on spatial proximity</w:t>
      </w:r>
      <w:r w:rsidR="00091453">
        <w:rPr>
          <w:rFonts w:ascii="Times New Roman" w:eastAsia="Calibri" w:hAnsi="Times New Roman" w:cs="Times New Roman"/>
          <w:color w:val="000000" w:themeColor="text1"/>
          <w:szCs w:val="22"/>
        </w:rPr>
        <w:t xml:space="preserve"> of ports</w:t>
      </w:r>
      <w:r w:rsidR="00E1132D">
        <w:rPr>
          <w:rFonts w:ascii="Times New Roman" w:eastAsia="Calibri" w:hAnsi="Times New Roman" w:cs="Times New Roman"/>
          <w:color w:val="000000" w:themeColor="text1"/>
          <w:szCs w:val="22"/>
        </w:rPr>
        <w:t xml:space="preserve"> and the ability to minimize missing information. </w:t>
      </w:r>
      <w:r w:rsidR="00C75F35">
        <w:rPr>
          <w:rFonts w:ascii="Times New Roman" w:eastAsia="Calibri" w:hAnsi="Times New Roman" w:cs="Times New Roman"/>
          <w:color w:val="000000" w:themeColor="text1"/>
          <w:szCs w:val="22"/>
        </w:rPr>
        <w:t>D</w:t>
      </w:r>
      <w:r w:rsidR="00C75F35" w:rsidRPr="00145B28">
        <w:rPr>
          <w:rFonts w:ascii="Times New Roman" w:eastAsia="Calibri" w:hAnsi="Times New Roman" w:cs="Times New Roman"/>
          <w:color w:val="000000" w:themeColor="text1"/>
          <w:szCs w:val="22"/>
        </w:rPr>
        <w:t xml:space="preserve">ata from the port group “Monterey and Morro Bay” were excluded from </w:t>
      </w:r>
      <w:r w:rsidR="00C75F35">
        <w:rPr>
          <w:rFonts w:ascii="Times New Roman" w:eastAsia="Calibri" w:hAnsi="Times New Roman" w:cs="Times New Roman"/>
          <w:color w:val="000000" w:themeColor="text1"/>
          <w:szCs w:val="22"/>
        </w:rPr>
        <w:t xml:space="preserve">the following </w:t>
      </w:r>
      <w:r w:rsidR="00C75F35" w:rsidRPr="00145B28">
        <w:rPr>
          <w:rFonts w:ascii="Times New Roman" w:eastAsia="Calibri" w:hAnsi="Times New Roman" w:cs="Times New Roman"/>
          <w:color w:val="000000" w:themeColor="text1"/>
          <w:szCs w:val="22"/>
        </w:rPr>
        <w:t xml:space="preserve">analyses because the </w:t>
      </w:r>
      <w:r w:rsidR="00C75F35">
        <w:rPr>
          <w:rFonts w:ascii="Times New Roman" w:eastAsia="Calibri" w:hAnsi="Times New Roman" w:cs="Times New Roman"/>
          <w:color w:val="000000" w:themeColor="text1"/>
          <w:szCs w:val="22"/>
        </w:rPr>
        <w:t xml:space="preserve">port </w:t>
      </w:r>
      <w:r w:rsidR="00C75F35" w:rsidRPr="00145B28">
        <w:rPr>
          <w:rFonts w:ascii="Times New Roman" w:eastAsia="Calibri" w:hAnsi="Times New Roman" w:cs="Times New Roman"/>
          <w:color w:val="000000" w:themeColor="text1"/>
          <w:szCs w:val="22"/>
        </w:rPr>
        <w:t xml:space="preserve">locations span </w:t>
      </w:r>
      <w:r w:rsidR="00C75F35">
        <w:rPr>
          <w:rFonts w:ascii="Times New Roman" w:eastAsia="Calibri" w:hAnsi="Times New Roman" w:cs="Times New Roman"/>
          <w:color w:val="000000" w:themeColor="text1"/>
          <w:szCs w:val="22"/>
        </w:rPr>
        <w:t xml:space="preserve">36°N latitude, </w:t>
      </w:r>
      <w:r w:rsidR="00C75F35" w:rsidRPr="00145B28">
        <w:rPr>
          <w:rFonts w:ascii="Times New Roman" w:eastAsia="Calibri" w:hAnsi="Times New Roman" w:cs="Times New Roman"/>
          <w:color w:val="000000" w:themeColor="text1"/>
          <w:szCs w:val="22"/>
        </w:rPr>
        <w:t>the latitudinal line used for management</w:t>
      </w:r>
      <w:r w:rsidR="008A0C6B">
        <w:rPr>
          <w:rFonts w:ascii="Times New Roman" w:eastAsia="Calibri" w:hAnsi="Times New Roman" w:cs="Times New Roman"/>
          <w:color w:val="000000" w:themeColor="text1"/>
          <w:szCs w:val="22"/>
        </w:rPr>
        <w:t xml:space="preserve"> (see below for details; </w:t>
      </w:r>
      <w:r w:rsidR="008A0C6B">
        <w:rPr>
          <w:rFonts w:ascii="Times New Roman" w:eastAsia="Calibri" w:hAnsi="Times New Roman" w:cs="Times New Roman"/>
          <w:color w:val="000000" w:themeColor="text1"/>
          <w:szCs w:val="22"/>
        </w:rPr>
        <w:fldChar w:fldCharType="begin"/>
      </w:r>
      <w:r w:rsidR="008A0C6B">
        <w:rPr>
          <w:rFonts w:ascii="Times New Roman" w:eastAsia="Calibri" w:hAnsi="Times New Roman" w:cs="Times New Roman"/>
          <w:color w:val="000000" w:themeColor="text1"/>
          <w:szCs w:val="22"/>
        </w:rPr>
        <w:instrText xml:space="preserve"> REF _Ref440985703 \h </w:instrText>
      </w:r>
      <w:r w:rsidR="008A0C6B">
        <w:rPr>
          <w:rFonts w:ascii="Times New Roman" w:eastAsia="Calibri" w:hAnsi="Times New Roman" w:cs="Times New Roman"/>
          <w:color w:val="000000" w:themeColor="text1"/>
          <w:szCs w:val="22"/>
        </w:rPr>
      </w:r>
      <w:r w:rsidR="008A0C6B">
        <w:rPr>
          <w:rFonts w:ascii="Times New Roman" w:eastAsia="Calibri" w:hAnsi="Times New Roman" w:cs="Times New Roman"/>
          <w:color w:val="000000" w:themeColor="text1"/>
          <w:szCs w:val="22"/>
        </w:rPr>
        <w:fldChar w:fldCharType="separate"/>
      </w:r>
      <w:r w:rsidR="00B20EC7" w:rsidRPr="00543854">
        <w:rPr>
          <w:rFonts w:ascii="Times New Roman" w:eastAsia="Calibri" w:hAnsi="Times New Roman" w:cs="Times New Roman"/>
          <w:color w:val="000000" w:themeColor="text1"/>
          <w:szCs w:val="22"/>
        </w:rPr>
        <w:t xml:space="preserve">Figure </w:t>
      </w:r>
      <w:r w:rsidR="00B20EC7">
        <w:rPr>
          <w:rFonts w:ascii="Times New Roman" w:eastAsia="Calibri" w:hAnsi="Times New Roman" w:cs="Times New Roman"/>
          <w:noProof/>
          <w:color w:val="000000" w:themeColor="text1"/>
          <w:szCs w:val="22"/>
        </w:rPr>
        <w:t>2</w:t>
      </w:r>
      <w:r w:rsidR="008A0C6B">
        <w:rPr>
          <w:rFonts w:ascii="Times New Roman" w:eastAsia="Calibri" w:hAnsi="Times New Roman" w:cs="Times New Roman"/>
          <w:color w:val="000000" w:themeColor="text1"/>
          <w:szCs w:val="22"/>
        </w:rPr>
        <w:fldChar w:fldCharType="end"/>
      </w:r>
      <w:r w:rsidR="008A0C6B">
        <w:rPr>
          <w:rFonts w:ascii="Times New Roman" w:eastAsia="Calibri" w:hAnsi="Times New Roman" w:cs="Times New Roman"/>
          <w:color w:val="000000" w:themeColor="text1"/>
          <w:szCs w:val="22"/>
        </w:rPr>
        <w:t>)</w:t>
      </w:r>
      <w:r w:rsidR="00C75F35" w:rsidRPr="00145B28">
        <w:rPr>
          <w:rFonts w:ascii="Times New Roman" w:eastAsia="Calibri" w:hAnsi="Times New Roman" w:cs="Times New Roman"/>
          <w:color w:val="000000" w:themeColor="text1"/>
          <w:szCs w:val="22"/>
        </w:rPr>
        <w:t>.</w:t>
      </w:r>
    </w:p>
    <w:p w14:paraId="5DC3DED2" w14:textId="2C3AD351" w:rsidR="00586880" w:rsidRDefault="001B2327"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GAMLSS extend</w:t>
      </w:r>
      <w:r w:rsidR="00EC317F">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the traditional generalized additive framework (Hastie and Tibshirani, 1990), allowing the conditional distribution of the response variable, given a set of covariates, to be modelled with a variety of </w:t>
      </w:r>
      <w:r w:rsidR="00EC317F">
        <w:rPr>
          <w:rFonts w:ascii="Times New Roman" w:eastAsia="Calibri" w:hAnsi="Times New Roman" w:cs="Times New Roman"/>
          <w:color w:val="000000" w:themeColor="text1"/>
          <w:szCs w:val="22"/>
        </w:rPr>
        <w:t>distributions</w:t>
      </w:r>
      <w:r>
        <w:rPr>
          <w:rFonts w:ascii="Times New Roman" w:eastAsia="Calibri" w:hAnsi="Times New Roman" w:cs="Times New Roman"/>
          <w:color w:val="000000" w:themeColor="text1"/>
          <w:szCs w:val="22"/>
        </w:rPr>
        <w:t xml:space="preserve">, including ones outside of the exponential family, and parameters other than the mean to be modelled with their own covariates and associated link functions. For instance, GAMLSS can accommodate zero-inflated distributions, such as the zero-inflated beta distribution, and include covariates for </w:t>
      </w:r>
      <w:r w:rsidR="00BA524A">
        <w:rPr>
          <w:rFonts w:ascii="Times New Roman" w:eastAsia="Calibri" w:hAnsi="Times New Roman" w:cs="Times New Roman"/>
          <w:color w:val="000000" w:themeColor="text1"/>
          <w:szCs w:val="22"/>
        </w:rPr>
        <w:t xml:space="preserve">the </w:t>
      </w:r>
      <w:r>
        <w:rPr>
          <w:rFonts w:ascii="Times New Roman" w:eastAsia="Calibri" w:hAnsi="Times New Roman" w:cs="Times New Roman"/>
          <w:color w:val="000000" w:themeColor="text1"/>
          <w:szCs w:val="22"/>
        </w:rPr>
        <w:t xml:space="preserve">mean, precision, and </w:t>
      </w:r>
      <w:r w:rsidR="00BA524A">
        <w:rPr>
          <w:rFonts w:ascii="Times New Roman" w:eastAsia="Calibri" w:hAnsi="Times New Roman" w:cs="Times New Roman"/>
          <w:color w:val="000000" w:themeColor="text1"/>
          <w:szCs w:val="22"/>
        </w:rPr>
        <w:t xml:space="preserve">extent of </w:t>
      </w:r>
      <w:r>
        <w:rPr>
          <w:rFonts w:ascii="Times New Roman" w:eastAsia="Calibri" w:hAnsi="Times New Roman" w:cs="Times New Roman"/>
          <w:color w:val="000000" w:themeColor="text1"/>
          <w:szCs w:val="22"/>
        </w:rPr>
        <w:t xml:space="preserve">zero-inflation parameters. Analyses were conducted using the </w:t>
      </w:r>
      <w:r>
        <w:rPr>
          <w:rFonts w:ascii="Courier New" w:eastAsia="Calibri" w:hAnsi="Courier New" w:cs="Courier New"/>
          <w:color w:val="000000" w:themeColor="text1"/>
          <w:szCs w:val="22"/>
        </w:rPr>
        <w:t xml:space="preserve">gamboostLSS </w:t>
      </w:r>
      <w:r>
        <w:rPr>
          <w:rFonts w:ascii="Times New Roman" w:eastAsia="Calibri" w:hAnsi="Times New Roman" w:cs="Times New Roman"/>
          <w:color w:val="000000" w:themeColor="text1"/>
          <w:szCs w:val="22"/>
        </w:rPr>
        <w:t>package (</w:t>
      </w:r>
      <w:r w:rsidR="003C29E6">
        <w:rPr>
          <w:rFonts w:ascii="Times New Roman" w:eastAsia="Calibri" w:hAnsi="Times New Roman" w:cs="Times New Roman"/>
          <w:color w:val="000000" w:themeColor="text1"/>
          <w:szCs w:val="22"/>
        </w:rPr>
        <w:t xml:space="preserve">Mayr </w:t>
      </w:r>
      <w:r w:rsidR="003C29E6">
        <w:rPr>
          <w:rFonts w:ascii="Times New Roman" w:eastAsia="Calibri" w:hAnsi="Times New Roman" w:cs="Times New Roman"/>
          <w:i/>
          <w:color w:val="000000" w:themeColor="text1"/>
          <w:szCs w:val="22"/>
        </w:rPr>
        <w:t>et al</w:t>
      </w:r>
      <w:r w:rsidR="003C29E6">
        <w:rPr>
          <w:rFonts w:ascii="Times New Roman" w:eastAsia="Calibri" w:hAnsi="Times New Roman" w:cs="Times New Roman"/>
          <w:color w:val="000000" w:themeColor="text1"/>
          <w:szCs w:val="22"/>
        </w:rPr>
        <w:t xml:space="preserve">., 2012; </w:t>
      </w:r>
      <w:r>
        <w:rPr>
          <w:rFonts w:ascii="Times New Roman" w:eastAsia="Calibri" w:hAnsi="Times New Roman" w:cs="Times New Roman"/>
          <w:color w:val="000000" w:themeColor="text1"/>
          <w:szCs w:val="22"/>
        </w:rPr>
        <w:t>Hofner and Fenske, 2014) in R</w:t>
      </w:r>
      <w:r w:rsidR="001A0124">
        <w:rPr>
          <w:rFonts w:ascii="Times New Roman" w:eastAsia="Calibri" w:hAnsi="Times New Roman" w:cs="Times New Roman"/>
          <w:color w:val="000000" w:themeColor="text1"/>
          <w:szCs w:val="22"/>
        </w:rPr>
        <w:t xml:space="preserve"> (R Core Team, 2015)</w:t>
      </w:r>
      <w:r>
        <w:rPr>
          <w:rFonts w:ascii="Times New Roman" w:eastAsia="Calibri" w:hAnsi="Times New Roman" w:cs="Times New Roman"/>
          <w:color w:val="000000" w:themeColor="text1"/>
          <w:szCs w:val="22"/>
        </w:rPr>
        <w:t xml:space="preserve">, </w:t>
      </w:r>
      <w:r w:rsidR="001B2C07">
        <w:rPr>
          <w:rFonts w:ascii="Times New Roman" w:eastAsia="Calibri" w:hAnsi="Times New Roman" w:cs="Times New Roman"/>
          <w:color w:val="000000" w:themeColor="text1"/>
          <w:szCs w:val="22"/>
        </w:rPr>
        <w:t xml:space="preserve">as described in Schmid </w:t>
      </w:r>
      <w:r w:rsidR="001B2C07">
        <w:rPr>
          <w:rFonts w:ascii="Times New Roman" w:eastAsia="Calibri" w:hAnsi="Times New Roman" w:cs="Times New Roman"/>
          <w:i/>
          <w:color w:val="000000" w:themeColor="text1"/>
          <w:szCs w:val="22"/>
        </w:rPr>
        <w:t>et al</w:t>
      </w:r>
      <w:r w:rsidR="001B2C07" w:rsidRPr="001B2C07">
        <w:rPr>
          <w:rFonts w:ascii="Times New Roman" w:eastAsia="Calibri" w:hAnsi="Times New Roman" w:cs="Times New Roman"/>
          <w:color w:val="000000" w:themeColor="text1"/>
          <w:szCs w:val="22"/>
        </w:rPr>
        <w:t>. (2013)</w:t>
      </w:r>
      <w:r w:rsidR="001B2C07">
        <w:rPr>
          <w:rFonts w:ascii="Times New Roman" w:eastAsia="Calibri" w:hAnsi="Times New Roman" w:cs="Times New Roman"/>
          <w:color w:val="000000" w:themeColor="text1"/>
          <w:szCs w:val="22"/>
        </w:rPr>
        <w:t xml:space="preserve">.  </w:t>
      </w:r>
      <w:r w:rsidR="001B2C07">
        <w:rPr>
          <w:rFonts w:ascii="Courier New" w:eastAsia="Calibri" w:hAnsi="Courier New" w:cs="Courier New"/>
          <w:color w:val="000000" w:themeColor="text1"/>
          <w:szCs w:val="22"/>
        </w:rPr>
        <w:t xml:space="preserve">gamboostLSS </w:t>
      </w:r>
      <w:r>
        <w:rPr>
          <w:rFonts w:ascii="Times New Roman" w:eastAsia="Calibri" w:hAnsi="Times New Roman" w:cs="Times New Roman"/>
          <w:color w:val="000000" w:themeColor="text1"/>
          <w:szCs w:val="22"/>
        </w:rPr>
        <w:t>extends the GAMLSS framework to accommodate random effects, providing</w:t>
      </w:r>
      <w:r w:rsidR="0018006A" w:rsidRPr="003E70ED">
        <w:rPr>
          <w:rFonts w:ascii="Times New Roman" w:eastAsia="Calibri" w:hAnsi="Times New Roman" w:cs="Times New Roman"/>
          <w:color w:val="000000" w:themeColor="text1"/>
          <w:szCs w:val="22"/>
        </w:rPr>
        <w:t xml:space="preserve"> the flexibility needed to model statistical means of hierarchical data, which lack independence, and</w:t>
      </w:r>
      <w:r w:rsidR="00EC317F">
        <w:rPr>
          <w:rFonts w:ascii="Times New Roman" w:eastAsia="Calibri" w:hAnsi="Times New Roman" w:cs="Times New Roman"/>
          <w:color w:val="000000" w:themeColor="text1"/>
          <w:szCs w:val="22"/>
        </w:rPr>
        <w:t xml:space="preserve"> </w:t>
      </w:r>
      <w:r w:rsidR="00852BB2">
        <w:rPr>
          <w:rFonts w:ascii="Times New Roman" w:eastAsia="Calibri" w:hAnsi="Times New Roman" w:cs="Times New Roman"/>
          <w:color w:val="000000" w:themeColor="text1"/>
          <w:szCs w:val="22"/>
        </w:rPr>
        <w:t xml:space="preserve">a boosting framework that utilizes </w:t>
      </w:r>
      <w:commentRangeStart w:id="4"/>
      <w:r w:rsidR="00852BB2">
        <w:rPr>
          <w:rFonts w:ascii="Times New Roman" w:eastAsia="Calibri" w:hAnsi="Times New Roman" w:cs="Times New Roman"/>
          <w:color w:val="000000" w:themeColor="text1"/>
          <w:szCs w:val="22"/>
        </w:rPr>
        <w:t xml:space="preserve">gradient boosting algorithms </w:t>
      </w:r>
      <w:commentRangeEnd w:id="4"/>
      <w:r w:rsidR="00BA524A">
        <w:rPr>
          <w:rStyle w:val="CommentReference"/>
        </w:rPr>
        <w:commentReference w:id="4"/>
      </w:r>
      <w:r w:rsidR="00852BB2">
        <w:rPr>
          <w:rFonts w:ascii="Times New Roman" w:eastAsia="Calibri" w:hAnsi="Times New Roman" w:cs="Times New Roman"/>
          <w:color w:val="000000" w:themeColor="text1"/>
          <w:szCs w:val="22"/>
        </w:rPr>
        <w:t>to fit the model while simultaneously performing variable selection</w:t>
      </w:r>
      <w:r w:rsidR="0018006A" w:rsidRPr="003E70ED">
        <w:rPr>
          <w:rFonts w:ascii="Times New Roman" w:eastAsia="Calibri" w:hAnsi="Times New Roman" w:cs="Times New Roman"/>
          <w:color w:val="000000" w:themeColor="text1"/>
          <w:szCs w:val="22"/>
        </w:rPr>
        <w:t>.</w:t>
      </w:r>
      <w:r w:rsidR="0018006A">
        <w:rPr>
          <w:rFonts w:ascii="Times New Roman" w:eastAsia="Calibri" w:hAnsi="Times New Roman" w:cs="Times New Roman"/>
          <w:color w:val="000000" w:themeColor="text1"/>
          <w:szCs w:val="22"/>
        </w:rPr>
        <w:t xml:space="preserve"> </w:t>
      </w:r>
      <w:r w:rsidR="003C29E6">
        <w:rPr>
          <w:rFonts w:ascii="Times New Roman" w:eastAsia="Calibri" w:hAnsi="Times New Roman" w:cs="Times New Roman"/>
          <w:color w:val="000000" w:themeColor="text1"/>
          <w:szCs w:val="22"/>
        </w:rPr>
        <w:t xml:space="preserve">Specifically, </w:t>
      </w:r>
      <w:r w:rsidR="003C29E6" w:rsidRPr="003C29E6">
        <w:rPr>
          <w:rFonts w:asciiTheme="minorHAnsi" w:eastAsia="Calibri" w:hAnsiTheme="minorHAnsi" w:cstheme="minorHAnsi"/>
          <w:color w:val="000000" w:themeColor="text1"/>
          <w:szCs w:val="22"/>
        </w:rPr>
        <w:t>gamboostLSS</w:t>
      </w:r>
      <w:r w:rsidR="003C29E6">
        <w:rPr>
          <w:rFonts w:ascii="Times New Roman" w:eastAsia="Calibri" w:hAnsi="Times New Roman" w:cs="Times New Roman"/>
          <w:color w:val="000000" w:themeColor="text1"/>
          <w:szCs w:val="22"/>
        </w:rPr>
        <w:t xml:space="preserve"> </w:t>
      </w:r>
      <w:r w:rsidR="001B2C07">
        <w:rPr>
          <w:rFonts w:ascii="Times New Roman" w:eastAsia="Calibri" w:hAnsi="Times New Roman" w:cs="Times New Roman"/>
          <w:color w:val="000000" w:themeColor="text1"/>
          <w:szCs w:val="22"/>
        </w:rPr>
        <w:t xml:space="preserve">utilizes </w:t>
      </w:r>
      <w:r w:rsidR="003C29E6">
        <w:rPr>
          <w:rFonts w:ascii="Times New Roman" w:eastAsia="Calibri" w:hAnsi="Times New Roman" w:cs="Times New Roman"/>
          <w:color w:val="000000" w:themeColor="text1"/>
          <w:szCs w:val="22"/>
        </w:rPr>
        <w:t xml:space="preserve">component-wise gradient boosting </w:t>
      </w:r>
      <w:r w:rsidR="001B2C07">
        <w:rPr>
          <w:rFonts w:ascii="Times New Roman" w:eastAsia="Calibri" w:hAnsi="Times New Roman" w:cs="Times New Roman"/>
          <w:color w:val="000000" w:themeColor="text1"/>
          <w:szCs w:val="22"/>
        </w:rPr>
        <w:t xml:space="preserve">to </w:t>
      </w:r>
      <w:r w:rsidR="00427338">
        <w:rPr>
          <w:rFonts w:ascii="Times New Roman" w:eastAsia="Calibri" w:hAnsi="Times New Roman" w:cs="Times New Roman"/>
          <w:color w:val="000000" w:themeColor="text1"/>
          <w:szCs w:val="22"/>
        </w:rPr>
        <w:t xml:space="preserve">optimize </w:t>
      </w:r>
      <w:r w:rsidR="00BA524A">
        <w:rPr>
          <w:rFonts w:ascii="Times New Roman" w:eastAsia="Calibri" w:hAnsi="Times New Roman" w:cs="Times New Roman"/>
          <w:color w:val="000000" w:themeColor="text1"/>
          <w:szCs w:val="22"/>
        </w:rPr>
        <w:t xml:space="preserve">an </w:t>
      </w:r>
      <w:r w:rsidR="00427338">
        <w:rPr>
          <w:rFonts w:ascii="Times New Roman" w:eastAsia="Calibri" w:hAnsi="Times New Roman" w:cs="Times New Roman"/>
          <w:color w:val="000000" w:themeColor="text1"/>
          <w:szCs w:val="22"/>
        </w:rPr>
        <w:t>arbitrary differentiable objective function</w:t>
      </w:r>
      <w:r w:rsidR="002217A0">
        <w:rPr>
          <w:rFonts w:ascii="Times New Roman" w:eastAsia="Calibri" w:hAnsi="Times New Roman" w:cs="Times New Roman"/>
          <w:color w:val="000000" w:themeColor="text1"/>
          <w:szCs w:val="22"/>
        </w:rPr>
        <w:t>, producing a</w:t>
      </w:r>
      <w:r w:rsidR="003C29E6">
        <w:rPr>
          <w:rFonts w:ascii="Times New Roman" w:eastAsia="Calibri" w:hAnsi="Times New Roman" w:cs="Times New Roman"/>
          <w:color w:val="000000" w:themeColor="text1"/>
          <w:szCs w:val="22"/>
        </w:rPr>
        <w:t xml:space="preserve"> sparse solution with respect to all parameters</w:t>
      </w:r>
      <w:r w:rsidR="00427338">
        <w:rPr>
          <w:rFonts w:ascii="Times New Roman" w:eastAsia="Calibri" w:hAnsi="Times New Roman" w:cs="Times New Roman"/>
          <w:color w:val="000000" w:themeColor="text1"/>
          <w:szCs w:val="22"/>
        </w:rPr>
        <w:t>,</w:t>
      </w:r>
      <w:r w:rsidR="003C29E6">
        <w:rPr>
          <w:rFonts w:ascii="Times New Roman" w:eastAsia="Calibri" w:hAnsi="Times New Roman" w:cs="Times New Roman"/>
          <w:color w:val="000000" w:themeColor="text1"/>
          <w:szCs w:val="22"/>
        </w:rPr>
        <w:t xml:space="preserve"> eliminating the need to use variable selection techniques which are known to be biased and unstable (</w:t>
      </w:r>
      <w:r w:rsidR="00A74DE1">
        <w:rPr>
          <w:rFonts w:ascii="Times New Roman" w:eastAsia="Calibri" w:hAnsi="Times New Roman" w:cs="Times New Roman"/>
          <w:color w:val="000000" w:themeColor="text1"/>
          <w:szCs w:val="22"/>
        </w:rPr>
        <w:t xml:space="preserve">Ripley, 2004; Whittingham </w:t>
      </w:r>
      <w:r w:rsidR="00A74DE1">
        <w:rPr>
          <w:rFonts w:ascii="Times New Roman" w:eastAsia="Calibri" w:hAnsi="Times New Roman" w:cs="Times New Roman"/>
          <w:i/>
          <w:color w:val="000000" w:themeColor="text1"/>
          <w:szCs w:val="22"/>
        </w:rPr>
        <w:t>et al</w:t>
      </w:r>
      <w:r w:rsidR="00A74DE1">
        <w:rPr>
          <w:rFonts w:ascii="Times New Roman" w:eastAsia="Calibri" w:hAnsi="Times New Roman" w:cs="Times New Roman"/>
          <w:color w:val="000000" w:themeColor="text1"/>
          <w:szCs w:val="22"/>
        </w:rPr>
        <w:t>., 2006</w:t>
      </w:r>
      <w:r w:rsidR="003C29E6">
        <w:rPr>
          <w:rFonts w:ascii="Times New Roman" w:eastAsia="Calibri" w:hAnsi="Times New Roman" w:cs="Times New Roman"/>
          <w:color w:val="000000" w:themeColor="text1"/>
          <w:szCs w:val="22"/>
        </w:rPr>
        <w:t>).</w:t>
      </w:r>
      <w:r w:rsidR="00A74DE1">
        <w:rPr>
          <w:rFonts w:ascii="Times New Roman" w:eastAsia="Calibri" w:hAnsi="Times New Roman" w:cs="Times New Roman"/>
          <w:color w:val="000000" w:themeColor="text1"/>
          <w:szCs w:val="22"/>
        </w:rPr>
        <w:t xml:space="preserve"> </w:t>
      </w:r>
      <w:r w:rsidR="0058043C">
        <w:rPr>
          <w:rFonts w:ascii="Times New Roman" w:eastAsia="Calibri" w:hAnsi="Times New Roman" w:cs="Times New Roman"/>
          <w:color w:val="000000" w:themeColor="text1"/>
          <w:szCs w:val="22"/>
        </w:rPr>
        <w:t xml:space="preserve">The gradient is used to iteratively compute estimates of parameters related to the mean and subsequently the precision, where the model is initialized to not depend on any of the predictors. </w:t>
      </w:r>
      <w:r w:rsidR="00A74DE1">
        <w:rPr>
          <w:rFonts w:ascii="Times New Roman" w:eastAsia="Calibri" w:hAnsi="Times New Roman" w:cs="Times New Roman"/>
          <w:color w:val="000000" w:themeColor="text1"/>
          <w:szCs w:val="22"/>
        </w:rPr>
        <w:t>Non</w:t>
      </w:r>
      <w:r w:rsidR="00B74A04">
        <w:rPr>
          <w:rFonts w:ascii="Times New Roman" w:eastAsia="Calibri" w:hAnsi="Times New Roman" w:cs="Times New Roman"/>
          <w:color w:val="000000" w:themeColor="text1"/>
          <w:szCs w:val="22"/>
        </w:rPr>
        <w:t>-</w:t>
      </w:r>
      <w:r w:rsidR="00A74DE1">
        <w:rPr>
          <w:rFonts w:ascii="Times New Roman" w:eastAsia="Calibri" w:hAnsi="Times New Roman" w:cs="Times New Roman"/>
          <w:color w:val="000000" w:themeColor="text1"/>
          <w:szCs w:val="22"/>
        </w:rPr>
        <w:t>linear predictor-response relationships were modelled using penalized regression splines</w:t>
      </w:r>
      <w:r w:rsidR="00BA524A">
        <w:rPr>
          <w:rFonts w:ascii="Times New Roman" w:eastAsia="Calibri" w:hAnsi="Times New Roman" w:cs="Times New Roman"/>
          <w:color w:val="000000" w:themeColor="text1"/>
          <w:szCs w:val="22"/>
        </w:rPr>
        <w:t>,</w:t>
      </w:r>
      <w:r w:rsidR="00B74A04">
        <w:rPr>
          <w:rFonts w:ascii="Times New Roman" w:eastAsia="Calibri" w:hAnsi="Times New Roman" w:cs="Times New Roman"/>
          <w:color w:val="000000" w:themeColor="text1"/>
          <w:szCs w:val="22"/>
        </w:rPr>
        <w:t xml:space="preserve"> allowing for the inclusion of non-linear relationships without </w:t>
      </w:r>
      <w:r w:rsidR="00B74A04">
        <w:rPr>
          <w:rFonts w:ascii="Times New Roman" w:eastAsia="Calibri" w:hAnsi="Times New Roman" w:cs="Times New Roman"/>
          <w:i/>
          <w:color w:val="000000" w:themeColor="text1"/>
          <w:szCs w:val="22"/>
        </w:rPr>
        <w:t>a priori</w:t>
      </w:r>
      <w:r w:rsidR="00B74A04" w:rsidRPr="00B74A04">
        <w:rPr>
          <w:rFonts w:ascii="Times New Roman" w:eastAsia="Calibri" w:hAnsi="Times New Roman" w:cs="Times New Roman"/>
          <w:color w:val="000000" w:themeColor="text1"/>
          <w:szCs w:val="22"/>
        </w:rPr>
        <w:t xml:space="preserve"> </w:t>
      </w:r>
      <w:r w:rsidR="00B74A04">
        <w:rPr>
          <w:rFonts w:ascii="Times New Roman" w:eastAsia="Calibri" w:hAnsi="Times New Roman" w:cs="Times New Roman"/>
          <w:color w:val="000000" w:themeColor="text1"/>
          <w:szCs w:val="22"/>
        </w:rPr>
        <w:t>specified functional forms</w:t>
      </w:r>
      <w:r w:rsidR="00A74DE1">
        <w:rPr>
          <w:rFonts w:ascii="Times New Roman" w:eastAsia="Calibri" w:hAnsi="Times New Roman" w:cs="Times New Roman"/>
          <w:color w:val="000000" w:themeColor="text1"/>
          <w:szCs w:val="22"/>
        </w:rPr>
        <w:t>.</w:t>
      </w:r>
      <w:r w:rsidR="0058043C">
        <w:rPr>
          <w:rFonts w:ascii="Times New Roman" w:eastAsia="Calibri" w:hAnsi="Times New Roman" w:cs="Times New Roman"/>
          <w:color w:val="000000" w:themeColor="text1"/>
          <w:szCs w:val="22"/>
        </w:rPr>
        <w:t xml:space="preserve"> Categorical predictors were modelled using dummy coded binary variables.</w:t>
      </w:r>
    </w:p>
    <w:p w14:paraId="71A1632E" w14:textId="44EE09B7" w:rsidR="00B87779" w:rsidRDefault="009B1162"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Recent literature on the issue </w:t>
      </w:r>
      <w:r w:rsidR="00D02F85">
        <w:rPr>
          <w:rFonts w:ascii="Times New Roman" w:eastAsia="Calibri" w:hAnsi="Times New Roman" w:cs="Times New Roman"/>
          <w:color w:val="000000" w:themeColor="text1"/>
          <w:szCs w:val="22"/>
        </w:rPr>
        <w:t xml:space="preserve">of </w:t>
      </w:r>
      <w:r w:rsidR="006B6D62">
        <w:rPr>
          <w:rFonts w:ascii="Times New Roman" w:eastAsia="Calibri" w:hAnsi="Times New Roman" w:cs="Times New Roman"/>
          <w:color w:val="000000" w:themeColor="text1"/>
          <w:szCs w:val="22"/>
        </w:rPr>
        <w:t>whether to transform the response variable</w:t>
      </w:r>
      <w:r>
        <w:rPr>
          <w:rFonts w:ascii="Times New Roman" w:eastAsia="Calibri" w:hAnsi="Times New Roman" w:cs="Times New Roman"/>
          <w:color w:val="000000" w:themeColor="text1"/>
          <w:szCs w:val="22"/>
        </w:rPr>
        <w:t xml:space="preserve"> (e.g., arcsine squareroot transformation) or us</w:t>
      </w:r>
      <w:r w:rsidR="006B6D62">
        <w:rPr>
          <w:rFonts w:ascii="Times New Roman" w:eastAsia="Calibri" w:hAnsi="Times New Roman" w:cs="Times New Roman"/>
          <w:color w:val="000000" w:themeColor="text1"/>
          <w:szCs w:val="22"/>
        </w:rPr>
        <w:t>e</w:t>
      </w:r>
      <w:r>
        <w:rPr>
          <w:rFonts w:ascii="Times New Roman" w:eastAsia="Calibri" w:hAnsi="Times New Roman" w:cs="Times New Roman"/>
          <w:color w:val="000000" w:themeColor="text1"/>
          <w:szCs w:val="22"/>
        </w:rPr>
        <w:t xml:space="preserve"> a distribution</w:t>
      </w:r>
      <w:r w:rsidR="00D02F85">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r w:rsidR="00BA524A">
        <w:rPr>
          <w:rFonts w:ascii="Times New Roman" w:eastAsia="Calibri" w:hAnsi="Times New Roman" w:cs="Times New Roman"/>
          <w:color w:val="000000" w:themeColor="text1"/>
          <w:szCs w:val="22"/>
        </w:rPr>
        <w:t>on the observed scale</w:t>
      </w:r>
      <w:r w:rsidR="00D02F85">
        <w:rPr>
          <w:rFonts w:ascii="Times New Roman" w:eastAsia="Calibri" w:hAnsi="Times New Roman" w:cs="Times New Roman"/>
          <w:color w:val="000000" w:themeColor="text1"/>
          <w:szCs w:val="22"/>
        </w:rPr>
        <w:t>,</w:t>
      </w:r>
      <w:r w:rsidR="00BA524A">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when working with proportion data</w:t>
      </w:r>
      <w:r w:rsidR="00D02F85">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favours </w:t>
      </w:r>
      <w:r w:rsidR="00835FCE">
        <w:rPr>
          <w:rFonts w:ascii="Times New Roman" w:eastAsia="Calibri" w:hAnsi="Times New Roman" w:cs="Times New Roman"/>
          <w:color w:val="000000" w:themeColor="text1"/>
          <w:szCs w:val="22"/>
        </w:rPr>
        <w:t>using</w:t>
      </w:r>
      <w:r w:rsidR="006B6D62">
        <w:rPr>
          <w:rFonts w:ascii="Times New Roman" w:eastAsia="Calibri" w:hAnsi="Times New Roman" w:cs="Times New Roman"/>
          <w:color w:val="000000" w:themeColor="text1"/>
          <w:szCs w:val="22"/>
        </w:rPr>
        <w:t xml:space="preserve"> either</w:t>
      </w:r>
      <w:r w:rsidR="00835FCE">
        <w:rPr>
          <w:rFonts w:ascii="Times New Roman" w:eastAsia="Calibri" w:hAnsi="Times New Roman" w:cs="Times New Roman"/>
          <w:color w:val="000000" w:themeColor="text1"/>
          <w:szCs w:val="22"/>
        </w:rPr>
        <w:t xml:space="preserve"> the </w:t>
      </w:r>
      <w:r w:rsidR="006B6D62">
        <w:rPr>
          <w:rFonts w:ascii="Times New Roman" w:eastAsia="Calibri" w:hAnsi="Times New Roman" w:cs="Times New Roman"/>
          <w:color w:val="000000" w:themeColor="text1"/>
          <w:szCs w:val="22"/>
        </w:rPr>
        <w:t>binomial or beta distribution</w:t>
      </w:r>
      <w:r>
        <w:rPr>
          <w:rFonts w:ascii="Times New Roman" w:eastAsia="Calibri" w:hAnsi="Times New Roman" w:cs="Times New Roman"/>
          <w:color w:val="000000" w:themeColor="text1"/>
          <w:szCs w:val="22"/>
        </w:rPr>
        <w:t xml:space="preserve"> with </w:t>
      </w:r>
      <w:r w:rsidR="006B6D62">
        <w:rPr>
          <w:rFonts w:ascii="Times New Roman" w:eastAsia="Calibri" w:hAnsi="Times New Roman" w:cs="Times New Roman"/>
          <w:color w:val="000000" w:themeColor="text1"/>
          <w:szCs w:val="22"/>
        </w:rPr>
        <w:t>a logit link function</w:t>
      </w:r>
      <w:r w:rsidR="00835FCE">
        <w:rPr>
          <w:rFonts w:ascii="Times New Roman" w:eastAsia="Calibri" w:hAnsi="Times New Roman" w:cs="Times New Roman"/>
          <w:color w:val="000000" w:themeColor="text1"/>
          <w:szCs w:val="22"/>
        </w:rPr>
        <w:t xml:space="preserve"> (Warton and Hui, 2011; Schmid </w:t>
      </w:r>
      <w:r w:rsidR="00835FCE">
        <w:rPr>
          <w:rFonts w:ascii="Times New Roman" w:eastAsia="Calibri" w:hAnsi="Times New Roman" w:cs="Times New Roman"/>
          <w:i/>
          <w:color w:val="000000" w:themeColor="text1"/>
          <w:szCs w:val="22"/>
        </w:rPr>
        <w:t>et al</w:t>
      </w:r>
      <w:r w:rsidR="00835FCE">
        <w:rPr>
          <w:rFonts w:ascii="Times New Roman" w:eastAsia="Calibri" w:hAnsi="Times New Roman" w:cs="Times New Roman"/>
          <w:color w:val="000000" w:themeColor="text1"/>
          <w:szCs w:val="22"/>
        </w:rPr>
        <w:t>., 2013; Herpigny and Gosselin, 2015)</w:t>
      </w:r>
      <w:r>
        <w:rPr>
          <w:rFonts w:ascii="Times New Roman" w:eastAsia="Calibri" w:hAnsi="Times New Roman" w:cs="Times New Roman"/>
          <w:color w:val="000000" w:themeColor="text1"/>
          <w:szCs w:val="22"/>
        </w:rPr>
        <w:t xml:space="preserve">. </w:t>
      </w:r>
      <w:r w:rsidR="00C42472">
        <w:rPr>
          <w:rFonts w:ascii="Times New Roman" w:eastAsia="Calibri" w:hAnsi="Times New Roman" w:cs="Times New Roman"/>
          <w:color w:val="000000" w:themeColor="text1"/>
          <w:szCs w:val="22"/>
        </w:rPr>
        <w:t xml:space="preserve">Here, a </w:t>
      </w:r>
      <w:r w:rsidR="00D02F85">
        <w:rPr>
          <w:rFonts w:ascii="Times New Roman" w:eastAsia="Calibri" w:hAnsi="Times New Roman" w:cs="Times New Roman"/>
          <w:color w:val="000000" w:themeColor="text1"/>
          <w:szCs w:val="22"/>
        </w:rPr>
        <w:t>b</w:t>
      </w:r>
      <w:r w:rsidR="00C42472">
        <w:rPr>
          <w:rFonts w:ascii="Times New Roman" w:eastAsia="Calibri" w:hAnsi="Times New Roman" w:cs="Times New Roman"/>
          <w:color w:val="000000" w:themeColor="text1"/>
          <w:szCs w:val="22"/>
        </w:rPr>
        <w:t>eta distribution was deemed appropriate because</w:t>
      </w:r>
      <w:r w:rsidR="006B6D62">
        <w:rPr>
          <w:rFonts w:ascii="Times New Roman" w:eastAsia="Calibri" w:hAnsi="Times New Roman" w:cs="Times New Roman"/>
          <w:color w:val="000000" w:themeColor="text1"/>
          <w:szCs w:val="22"/>
        </w:rPr>
        <w:t xml:space="preserve"> the</w:t>
      </w:r>
      <w:r>
        <w:rPr>
          <w:rFonts w:ascii="Times New Roman" w:eastAsia="Calibri" w:hAnsi="Times New Roman" w:cs="Times New Roman"/>
          <w:color w:val="000000" w:themeColor="text1"/>
          <w:szCs w:val="22"/>
        </w:rPr>
        <w:t xml:space="preserve"> dependent variable, attainment, </w:t>
      </w:r>
      <w:r w:rsidR="006B6D62">
        <w:rPr>
          <w:rFonts w:ascii="Times New Roman" w:eastAsia="Calibri" w:hAnsi="Times New Roman" w:cs="Times New Roman"/>
          <w:color w:val="000000" w:themeColor="text1"/>
          <w:szCs w:val="22"/>
        </w:rPr>
        <w:t xml:space="preserve">included decimal values and </w:t>
      </w:r>
      <w:r>
        <w:rPr>
          <w:rFonts w:ascii="Times New Roman" w:eastAsia="Calibri" w:hAnsi="Times New Roman" w:cs="Times New Roman"/>
          <w:color w:val="000000" w:themeColor="text1"/>
          <w:szCs w:val="22"/>
        </w:rPr>
        <w:t xml:space="preserve">was bounded on the interval [0, 1], with zero observations at the boundaries </w:t>
      </w:r>
      <w:r w:rsidR="00B87779" w:rsidRPr="00B87779">
        <w:rPr>
          <w:rFonts w:ascii="Times New Roman" w:eastAsia="Calibri" w:hAnsi="Times New Roman" w:cs="Times New Roman"/>
          <w:color w:val="000000" w:themeColor="text1"/>
          <w:szCs w:val="22"/>
        </w:rPr>
        <w:t>(Crowder, 1978, Smithson and Verkuilen, 2006</w:t>
      </w:r>
      <w:r>
        <w:rPr>
          <w:rFonts w:ascii="Times New Roman" w:eastAsia="Calibri" w:hAnsi="Times New Roman" w:cs="Times New Roman"/>
          <w:color w:val="000000" w:themeColor="text1"/>
          <w:szCs w:val="22"/>
        </w:rPr>
        <w:t xml:space="preserve">; Schmid </w:t>
      </w:r>
      <w:r>
        <w:rPr>
          <w:rFonts w:ascii="Times New Roman" w:eastAsia="Calibri" w:hAnsi="Times New Roman" w:cs="Times New Roman"/>
          <w:i/>
          <w:color w:val="000000" w:themeColor="text1"/>
          <w:szCs w:val="22"/>
        </w:rPr>
        <w:t>et al</w:t>
      </w:r>
      <w:r w:rsidRPr="009B1162">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2013</w:t>
      </w:r>
      <w:r w:rsidR="00D02F85">
        <w:rPr>
          <w:rFonts w:ascii="Times New Roman" w:eastAsia="Calibri" w:hAnsi="Times New Roman" w:cs="Times New Roman"/>
          <w:color w:val="000000" w:themeColor="text1"/>
          <w:szCs w:val="22"/>
        </w:rPr>
        <w:t>). The b</w:t>
      </w:r>
      <w:r w:rsidR="00B87779" w:rsidRPr="00B87779">
        <w:rPr>
          <w:rFonts w:ascii="Times New Roman" w:eastAsia="Calibri" w:hAnsi="Times New Roman" w:cs="Times New Roman"/>
          <w:color w:val="000000" w:themeColor="text1"/>
          <w:szCs w:val="22"/>
        </w:rPr>
        <w:t>eta distribution is a continuous distributio</w:t>
      </w:r>
      <w:r w:rsidR="00D02F85">
        <w:rPr>
          <w:rFonts w:ascii="Times New Roman" w:eastAsia="Calibri" w:hAnsi="Times New Roman" w:cs="Times New Roman"/>
          <w:color w:val="000000" w:themeColor="text1"/>
          <w:szCs w:val="22"/>
        </w:rPr>
        <w:t>n with finite support on [0, 1] and</w:t>
      </w:r>
      <w:r w:rsidR="00C42472">
        <w:rPr>
          <w:rFonts w:ascii="Times New Roman" w:eastAsia="Calibri" w:hAnsi="Times New Roman" w:cs="Times New Roman"/>
          <w:color w:val="000000" w:themeColor="text1"/>
          <w:szCs w:val="22"/>
        </w:rPr>
        <w:t xml:space="preserve"> is </w:t>
      </w:r>
      <w:r w:rsidR="00B87779" w:rsidRPr="00B87779">
        <w:rPr>
          <w:rFonts w:ascii="Times New Roman" w:eastAsia="Calibri" w:hAnsi="Times New Roman" w:cs="Times New Roman"/>
          <w:color w:val="000000" w:themeColor="text1"/>
          <w:szCs w:val="22"/>
        </w:rPr>
        <w:t xml:space="preserve">governed by two shape parameters, </w:t>
      </w:r>
      <m:oMath>
        <m:r>
          <w:rPr>
            <w:rFonts w:ascii="Cambria Math" w:eastAsia="Calibri" w:hAnsi="Cambria Math" w:cs="Times New Roman"/>
            <w:color w:val="000000" w:themeColor="text1"/>
            <w:szCs w:val="22"/>
          </w:rPr>
          <m:t>μ</m:t>
        </m:r>
      </m:oMath>
      <w:r w:rsidR="00B87779" w:rsidRPr="00B87779">
        <w:rPr>
          <w:rFonts w:ascii="Times New Roman" w:eastAsia="Calibri" w:hAnsi="Times New Roman" w:cs="Times New Roman"/>
          <w:color w:val="000000" w:themeColor="text1"/>
          <w:szCs w:val="22"/>
        </w:rPr>
        <w:t xml:space="preserve"> and </w:t>
      </w:r>
      <m:oMath>
        <m:r>
          <w:rPr>
            <w:rFonts w:ascii="Cambria Math" w:eastAsia="Calibri" w:hAnsi="Cambria Math" w:cs="Times New Roman"/>
            <w:color w:val="000000" w:themeColor="text1"/>
            <w:szCs w:val="22"/>
          </w:rPr>
          <m:t>ϕ</m:t>
        </m:r>
      </m:oMath>
      <w:r w:rsidR="00C42472">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f</m:t>
        </m:r>
        <m:d>
          <m:dPr>
            <m:ctrlPr>
              <w:rPr>
                <w:rFonts w:ascii="Cambria Math" w:eastAsia="Calibri" w:hAnsi="Cambria Math" w:cs="Times New Roman"/>
                <w:i/>
                <w:iCs/>
                <w:color w:val="000000" w:themeColor="text1"/>
                <w:szCs w:val="22"/>
              </w:rPr>
            </m:ctrlPr>
          </m:dPr>
          <m:e>
            <m:r>
              <w:rPr>
                <w:rFonts w:ascii="Cambria Math" w:eastAsia="Calibri" w:hAnsi="Cambria Math" w:cs="Times New Roman"/>
                <w:color w:val="000000" w:themeColor="text1"/>
                <w:szCs w:val="22"/>
              </w:rPr>
              <m:t>y;μ,ϕ</m:t>
            </m:r>
          </m:e>
        </m:d>
        <m:r>
          <w:rPr>
            <w:rFonts w:ascii="Cambria Math" w:eastAsia="Calibri" w:hAnsi="Cambria Math" w:cs="Times New Roman"/>
            <w:color w:val="000000" w:themeColor="text1"/>
            <w:szCs w:val="22"/>
          </w:rPr>
          <m:t xml:space="preserve">= </m:t>
        </m:r>
        <m:f>
          <m:fPr>
            <m:ctrlPr>
              <w:rPr>
                <w:rFonts w:ascii="Cambria Math" w:eastAsia="Calibri" w:hAnsi="Cambria Math" w:cs="Times New Roman"/>
                <w:i/>
                <w:color w:val="000000" w:themeColor="text1"/>
                <w:szCs w:val="22"/>
              </w:rPr>
            </m:ctrlPr>
          </m:fPr>
          <m:num>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ϕ</m:t>
                </m:r>
              </m:e>
            </m:d>
          </m:num>
          <m:den>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μϕ</m:t>
                </m:r>
              </m:e>
            </m:d>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(1-μ)ϕ</m:t>
                </m:r>
              </m:e>
            </m:d>
          </m:den>
        </m:f>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y</m:t>
            </m:r>
          </m:e>
          <m:sup>
            <m:r>
              <w:rPr>
                <w:rFonts w:ascii="Cambria Math" w:eastAsia="Calibri" w:hAnsi="Cambria Math" w:cs="Times New Roman"/>
                <w:color w:val="000000" w:themeColor="text1"/>
                <w:szCs w:val="22"/>
              </w:rPr>
              <m:t>μϕ-1</m:t>
            </m:r>
          </m:sup>
        </m:sSup>
        <m:sSup>
          <m:sSupPr>
            <m:ctrlPr>
              <w:rPr>
                <w:rFonts w:ascii="Cambria Math" w:eastAsia="Calibri" w:hAnsi="Cambria Math" w:cs="Times New Roman"/>
                <w:i/>
                <w:color w:val="000000" w:themeColor="text1"/>
                <w:szCs w:val="22"/>
              </w:rPr>
            </m:ctrlPr>
          </m:sSupPr>
          <m:e>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1-y</m:t>
                </m:r>
              </m:e>
            </m:d>
          </m:e>
          <m:sup>
            <m:r>
              <w:rPr>
                <w:rFonts w:ascii="Cambria Math" w:eastAsia="Calibri" w:hAnsi="Cambria Math" w:cs="Times New Roman"/>
                <w:color w:val="000000" w:themeColor="text1"/>
                <w:szCs w:val="22"/>
              </w:rPr>
              <m:t>(1-μ)ϕ-1</m:t>
            </m:r>
          </m:sup>
        </m:sSup>
      </m:oMath>
      <w:r w:rsidR="00B87779">
        <w:rPr>
          <w:rFonts w:ascii="Times New Roman" w:eastAsia="Calibri" w:hAnsi="Times New Roman" w:cs="Times New Roman"/>
          <w:iCs/>
          <w:color w:val="000000" w:themeColor="text1"/>
          <w:szCs w:val="22"/>
        </w:rPr>
        <w:t xml:space="preserve">, </w:t>
      </w:r>
      <w:r w:rsidR="00B87779" w:rsidRPr="00B87779">
        <w:rPr>
          <w:rFonts w:ascii="Times New Roman" w:eastAsia="Calibri" w:hAnsi="Times New Roman" w:cs="Times New Roman"/>
          <w:color w:val="000000" w:themeColor="text1"/>
          <w:szCs w:val="22"/>
        </w:rPr>
        <w:t xml:space="preserve">where </w:t>
      </w:r>
      <w:r w:rsidR="00ED2144">
        <w:rPr>
          <w:rFonts w:ascii="Times New Roman" w:eastAsia="Calibri" w:hAnsi="Times New Roman" w:cs="Times New Roman"/>
          <w:color w:val="000000" w:themeColor="text1"/>
          <w:szCs w:val="22"/>
        </w:rPr>
        <w:t xml:space="preserve">μ is the mean of </w:t>
      </w:r>
      <m:oMath>
        <m:r>
          <m:rPr>
            <m:sty m:val="b"/>
          </m:rPr>
          <w:rPr>
            <w:rFonts w:ascii="Cambria Math" w:eastAsia="Calibri" w:hAnsi="Cambria Math" w:cs="Times New Roman"/>
            <w:color w:val="000000" w:themeColor="text1"/>
            <w:szCs w:val="22"/>
          </w:rPr>
          <m:t>y</m:t>
        </m:r>
      </m:oMath>
      <w:r w:rsidR="00ED2144">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ϕ&gt;0</m:t>
        </m:r>
      </m:oMath>
      <w:r w:rsidR="00D02F85">
        <w:rPr>
          <w:rFonts w:ascii="Times New Roman" w:eastAsia="Calibri" w:hAnsi="Times New Roman" w:cs="Times New Roman"/>
          <w:color w:val="000000" w:themeColor="text1"/>
          <w:szCs w:val="22"/>
        </w:rPr>
        <w:t xml:space="preserve"> is the precision parameter</w:t>
      </w:r>
      <w:r w:rsidR="00ED2144">
        <w:rPr>
          <w:rFonts w:ascii="Times New Roman" w:eastAsia="Calibri" w:hAnsi="Times New Roman" w:cs="Times New Roman"/>
          <w:color w:val="000000" w:themeColor="text1"/>
          <w:szCs w:val="22"/>
        </w:rPr>
        <w:t xml:space="preserve"> and </w:t>
      </w:r>
      <m:oMath>
        <m:r>
          <m:rPr>
            <m:sty m:val="p"/>
          </m:rPr>
          <w:rPr>
            <w:rFonts w:ascii="Cambria Math" w:eastAsia="Calibri" w:hAnsi="Cambria Math" w:cs="Times New Roman"/>
            <w:color w:val="000000" w:themeColor="text1"/>
            <w:szCs w:val="22"/>
          </w:rPr>
          <m:t>Γ</m:t>
        </m:r>
        <m:r>
          <w:rPr>
            <w:rFonts w:ascii="Cambria Math" w:eastAsia="Calibri" w:hAnsi="Cambria Math" w:cs="Times New Roman"/>
            <w:color w:val="000000" w:themeColor="text1"/>
            <w:szCs w:val="22"/>
          </w:rPr>
          <m:t>(·)</m:t>
        </m:r>
      </m:oMath>
      <w:r w:rsidR="00ED2144">
        <w:rPr>
          <w:rFonts w:ascii="Times New Roman" w:eastAsia="Calibri" w:hAnsi="Times New Roman" w:cs="Times New Roman"/>
          <w:color w:val="000000" w:themeColor="text1"/>
          <w:szCs w:val="22"/>
        </w:rPr>
        <w:t xml:space="preserve"> is the gamma function</w:t>
      </w:r>
      <w:r w:rsidR="002F1B15">
        <w:rPr>
          <w:rFonts w:ascii="Times New Roman" w:eastAsia="Calibri" w:hAnsi="Times New Roman" w:cs="Times New Roman"/>
          <w:color w:val="000000" w:themeColor="text1"/>
          <w:szCs w:val="22"/>
        </w:rPr>
        <w:t xml:space="preserve"> </w:t>
      </w:r>
      <w:r w:rsidR="00B87779" w:rsidRPr="00B87779">
        <w:rPr>
          <w:rFonts w:ascii="Times New Roman" w:eastAsia="Calibri" w:hAnsi="Times New Roman" w:cs="Times New Roman"/>
          <w:color w:val="000000" w:themeColor="text1"/>
          <w:szCs w:val="22"/>
        </w:rPr>
        <w:t xml:space="preserve">(Ferrari and Cribari-Neto, 2004). </w:t>
      </w:r>
      <w:r w:rsidR="00F732F0">
        <w:rPr>
          <w:rFonts w:ascii="Times New Roman" w:eastAsia="Calibri" w:hAnsi="Times New Roman" w:cs="Times New Roman"/>
          <w:color w:val="000000" w:themeColor="text1"/>
          <w:szCs w:val="22"/>
        </w:rPr>
        <w:t xml:space="preserve">The variance of </w:t>
      </w:r>
      <m:oMath>
        <m:r>
          <m:rPr>
            <m:sty m:val="b"/>
          </m:rPr>
          <w:rPr>
            <w:rFonts w:ascii="Cambria Math" w:eastAsia="Calibri" w:hAnsi="Cambria Math" w:cs="Times New Roman"/>
            <w:color w:val="000000" w:themeColor="text1"/>
            <w:szCs w:val="22"/>
          </w:rPr>
          <m:t>y</m:t>
        </m:r>
      </m:oMath>
      <w:r w:rsidR="00F732F0">
        <w:rPr>
          <w:rFonts w:ascii="Times New Roman" w:eastAsia="Calibri" w:hAnsi="Times New Roman" w:cs="Times New Roman"/>
          <w:color w:val="000000" w:themeColor="text1"/>
          <w:szCs w:val="22"/>
        </w:rPr>
        <w:t xml:space="preserve"> is given by </w:t>
      </w:r>
      <m:oMath>
        <m:f>
          <m:fPr>
            <m:type m:val="lin"/>
            <m:ctrlPr>
              <w:rPr>
                <w:rFonts w:ascii="Cambria Math" w:eastAsia="Calibri" w:hAnsi="Cambria Math" w:cs="Times New Roman"/>
                <w:i/>
                <w:color w:val="000000" w:themeColor="text1"/>
                <w:szCs w:val="22"/>
              </w:rPr>
            </m:ctrlPr>
          </m:fPr>
          <m:num>
            <m:r>
              <w:rPr>
                <w:rFonts w:ascii="Cambria Math" w:eastAsia="Calibri" w:hAnsi="Cambria Math" w:cs="Times New Roman"/>
                <w:color w:val="000000" w:themeColor="text1"/>
                <w:szCs w:val="22"/>
              </w:rPr>
              <m:t>μ(1-μ)</m:t>
            </m:r>
          </m:num>
          <m:den>
            <m:r>
              <w:rPr>
                <w:rFonts w:ascii="Cambria Math" w:eastAsia="Calibri" w:hAnsi="Cambria Math" w:cs="Times New Roman"/>
                <w:color w:val="000000" w:themeColor="text1"/>
                <w:szCs w:val="22"/>
              </w:rPr>
              <m:t>(1+ϕ)</m:t>
            </m:r>
          </m:den>
        </m:f>
      </m:oMath>
      <w:r w:rsidR="00427338">
        <w:rPr>
          <w:rFonts w:ascii="Times New Roman" w:eastAsia="Calibri" w:hAnsi="Times New Roman" w:cs="Times New Roman"/>
          <w:color w:val="000000" w:themeColor="text1"/>
          <w:szCs w:val="22"/>
        </w:rPr>
        <w:t xml:space="preserve">, which is a scaled version of binomial variance, </w:t>
      </w:r>
      <m:oMath>
        <m:r>
          <w:rPr>
            <w:rFonts w:ascii="Cambria Math" w:eastAsia="Calibri" w:hAnsi="Cambria Math" w:cs="Times New Roman"/>
            <w:color w:val="000000" w:themeColor="text1"/>
            <w:szCs w:val="22"/>
          </w:rPr>
          <m:t>μ(1-μ)</m:t>
        </m:r>
      </m:oMath>
      <w:r w:rsidR="00427338">
        <w:rPr>
          <w:rFonts w:ascii="Times New Roman" w:eastAsia="Calibri" w:hAnsi="Times New Roman" w:cs="Times New Roman"/>
          <w:color w:val="000000" w:themeColor="text1"/>
          <w:szCs w:val="22"/>
        </w:rPr>
        <w:t xml:space="preserve">, allowing for more variation that would be expected by a binomial model (i.e., “overdispersion”). </w:t>
      </w:r>
      <w:r w:rsidR="00ED2144">
        <w:rPr>
          <w:rFonts w:ascii="Times New Roman" w:eastAsia="Calibri" w:hAnsi="Times New Roman" w:cs="Times New Roman"/>
          <w:color w:val="000000" w:themeColor="text1"/>
          <w:szCs w:val="22"/>
        </w:rPr>
        <w:t>A logit link function</w:t>
      </w:r>
      <w:r w:rsidR="00F732F0">
        <w:rPr>
          <w:rFonts w:ascii="Times New Roman" w:eastAsia="Calibri" w:hAnsi="Times New Roman" w:cs="Times New Roman"/>
          <w:color w:val="000000" w:themeColor="text1"/>
          <w:szCs w:val="22"/>
        </w:rPr>
        <w:t xml:space="preserve">, </w:t>
      </w:r>
      <m:oMath>
        <m:func>
          <m:funcPr>
            <m:ctrlPr>
              <w:rPr>
                <w:rFonts w:ascii="Cambria Math" w:eastAsia="Calibri" w:hAnsi="Cambria Math" w:cs="Times New Roman"/>
                <w:i/>
                <w:color w:val="000000" w:themeColor="text1"/>
                <w:szCs w:val="22"/>
              </w:rPr>
            </m:ctrlPr>
          </m:funcPr>
          <m:fName>
            <m:r>
              <m:rPr>
                <m:sty m:val="p"/>
              </m:rPr>
              <w:rPr>
                <w:rFonts w:ascii="Cambria Math" w:eastAsia="Calibri" w:hAnsi="Cambria Math" w:cs="Times New Roman"/>
                <w:color w:val="000000" w:themeColor="text1"/>
              </w:rPr>
              <m:t>ln</m:t>
            </m:r>
          </m:fName>
          <m:e>
            <m:r>
              <w:rPr>
                <w:rFonts w:ascii="Cambria Math" w:eastAsia="Calibri" w:hAnsi="Cambria Math" w:cs="Times New Roman"/>
                <w:color w:val="000000" w:themeColor="text1"/>
                <w:szCs w:val="22"/>
              </w:rPr>
              <m:t>(</m:t>
            </m:r>
            <m:f>
              <m:fPr>
                <m:type m:val="lin"/>
                <m:ctrlPr>
                  <w:rPr>
                    <w:rFonts w:ascii="Cambria Math" w:eastAsia="Calibri" w:hAnsi="Cambria Math" w:cs="Times New Roman"/>
                    <w:i/>
                    <w:color w:val="000000" w:themeColor="text1"/>
                    <w:szCs w:val="22"/>
                  </w:rPr>
                </m:ctrlPr>
              </m:fPr>
              <m:num>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μ</m:t>
                    </m:r>
                  </m:e>
                  <m:sub>
                    <m:r>
                      <w:rPr>
                        <w:rFonts w:ascii="Cambria Math" w:eastAsia="Calibri" w:hAnsi="Cambria Math" w:cs="Times New Roman"/>
                        <w:color w:val="000000" w:themeColor="text1"/>
                        <w:szCs w:val="22"/>
                      </w:rPr>
                      <m:t>x</m:t>
                    </m:r>
                  </m:sub>
                </m:sSub>
              </m:num>
              <m:den>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μ</m:t>
                        </m:r>
                      </m:e>
                      <m:sub>
                        <m:r>
                          <w:rPr>
                            <w:rFonts w:ascii="Cambria Math" w:eastAsia="Calibri" w:hAnsi="Cambria Math" w:cs="Times New Roman"/>
                            <w:color w:val="000000" w:themeColor="text1"/>
                            <w:szCs w:val="22"/>
                          </w:rPr>
                          <m:t>x</m:t>
                        </m:r>
                      </m:sub>
                    </m:sSub>
                  </m:e>
                </m:d>
              </m:den>
            </m:f>
            <m:r>
              <w:rPr>
                <w:rFonts w:ascii="Cambria Math" w:eastAsia="Calibri" w:hAnsi="Cambria Math" w:cs="Times New Roman"/>
                <w:color w:val="000000" w:themeColor="text1"/>
                <w:szCs w:val="22"/>
              </w:rPr>
              <m:t>)</m:t>
            </m:r>
          </m:e>
        </m:func>
      </m:oMath>
      <w:r w:rsidR="00F732F0">
        <w:rPr>
          <w:rFonts w:ascii="Times New Roman" w:eastAsia="Calibri" w:hAnsi="Times New Roman" w:cs="Times New Roman"/>
          <w:color w:val="000000" w:themeColor="text1"/>
          <w:szCs w:val="22"/>
        </w:rPr>
        <w:t>,</w:t>
      </w:r>
      <w:r w:rsidR="00ED2144">
        <w:rPr>
          <w:rFonts w:ascii="Times New Roman" w:eastAsia="Calibri" w:hAnsi="Times New Roman" w:cs="Times New Roman"/>
          <w:color w:val="000000" w:themeColor="text1"/>
          <w:szCs w:val="22"/>
        </w:rPr>
        <w:t xml:space="preserve"> was used for all parameters related to μ and a log link function was used for all parameters related to </w:t>
      </w:r>
      <m:oMath>
        <m:r>
          <w:rPr>
            <w:rFonts w:ascii="Cambria Math" w:eastAsia="Calibri" w:hAnsi="Cambria Math" w:cs="Times New Roman"/>
            <w:color w:val="000000" w:themeColor="text1"/>
            <w:szCs w:val="22"/>
          </w:rPr>
          <m:t>ϕ</m:t>
        </m:r>
      </m:oMath>
      <w:r w:rsidR="00ED2144">
        <w:rPr>
          <w:rFonts w:ascii="Times New Roman" w:eastAsia="Calibri" w:hAnsi="Times New Roman" w:cs="Times New Roman"/>
          <w:color w:val="000000" w:themeColor="text1"/>
          <w:szCs w:val="22"/>
        </w:rPr>
        <w:t xml:space="preserve">. </w:t>
      </w:r>
      <w:r w:rsidR="0072325E">
        <w:rPr>
          <w:rFonts w:ascii="Times New Roman" w:eastAsia="Calibri" w:hAnsi="Times New Roman" w:cs="Times New Roman"/>
          <w:color w:val="000000" w:themeColor="text1"/>
          <w:szCs w:val="22"/>
        </w:rPr>
        <w:t>The logit link facilitates the interpretation of parameters in terms of the odds ratio, same as a traditional logistic regression model.</w:t>
      </w:r>
    </w:p>
    <w:p w14:paraId="65618D7E" w14:textId="77777777" w:rsidR="000A11B8" w:rsidRDefault="00407081"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Independent variables included: (a) continuous fixed effects, (b) categorical fixed effects, and (c) random effects where year was considered random. All c</w:t>
      </w:r>
      <w:r w:rsidRPr="00087DED">
        <w:rPr>
          <w:rFonts w:ascii="Times New Roman" w:eastAsia="Calibri" w:hAnsi="Times New Roman" w:cs="Times New Roman"/>
          <w:color w:val="000000" w:themeColor="text1"/>
          <w:szCs w:val="22"/>
        </w:rPr>
        <w:t xml:space="preserve">ontinuous fixed effect </w:t>
      </w:r>
      <w:r>
        <w:rPr>
          <w:rFonts w:ascii="Times New Roman" w:eastAsia="Calibri" w:hAnsi="Times New Roman" w:cs="Times New Roman"/>
          <w:color w:val="000000" w:themeColor="text1"/>
          <w:szCs w:val="22"/>
        </w:rPr>
        <w:t xml:space="preserve">covariates were z transformed, </w:t>
      </w:r>
      <m:oMath>
        <m:r>
          <w:rPr>
            <w:rFonts w:ascii="Cambria Math" w:eastAsia="Calibri" w:hAnsi="Cambria Math" w:cs="Times New Roman"/>
            <w:color w:val="000000" w:themeColor="text1"/>
            <w:szCs w:val="22"/>
          </w:rPr>
          <m:t>(</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x</m:t>
            </m:r>
          </m:e>
          <m:sub>
            <m:r>
              <w:rPr>
                <w:rFonts w:ascii="Cambria Math" w:eastAsia="Calibri" w:hAnsi="Cambria Math" w:cs="Times New Roman"/>
                <w:color w:val="000000" w:themeColor="text1"/>
                <w:szCs w:val="22"/>
              </w:rPr>
              <m:t>i</m:t>
            </m:r>
          </m:sub>
        </m:sSub>
        <m:r>
          <w:rPr>
            <w:rFonts w:ascii="Cambria Math" w:eastAsia="Calibri" w:hAnsi="Cambria Math" w:cs="Times New Roman"/>
            <w:color w:val="000000" w:themeColor="text1"/>
            <w:szCs w:val="22"/>
          </w:rPr>
          <m:t>-mean(x))/sd(x</m:t>
        </m:r>
      </m:oMath>
      <w:r w:rsidRPr="00087DED">
        <w:rPr>
          <w:rFonts w:ascii="Times New Roman" w:eastAsia="Calibri" w:hAnsi="Times New Roman" w:cs="Times New Roman"/>
          <w:color w:val="000000" w:themeColor="text1"/>
          <w:szCs w:val="22"/>
        </w:rPr>
        <w:t>), so the mean of each variable was zero and the range</w:t>
      </w:r>
      <w:r w:rsidR="00C24454">
        <w:rPr>
          <w:rFonts w:ascii="Times New Roman" w:eastAsia="Calibri" w:hAnsi="Times New Roman" w:cs="Times New Roman"/>
          <w:color w:val="000000" w:themeColor="text1"/>
          <w:szCs w:val="22"/>
        </w:rPr>
        <w:t>s</w:t>
      </w:r>
      <w:r w:rsidRPr="00087DED">
        <w:rPr>
          <w:rFonts w:ascii="Times New Roman" w:eastAsia="Calibri" w:hAnsi="Times New Roman" w:cs="Times New Roman"/>
          <w:color w:val="000000" w:themeColor="text1"/>
          <w:szCs w:val="22"/>
        </w:rPr>
        <w:t xml:space="preserve"> </w:t>
      </w:r>
      <w:r w:rsidR="00C24454">
        <w:rPr>
          <w:rFonts w:ascii="Times New Roman" w:eastAsia="Calibri" w:hAnsi="Times New Roman" w:cs="Times New Roman"/>
          <w:color w:val="000000" w:themeColor="text1"/>
          <w:szCs w:val="22"/>
        </w:rPr>
        <w:t xml:space="preserve">were roughly similar (i.e., </w:t>
      </w:r>
      <w:r w:rsidRPr="00087DED">
        <w:rPr>
          <w:rFonts w:ascii="Times New Roman" w:eastAsia="Calibri" w:hAnsi="Times New Roman" w:cs="Times New Roman"/>
          <w:color w:val="000000" w:themeColor="text1"/>
          <w:szCs w:val="22"/>
        </w:rPr>
        <w:t xml:space="preserve">between </w:t>
      </w:r>
      <w:r w:rsidR="00BA524A">
        <w:rPr>
          <w:rFonts w:ascii="Times New Roman" w:eastAsia="Calibri" w:hAnsi="Times New Roman" w:cs="Times New Roman"/>
          <w:color w:val="000000" w:themeColor="text1"/>
          <w:szCs w:val="22"/>
        </w:rPr>
        <w:t>-3</w:t>
      </w:r>
      <w:r w:rsidRPr="00087DED">
        <w:rPr>
          <w:rFonts w:ascii="Times New Roman" w:eastAsia="Calibri" w:hAnsi="Times New Roman" w:cs="Times New Roman"/>
          <w:color w:val="000000" w:themeColor="text1"/>
          <w:szCs w:val="22"/>
        </w:rPr>
        <w:t xml:space="preserve"> and </w:t>
      </w:r>
      <w:r w:rsidR="00BA524A">
        <w:rPr>
          <w:rFonts w:ascii="Times New Roman" w:eastAsia="Calibri" w:hAnsi="Times New Roman" w:cs="Times New Roman"/>
          <w:color w:val="000000" w:themeColor="text1"/>
          <w:szCs w:val="22"/>
        </w:rPr>
        <w:t>3</w:t>
      </w:r>
      <w:r w:rsidR="00C24454">
        <w:rPr>
          <w:rFonts w:ascii="Times New Roman" w:eastAsia="Calibri" w:hAnsi="Times New Roman" w:cs="Times New Roman"/>
          <w:color w:val="000000" w:themeColor="text1"/>
          <w:szCs w:val="22"/>
        </w:rPr>
        <w:t>)</w:t>
      </w:r>
      <w:r w:rsidRPr="00087DED">
        <w:rPr>
          <w:rFonts w:ascii="Times New Roman" w:eastAsia="Calibri" w:hAnsi="Times New Roman" w:cs="Times New Roman"/>
          <w:color w:val="000000" w:themeColor="text1"/>
          <w:szCs w:val="22"/>
        </w:rPr>
        <w:t xml:space="preserve">. </w:t>
      </w:r>
      <w:r w:rsidR="003218D7">
        <w:rPr>
          <w:rFonts w:ascii="Times New Roman" w:eastAsia="Calibri" w:hAnsi="Times New Roman" w:cs="Times New Roman"/>
          <w:color w:val="000000" w:themeColor="text1"/>
          <w:szCs w:val="22"/>
        </w:rPr>
        <w:t xml:space="preserve">The </w:t>
      </w:r>
      <w:r w:rsidR="00BA524A">
        <w:rPr>
          <w:rFonts w:ascii="Times New Roman" w:eastAsia="Calibri" w:hAnsi="Times New Roman" w:cs="Times New Roman"/>
          <w:color w:val="000000" w:themeColor="text1"/>
          <w:szCs w:val="22"/>
        </w:rPr>
        <w:t xml:space="preserve">means and standard deviations </w:t>
      </w:r>
      <w:r w:rsidR="003218D7">
        <w:rPr>
          <w:rFonts w:ascii="Times New Roman" w:eastAsia="Calibri" w:hAnsi="Times New Roman" w:cs="Times New Roman"/>
          <w:color w:val="000000" w:themeColor="text1"/>
          <w:szCs w:val="22"/>
        </w:rPr>
        <w:t xml:space="preserve">used for the transformation </w:t>
      </w:r>
      <w:r w:rsidR="00C24454">
        <w:rPr>
          <w:rFonts w:ascii="Times New Roman" w:eastAsia="Calibri" w:hAnsi="Times New Roman" w:cs="Times New Roman"/>
          <w:color w:val="000000" w:themeColor="text1"/>
          <w:szCs w:val="22"/>
        </w:rPr>
        <w:t>were from</w:t>
      </w:r>
      <w:r w:rsidR="003218D7">
        <w:rPr>
          <w:rFonts w:ascii="Times New Roman" w:eastAsia="Calibri" w:hAnsi="Times New Roman" w:cs="Times New Roman"/>
          <w:color w:val="000000" w:themeColor="text1"/>
          <w:szCs w:val="22"/>
        </w:rPr>
        <w:t xml:space="preserve"> </w:t>
      </w:r>
      <w:r w:rsidR="00AA14B9">
        <w:rPr>
          <w:rFonts w:ascii="Times New Roman" w:eastAsia="Calibri" w:hAnsi="Times New Roman" w:cs="Times New Roman"/>
          <w:color w:val="000000" w:themeColor="text1"/>
          <w:szCs w:val="22"/>
        </w:rPr>
        <w:t>all data included in the analysis</w:t>
      </w:r>
      <w:r w:rsidR="003218D7">
        <w:rPr>
          <w:rFonts w:ascii="Times New Roman" w:eastAsia="Calibri" w:hAnsi="Times New Roman" w:cs="Times New Roman"/>
          <w:color w:val="000000" w:themeColor="text1"/>
          <w:szCs w:val="22"/>
        </w:rPr>
        <w:t xml:space="preserve">. </w:t>
      </w:r>
    </w:p>
    <w:p w14:paraId="722F26E2" w14:textId="0D45868A" w:rsidR="00EA0AFC" w:rsidRDefault="00407081"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Fixed effects </w:t>
      </w:r>
      <w:r w:rsidR="00586880">
        <w:rPr>
          <w:rFonts w:ascii="Times New Roman" w:eastAsia="Calibri" w:hAnsi="Times New Roman" w:cs="Times New Roman"/>
          <w:color w:val="000000" w:themeColor="text1"/>
          <w:szCs w:val="22"/>
        </w:rPr>
        <w:t xml:space="preserve">were hypothesized to be </w:t>
      </w:r>
      <w:r w:rsidR="00D35260">
        <w:rPr>
          <w:rFonts w:ascii="Times New Roman" w:eastAsia="Calibri" w:hAnsi="Times New Roman" w:cs="Times New Roman"/>
          <w:color w:val="000000" w:themeColor="text1"/>
          <w:szCs w:val="22"/>
        </w:rPr>
        <w:t xml:space="preserve">large-scale </w:t>
      </w:r>
      <w:r w:rsidR="00673287">
        <w:rPr>
          <w:rFonts w:ascii="Times New Roman" w:eastAsia="Calibri" w:hAnsi="Times New Roman" w:cs="Times New Roman"/>
          <w:color w:val="000000" w:themeColor="text1"/>
          <w:szCs w:val="22"/>
        </w:rPr>
        <w:t xml:space="preserve">factors </w:t>
      </w:r>
      <w:r w:rsidR="00D35260">
        <w:rPr>
          <w:rFonts w:ascii="Times New Roman" w:eastAsia="Calibri" w:hAnsi="Times New Roman" w:cs="Times New Roman"/>
          <w:color w:val="000000" w:themeColor="text1"/>
          <w:szCs w:val="22"/>
        </w:rPr>
        <w:t xml:space="preserve">that influence </w:t>
      </w:r>
      <w:r w:rsidR="000A11B8">
        <w:rPr>
          <w:rFonts w:ascii="Times New Roman" w:eastAsia="Calibri" w:hAnsi="Times New Roman" w:cs="Times New Roman"/>
          <w:color w:val="000000" w:themeColor="text1"/>
          <w:szCs w:val="22"/>
        </w:rPr>
        <w:t xml:space="preserve">fishery </w:t>
      </w:r>
      <w:r w:rsidR="001203E8">
        <w:rPr>
          <w:rFonts w:ascii="Times New Roman" w:eastAsia="Calibri" w:hAnsi="Times New Roman" w:cs="Times New Roman"/>
          <w:color w:val="000000" w:themeColor="text1"/>
          <w:szCs w:val="22"/>
        </w:rPr>
        <w:t>sectors</w:t>
      </w:r>
      <w:r w:rsidR="00D35260">
        <w:rPr>
          <w:rFonts w:ascii="Times New Roman" w:eastAsia="Calibri" w:hAnsi="Times New Roman" w:cs="Times New Roman"/>
          <w:color w:val="000000" w:themeColor="text1"/>
          <w:szCs w:val="22"/>
        </w:rPr>
        <w:t>, such as markets and management frameworks</w:t>
      </w:r>
      <w:r w:rsidR="00586880">
        <w:rPr>
          <w:rFonts w:ascii="Times New Roman" w:eastAsia="Calibri" w:hAnsi="Times New Roman" w:cs="Times New Roman"/>
          <w:color w:val="000000" w:themeColor="text1"/>
          <w:szCs w:val="22"/>
        </w:rPr>
        <w:t xml:space="preserve">. Here, we refer to these large-scale </w:t>
      </w:r>
      <w:r w:rsidR="00215BD3">
        <w:rPr>
          <w:rFonts w:ascii="Times New Roman" w:eastAsia="Calibri" w:hAnsi="Times New Roman" w:cs="Times New Roman"/>
          <w:color w:val="000000" w:themeColor="text1"/>
          <w:szCs w:val="22"/>
        </w:rPr>
        <w:t xml:space="preserve">factors </w:t>
      </w:r>
      <w:r w:rsidR="00D35260">
        <w:rPr>
          <w:rFonts w:ascii="Times New Roman" w:eastAsia="Calibri" w:hAnsi="Times New Roman" w:cs="Times New Roman"/>
          <w:color w:val="000000" w:themeColor="text1"/>
          <w:szCs w:val="22"/>
        </w:rPr>
        <w:t xml:space="preserve">as </w:t>
      </w:r>
      <w:r w:rsidR="000A11B8">
        <w:rPr>
          <w:rFonts w:ascii="Times New Roman" w:eastAsia="Calibri" w:hAnsi="Times New Roman" w:cs="Times New Roman"/>
          <w:color w:val="000000" w:themeColor="text1"/>
          <w:szCs w:val="22"/>
        </w:rPr>
        <w:t>“</w:t>
      </w:r>
      <w:r w:rsidR="00D35260">
        <w:rPr>
          <w:rFonts w:ascii="Times New Roman" w:eastAsia="Calibri" w:hAnsi="Times New Roman" w:cs="Times New Roman"/>
          <w:color w:val="000000" w:themeColor="text1"/>
          <w:szCs w:val="22"/>
        </w:rPr>
        <w:t>drivers</w:t>
      </w:r>
      <w:r w:rsidR="000A11B8">
        <w:rPr>
          <w:rFonts w:ascii="Times New Roman" w:eastAsia="Calibri" w:hAnsi="Times New Roman" w:cs="Times New Roman"/>
          <w:color w:val="000000" w:themeColor="text1"/>
          <w:szCs w:val="22"/>
        </w:rPr>
        <w:t>”</w:t>
      </w:r>
      <w:r w:rsidR="00D35260">
        <w:rPr>
          <w:rFonts w:ascii="Times New Roman" w:eastAsia="Calibri" w:hAnsi="Times New Roman" w:cs="Times New Roman"/>
          <w:color w:val="000000" w:themeColor="text1"/>
          <w:szCs w:val="22"/>
        </w:rPr>
        <w:t xml:space="preserve"> and the metrics by which to meas</w:t>
      </w:r>
      <w:r w:rsidR="000A11B8">
        <w:rPr>
          <w:rFonts w:ascii="Times New Roman" w:eastAsia="Calibri" w:hAnsi="Times New Roman" w:cs="Times New Roman"/>
          <w:color w:val="000000" w:themeColor="text1"/>
          <w:szCs w:val="22"/>
        </w:rPr>
        <w:t>ure or identify the drivers as “</w:t>
      </w:r>
      <w:r w:rsidR="00D35260">
        <w:rPr>
          <w:rFonts w:ascii="Times New Roman" w:eastAsia="Calibri" w:hAnsi="Times New Roman" w:cs="Times New Roman"/>
          <w:color w:val="000000" w:themeColor="text1"/>
          <w:szCs w:val="22"/>
        </w:rPr>
        <w:t>variables</w:t>
      </w:r>
      <w:r w:rsidR="000A11B8">
        <w:rPr>
          <w:rFonts w:ascii="Times New Roman" w:eastAsia="Calibri" w:hAnsi="Times New Roman" w:cs="Times New Roman"/>
          <w:color w:val="000000" w:themeColor="text1"/>
          <w:szCs w:val="22"/>
        </w:rPr>
        <w:t>”</w:t>
      </w:r>
      <w:r w:rsidR="00D35260">
        <w:rPr>
          <w:rFonts w:ascii="Times New Roman" w:eastAsia="Calibri" w:hAnsi="Times New Roman" w:cs="Times New Roman"/>
          <w:color w:val="000000" w:themeColor="text1"/>
          <w:szCs w:val="22"/>
        </w:rPr>
        <w:t>.</w:t>
      </w:r>
      <w:r w:rsidR="004D5CBB">
        <w:rPr>
          <w:rFonts w:ascii="Times New Roman" w:eastAsia="Calibri" w:hAnsi="Times New Roman" w:cs="Times New Roman"/>
          <w:color w:val="000000" w:themeColor="text1"/>
          <w:szCs w:val="22"/>
        </w:rPr>
        <w:t xml:space="preserve"> </w:t>
      </w:r>
      <w:r w:rsidR="00215BD3">
        <w:rPr>
          <w:rFonts w:ascii="Times New Roman" w:eastAsia="Calibri" w:hAnsi="Times New Roman" w:cs="Times New Roman"/>
          <w:color w:val="000000" w:themeColor="text1"/>
          <w:szCs w:val="22"/>
        </w:rPr>
        <w:t>W</w:t>
      </w:r>
      <w:r w:rsidR="004D5CBB">
        <w:rPr>
          <w:rFonts w:ascii="Times New Roman" w:eastAsia="Calibri" w:hAnsi="Times New Roman" w:cs="Times New Roman"/>
          <w:color w:val="000000" w:themeColor="text1"/>
          <w:szCs w:val="22"/>
        </w:rPr>
        <w:t>e used the four subsystems defined in Ostrom</w:t>
      </w:r>
      <w:r w:rsidR="00252249">
        <w:rPr>
          <w:rFonts w:ascii="Times New Roman" w:eastAsia="Calibri" w:hAnsi="Times New Roman" w:cs="Times New Roman"/>
          <w:color w:val="000000" w:themeColor="text1"/>
          <w:szCs w:val="22"/>
        </w:rPr>
        <w:t>’s (2009) social-ecological system framework for common pool resources</w:t>
      </w:r>
      <w:r w:rsidR="00215BD3" w:rsidRPr="00215BD3">
        <w:rPr>
          <w:rFonts w:ascii="Times New Roman" w:eastAsia="Calibri" w:hAnsi="Times New Roman" w:cs="Times New Roman"/>
          <w:color w:val="000000" w:themeColor="text1"/>
          <w:szCs w:val="22"/>
        </w:rPr>
        <w:t xml:space="preserve"> </w:t>
      </w:r>
      <w:r w:rsidR="00215BD3">
        <w:rPr>
          <w:rFonts w:ascii="Times New Roman" w:eastAsia="Calibri" w:hAnsi="Times New Roman" w:cs="Times New Roman"/>
          <w:color w:val="000000" w:themeColor="text1"/>
          <w:szCs w:val="22"/>
        </w:rPr>
        <w:t>to guide the identification of possible drivers of fisher behaviour</w:t>
      </w:r>
      <w:r w:rsidR="00252249">
        <w:rPr>
          <w:rFonts w:ascii="Times New Roman" w:eastAsia="Calibri" w:hAnsi="Times New Roman" w:cs="Times New Roman"/>
          <w:color w:val="000000" w:themeColor="text1"/>
          <w:szCs w:val="22"/>
        </w:rPr>
        <w:t xml:space="preserve">: (1) resource systems (e.g., a marine protected area), (2) resource </w:t>
      </w:r>
      <w:r w:rsidR="00252249">
        <w:rPr>
          <w:rFonts w:ascii="Times New Roman" w:eastAsia="Calibri" w:hAnsi="Times New Roman" w:cs="Times New Roman"/>
          <w:color w:val="000000" w:themeColor="text1"/>
          <w:szCs w:val="22"/>
        </w:rPr>
        <w:lastRenderedPageBreak/>
        <w:t xml:space="preserve">units (e.g., fish), (3) governance systems (e.g., TAC or ITQ frameworks), and (4) users (e.g., </w:t>
      </w:r>
      <w:r w:rsidR="00DC4BEF">
        <w:rPr>
          <w:rFonts w:ascii="Times New Roman" w:eastAsia="Calibri" w:hAnsi="Times New Roman" w:cs="Times New Roman"/>
          <w:color w:val="000000" w:themeColor="text1"/>
          <w:szCs w:val="22"/>
        </w:rPr>
        <w:t xml:space="preserve">fishers, </w:t>
      </w:r>
      <w:r w:rsidR="00252249">
        <w:rPr>
          <w:rFonts w:ascii="Times New Roman" w:eastAsia="Calibri" w:hAnsi="Times New Roman" w:cs="Times New Roman"/>
          <w:color w:val="000000" w:themeColor="text1"/>
          <w:szCs w:val="22"/>
        </w:rPr>
        <w:t>cannery operators</w:t>
      </w:r>
      <w:r w:rsidR="00DC4BEF">
        <w:rPr>
          <w:rFonts w:ascii="Times New Roman" w:eastAsia="Calibri" w:hAnsi="Times New Roman" w:cs="Times New Roman"/>
          <w:color w:val="000000" w:themeColor="text1"/>
          <w:szCs w:val="22"/>
        </w:rPr>
        <w:t>, and non-governmental organizations</w:t>
      </w:r>
      <w:r w:rsidR="00252249">
        <w:rPr>
          <w:rFonts w:ascii="Times New Roman" w:eastAsia="Calibri" w:hAnsi="Times New Roman" w:cs="Times New Roman"/>
          <w:color w:val="000000" w:themeColor="text1"/>
          <w:szCs w:val="22"/>
        </w:rPr>
        <w:t xml:space="preserve">). </w:t>
      </w:r>
      <w:r w:rsidR="004B1661">
        <w:rPr>
          <w:rFonts w:ascii="Times New Roman" w:eastAsia="Calibri" w:hAnsi="Times New Roman" w:cs="Times New Roman"/>
          <w:color w:val="000000" w:themeColor="text1"/>
          <w:szCs w:val="22"/>
        </w:rPr>
        <w:t xml:space="preserve">Resource units can be thought of as part of the resource system, while the governance system defines rules for the users, but all drivers interact and are likely to have a major impact on </w:t>
      </w:r>
      <w:r w:rsidR="000A11B8">
        <w:rPr>
          <w:rFonts w:ascii="Times New Roman" w:eastAsia="Calibri" w:hAnsi="Times New Roman" w:cs="Times New Roman"/>
          <w:color w:val="000000" w:themeColor="text1"/>
          <w:szCs w:val="22"/>
        </w:rPr>
        <w:t xml:space="preserve">management outcomes. </w:t>
      </w:r>
      <w:r w:rsidR="004B1661">
        <w:rPr>
          <w:rFonts w:ascii="Times New Roman" w:eastAsia="Calibri" w:hAnsi="Times New Roman" w:cs="Times New Roman"/>
          <w:color w:val="000000" w:themeColor="text1"/>
          <w:szCs w:val="22"/>
        </w:rPr>
        <w:t xml:space="preserve">Here, the resource system is the </w:t>
      </w:r>
      <w:r w:rsidR="00390CB8">
        <w:rPr>
          <w:rFonts w:ascii="Times New Roman" w:eastAsia="Calibri" w:hAnsi="Times New Roman" w:cs="Times New Roman"/>
          <w:color w:val="000000" w:themeColor="text1"/>
          <w:szCs w:val="22"/>
        </w:rPr>
        <w:t>California Current Large Marine Ecosystem (CCLME)</w:t>
      </w:r>
      <w:r w:rsidR="004B1661">
        <w:rPr>
          <w:rFonts w:ascii="Times New Roman" w:eastAsia="Calibri" w:hAnsi="Times New Roman" w:cs="Times New Roman"/>
          <w:color w:val="000000" w:themeColor="text1"/>
          <w:szCs w:val="22"/>
        </w:rPr>
        <w:t xml:space="preserve">, the resource units are </w:t>
      </w:r>
      <w:r w:rsidR="00DC4BEF">
        <w:rPr>
          <w:rFonts w:ascii="Times New Roman" w:eastAsia="Calibri" w:hAnsi="Times New Roman" w:cs="Times New Roman"/>
          <w:color w:val="000000" w:themeColor="text1"/>
          <w:szCs w:val="22"/>
        </w:rPr>
        <w:t>sablefish</w:t>
      </w:r>
      <w:r w:rsidR="004B1661">
        <w:rPr>
          <w:rFonts w:ascii="Times New Roman" w:eastAsia="Calibri" w:hAnsi="Times New Roman" w:cs="Times New Roman"/>
          <w:color w:val="000000" w:themeColor="text1"/>
          <w:szCs w:val="22"/>
        </w:rPr>
        <w:t xml:space="preserve"> managed by the</w:t>
      </w:r>
      <w:r w:rsidR="00DC4BEF">
        <w:rPr>
          <w:rFonts w:ascii="Times New Roman" w:eastAsia="Calibri" w:hAnsi="Times New Roman" w:cs="Times New Roman"/>
          <w:color w:val="000000" w:themeColor="text1"/>
          <w:szCs w:val="22"/>
        </w:rPr>
        <w:t xml:space="preserve"> PFMC, the governance system is that defined by the PFMC, and the users are individuals involved in the groundfish fishery, which includes both fishers and non-fishers. </w:t>
      </w:r>
      <w:r w:rsidR="00252249">
        <w:rPr>
          <w:rFonts w:ascii="Times New Roman" w:eastAsia="Calibri" w:hAnsi="Times New Roman" w:cs="Times New Roman"/>
          <w:color w:val="000000" w:themeColor="text1"/>
          <w:szCs w:val="22"/>
        </w:rPr>
        <w:t xml:space="preserve">Variables </w:t>
      </w:r>
      <w:r w:rsidR="00FD2906">
        <w:rPr>
          <w:rFonts w:ascii="Times New Roman" w:eastAsia="Calibri" w:hAnsi="Times New Roman" w:cs="Times New Roman"/>
          <w:color w:val="000000" w:themeColor="text1"/>
          <w:szCs w:val="22"/>
        </w:rPr>
        <w:t xml:space="preserve">(described below) </w:t>
      </w:r>
      <w:r w:rsidR="00252249">
        <w:rPr>
          <w:rFonts w:ascii="Times New Roman" w:eastAsia="Calibri" w:hAnsi="Times New Roman" w:cs="Times New Roman"/>
          <w:color w:val="000000" w:themeColor="text1"/>
          <w:szCs w:val="22"/>
        </w:rPr>
        <w:t xml:space="preserve">were selected based </w:t>
      </w:r>
      <w:r w:rsidR="00DC4BEF">
        <w:rPr>
          <w:rFonts w:ascii="Times New Roman" w:eastAsia="Calibri" w:hAnsi="Times New Roman" w:cs="Times New Roman"/>
          <w:color w:val="000000" w:themeColor="text1"/>
          <w:szCs w:val="22"/>
        </w:rPr>
        <w:t xml:space="preserve">on </w:t>
      </w:r>
      <w:r w:rsidR="00320950">
        <w:rPr>
          <w:rFonts w:ascii="Times New Roman" w:eastAsia="Calibri" w:hAnsi="Times New Roman" w:cs="Times New Roman"/>
          <w:color w:val="000000" w:themeColor="text1"/>
          <w:szCs w:val="22"/>
        </w:rPr>
        <w:t xml:space="preserve">their </w:t>
      </w:r>
      <w:r w:rsidR="00252249">
        <w:rPr>
          <w:rFonts w:ascii="Times New Roman" w:eastAsia="Calibri" w:hAnsi="Times New Roman" w:cs="Times New Roman"/>
          <w:color w:val="000000" w:themeColor="text1"/>
          <w:szCs w:val="22"/>
        </w:rPr>
        <w:t>relation</w:t>
      </w:r>
      <w:r w:rsidR="00320950">
        <w:rPr>
          <w:rFonts w:ascii="Times New Roman" w:eastAsia="Calibri" w:hAnsi="Times New Roman" w:cs="Times New Roman"/>
          <w:color w:val="000000" w:themeColor="text1"/>
          <w:szCs w:val="22"/>
        </w:rPr>
        <w:t>ship</w:t>
      </w:r>
      <w:r w:rsidR="00252249">
        <w:rPr>
          <w:rFonts w:ascii="Times New Roman" w:eastAsia="Calibri" w:hAnsi="Times New Roman" w:cs="Times New Roman"/>
          <w:color w:val="000000" w:themeColor="text1"/>
          <w:szCs w:val="22"/>
        </w:rPr>
        <w:t xml:space="preserve"> to </w:t>
      </w:r>
      <w:r w:rsidR="00931550">
        <w:rPr>
          <w:rFonts w:ascii="Times New Roman" w:eastAsia="Calibri" w:hAnsi="Times New Roman" w:cs="Times New Roman"/>
          <w:color w:val="000000" w:themeColor="text1"/>
          <w:szCs w:val="22"/>
        </w:rPr>
        <w:t xml:space="preserve">identified </w:t>
      </w:r>
      <w:r w:rsidR="00252249">
        <w:rPr>
          <w:rFonts w:ascii="Times New Roman" w:eastAsia="Calibri" w:hAnsi="Times New Roman" w:cs="Times New Roman"/>
          <w:color w:val="000000" w:themeColor="text1"/>
          <w:szCs w:val="22"/>
        </w:rPr>
        <w:t>drivers, data availability, and hypothesized significance to this case study</w:t>
      </w:r>
      <w:r w:rsidR="004045BD">
        <w:rPr>
          <w:rFonts w:ascii="Times New Roman" w:eastAsia="Calibri" w:hAnsi="Times New Roman" w:cs="Times New Roman"/>
          <w:color w:val="000000" w:themeColor="text1"/>
          <w:szCs w:val="22"/>
        </w:rPr>
        <w:t xml:space="preserve"> (</w:t>
      </w:r>
      <w:r w:rsidR="00A90939">
        <w:rPr>
          <w:rFonts w:ascii="Times New Roman" w:eastAsia="Calibri" w:hAnsi="Times New Roman" w:cs="Times New Roman"/>
          <w:color w:val="000000" w:themeColor="text1"/>
          <w:szCs w:val="22"/>
        </w:rPr>
        <w:fldChar w:fldCharType="begin"/>
      </w:r>
      <w:r w:rsidR="00A90939">
        <w:rPr>
          <w:rFonts w:ascii="Times New Roman" w:eastAsia="Calibri" w:hAnsi="Times New Roman" w:cs="Times New Roman"/>
          <w:color w:val="000000" w:themeColor="text1"/>
          <w:szCs w:val="22"/>
        </w:rPr>
        <w:instrText xml:space="preserve"> REF _Ref439230428 \h </w:instrText>
      </w:r>
      <w:r w:rsidR="00F34CAA">
        <w:rPr>
          <w:rFonts w:ascii="Times New Roman" w:eastAsia="Calibri" w:hAnsi="Times New Roman" w:cs="Times New Roman"/>
          <w:color w:val="000000" w:themeColor="text1"/>
          <w:szCs w:val="22"/>
        </w:rPr>
        <w:instrText xml:space="preserve"> \* MERGEFORMAT </w:instrText>
      </w:r>
      <w:r w:rsidR="00A90939">
        <w:rPr>
          <w:rFonts w:ascii="Times New Roman" w:eastAsia="Calibri" w:hAnsi="Times New Roman" w:cs="Times New Roman"/>
          <w:color w:val="000000" w:themeColor="text1"/>
          <w:szCs w:val="22"/>
        </w:rPr>
      </w:r>
      <w:r w:rsidR="00A90939">
        <w:rPr>
          <w:rFonts w:ascii="Times New Roman" w:eastAsia="Calibri" w:hAnsi="Times New Roman" w:cs="Times New Roman"/>
          <w:color w:val="000000" w:themeColor="text1"/>
          <w:szCs w:val="22"/>
        </w:rPr>
        <w:fldChar w:fldCharType="separate"/>
      </w:r>
      <w:r w:rsidR="00B20EC7" w:rsidRPr="00A90939">
        <w:rPr>
          <w:rFonts w:ascii="Times New Roman" w:hAnsi="Times New Roman" w:cs="Times New Roman"/>
          <w:color w:val="000000" w:themeColor="text1"/>
          <w:szCs w:val="22"/>
        </w:rPr>
        <w:t xml:space="preserve">Table </w:t>
      </w:r>
      <w:r w:rsidR="00B20EC7">
        <w:rPr>
          <w:rFonts w:ascii="Times New Roman" w:hAnsi="Times New Roman" w:cs="Times New Roman"/>
          <w:noProof/>
          <w:color w:val="000000" w:themeColor="text1"/>
          <w:szCs w:val="22"/>
        </w:rPr>
        <w:t>2</w:t>
      </w:r>
      <w:r w:rsidR="00A90939">
        <w:rPr>
          <w:rFonts w:ascii="Times New Roman" w:eastAsia="Calibri" w:hAnsi="Times New Roman" w:cs="Times New Roman"/>
          <w:color w:val="000000" w:themeColor="text1"/>
          <w:szCs w:val="22"/>
        </w:rPr>
        <w:fldChar w:fldCharType="end"/>
      </w:r>
      <w:r w:rsidR="004045BD">
        <w:rPr>
          <w:rFonts w:ascii="Times New Roman" w:eastAsia="Calibri" w:hAnsi="Times New Roman" w:cs="Times New Roman"/>
          <w:color w:val="000000" w:themeColor="text1"/>
          <w:szCs w:val="22"/>
        </w:rPr>
        <w:t>)</w:t>
      </w:r>
      <w:r w:rsidR="00252249">
        <w:rPr>
          <w:rFonts w:ascii="Times New Roman" w:eastAsia="Calibri" w:hAnsi="Times New Roman" w:cs="Times New Roman"/>
          <w:color w:val="000000" w:themeColor="text1"/>
          <w:szCs w:val="22"/>
        </w:rPr>
        <w:t>.</w:t>
      </w:r>
      <w:r w:rsidR="00D74383">
        <w:rPr>
          <w:rFonts w:ascii="Times New Roman" w:eastAsia="Calibri" w:hAnsi="Times New Roman" w:cs="Times New Roman"/>
          <w:color w:val="000000" w:themeColor="text1"/>
          <w:szCs w:val="22"/>
        </w:rPr>
        <w:t xml:space="preserve"> </w:t>
      </w:r>
    </w:p>
    <w:p w14:paraId="74603F36" w14:textId="2A250BAF" w:rsidR="00390CB8" w:rsidRDefault="00C4575D" w:rsidP="00145B28">
      <w:pPr>
        <w:spacing w:line="240" w:lineRule="auto"/>
        <w:ind w:firstLine="720"/>
        <w:jc w:val="both"/>
        <w:rPr>
          <w:rFonts w:ascii="Times New Roman" w:eastAsia="Calibri" w:hAnsi="Times New Roman" w:cs="Times New Roman"/>
          <w:color w:val="000000" w:themeColor="text1"/>
          <w:szCs w:val="22"/>
        </w:rPr>
      </w:pPr>
      <w:r w:rsidRPr="00A01630">
        <w:rPr>
          <w:rFonts w:ascii="Times New Roman" w:eastAsia="Calibri" w:hAnsi="Times New Roman" w:cs="Times New Roman"/>
          <w:i/>
          <w:color w:val="000000" w:themeColor="text1"/>
          <w:szCs w:val="22"/>
        </w:rPr>
        <w:t>Resource system</w:t>
      </w:r>
      <w:r>
        <w:rPr>
          <w:rFonts w:ascii="Times New Roman" w:eastAsia="Calibri" w:hAnsi="Times New Roman" w:cs="Times New Roman"/>
          <w:color w:val="000000" w:themeColor="text1"/>
          <w:szCs w:val="22"/>
        </w:rPr>
        <w:t xml:space="preserve">. </w:t>
      </w:r>
      <w:r w:rsidR="00827A17">
        <w:rPr>
          <w:rFonts w:ascii="Times New Roman" w:eastAsia="Calibri" w:hAnsi="Times New Roman" w:cs="Times New Roman"/>
          <w:color w:val="000000" w:themeColor="text1"/>
          <w:szCs w:val="22"/>
        </w:rPr>
        <w:t xml:space="preserve">The resource system </w:t>
      </w:r>
      <w:r w:rsidR="00390CB8">
        <w:rPr>
          <w:rFonts w:ascii="Times New Roman" w:eastAsia="Calibri" w:hAnsi="Times New Roman" w:cs="Times New Roman"/>
          <w:color w:val="000000" w:themeColor="text1"/>
          <w:szCs w:val="22"/>
        </w:rPr>
        <w:t>can be thought of as</w:t>
      </w:r>
      <w:r w:rsidR="00827A17">
        <w:rPr>
          <w:rFonts w:ascii="Times New Roman" w:eastAsia="Calibri" w:hAnsi="Times New Roman" w:cs="Times New Roman"/>
          <w:color w:val="000000" w:themeColor="text1"/>
          <w:szCs w:val="22"/>
        </w:rPr>
        <w:t xml:space="preserve"> </w:t>
      </w:r>
      <w:r w:rsidR="00390CB8">
        <w:rPr>
          <w:rFonts w:ascii="Times New Roman" w:eastAsia="Calibri" w:hAnsi="Times New Roman" w:cs="Times New Roman"/>
          <w:color w:val="000000" w:themeColor="text1"/>
          <w:szCs w:val="22"/>
        </w:rPr>
        <w:t>the biophysical system from which the resource units are extracted.</w:t>
      </w:r>
      <w:r w:rsidR="00827A17">
        <w:rPr>
          <w:rFonts w:ascii="Times New Roman" w:eastAsia="Calibri" w:hAnsi="Times New Roman" w:cs="Times New Roman"/>
          <w:color w:val="000000" w:themeColor="text1"/>
          <w:szCs w:val="22"/>
        </w:rPr>
        <w:t xml:space="preserve"> </w:t>
      </w:r>
      <w:r w:rsidR="00390CB8">
        <w:rPr>
          <w:rFonts w:ascii="Times New Roman" w:eastAsia="Calibri" w:hAnsi="Times New Roman" w:cs="Times New Roman"/>
          <w:color w:val="000000" w:themeColor="text1"/>
          <w:szCs w:val="22"/>
        </w:rPr>
        <w:t>The CCLME extends from southern British Columbia, Canada to Baja California, Mexico</w:t>
      </w:r>
      <w:r w:rsidR="009216ED">
        <w:rPr>
          <w:rFonts w:ascii="Times New Roman" w:eastAsia="Calibri" w:hAnsi="Times New Roman" w:cs="Times New Roman"/>
          <w:color w:val="000000" w:themeColor="text1"/>
          <w:szCs w:val="22"/>
        </w:rPr>
        <w:t xml:space="preserve">, and is characterized as a productive wind-driven </w:t>
      </w:r>
      <w:r w:rsidR="00F82022">
        <w:rPr>
          <w:rFonts w:ascii="Times New Roman" w:eastAsia="Calibri" w:hAnsi="Times New Roman" w:cs="Times New Roman"/>
          <w:color w:val="000000" w:themeColor="text1"/>
          <w:szCs w:val="22"/>
        </w:rPr>
        <w:t xml:space="preserve">upwelling system. Significant spatial differences in wind fields, and </w:t>
      </w:r>
      <w:r w:rsidR="008D1EAE">
        <w:rPr>
          <w:rFonts w:ascii="Times New Roman" w:eastAsia="Calibri" w:hAnsi="Times New Roman" w:cs="Times New Roman"/>
          <w:color w:val="000000" w:themeColor="text1"/>
          <w:szCs w:val="22"/>
        </w:rPr>
        <w:t xml:space="preserve">thus </w:t>
      </w:r>
      <w:r w:rsidR="00F82022">
        <w:rPr>
          <w:rFonts w:ascii="Times New Roman" w:eastAsia="Calibri" w:hAnsi="Times New Roman" w:cs="Times New Roman"/>
          <w:color w:val="000000" w:themeColor="text1"/>
          <w:szCs w:val="22"/>
        </w:rPr>
        <w:t>the transport of surface waters, are related to prominent geographic barriers</w:t>
      </w:r>
      <w:r w:rsidR="005616B1">
        <w:rPr>
          <w:rFonts w:ascii="Times New Roman" w:eastAsia="Calibri" w:hAnsi="Times New Roman" w:cs="Times New Roman"/>
          <w:color w:val="000000" w:themeColor="text1"/>
          <w:szCs w:val="22"/>
        </w:rPr>
        <w:t xml:space="preserve"> (</w:t>
      </w:r>
      <w:r w:rsidR="001A0124">
        <w:rPr>
          <w:rFonts w:ascii="Times New Roman" w:eastAsia="Calibri" w:hAnsi="Times New Roman" w:cs="Times New Roman"/>
          <w:color w:val="000000" w:themeColor="text1"/>
          <w:szCs w:val="22"/>
        </w:rPr>
        <w:fldChar w:fldCharType="begin"/>
      </w:r>
      <w:r w:rsidR="001A0124">
        <w:rPr>
          <w:rFonts w:ascii="Times New Roman" w:eastAsia="Calibri" w:hAnsi="Times New Roman" w:cs="Times New Roman"/>
          <w:color w:val="000000" w:themeColor="text1"/>
          <w:szCs w:val="22"/>
        </w:rPr>
        <w:instrText xml:space="preserve"> REF _Ref440985703 \h </w:instrText>
      </w:r>
      <w:r w:rsidR="001A0124">
        <w:rPr>
          <w:rFonts w:ascii="Times New Roman" w:eastAsia="Calibri" w:hAnsi="Times New Roman" w:cs="Times New Roman"/>
          <w:color w:val="000000" w:themeColor="text1"/>
          <w:szCs w:val="22"/>
        </w:rPr>
      </w:r>
      <w:r w:rsidR="001A0124">
        <w:rPr>
          <w:rFonts w:ascii="Times New Roman" w:eastAsia="Calibri" w:hAnsi="Times New Roman" w:cs="Times New Roman"/>
          <w:color w:val="000000" w:themeColor="text1"/>
          <w:szCs w:val="22"/>
        </w:rPr>
        <w:fldChar w:fldCharType="separate"/>
      </w:r>
      <w:r w:rsidR="00B20EC7" w:rsidRPr="00543854">
        <w:rPr>
          <w:rFonts w:ascii="Times New Roman" w:eastAsia="Calibri" w:hAnsi="Times New Roman" w:cs="Times New Roman"/>
          <w:color w:val="000000" w:themeColor="text1"/>
          <w:szCs w:val="22"/>
        </w:rPr>
        <w:t xml:space="preserve">Figure </w:t>
      </w:r>
      <w:r w:rsidR="00B20EC7">
        <w:rPr>
          <w:rFonts w:ascii="Times New Roman" w:eastAsia="Calibri" w:hAnsi="Times New Roman" w:cs="Times New Roman"/>
          <w:noProof/>
          <w:color w:val="000000" w:themeColor="text1"/>
          <w:szCs w:val="22"/>
        </w:rPr>
        <w:t>2</w:t>
      </w:r>
      <w:r w:rsidR="001A0124">
        <w:rPr>
          <w:rFonts w:ascii="Times New Roman" w:eastAsia="Calibri" w:hAnsi="Times New Roman" w:cs="Times New Roman"/>
          <w:color w:val="000000" w:themeColor="text1"/>
          <w:szCs w:val="22"/>
        </w:rPr>
        <w:fldChar w:fldCharType="end"/>
      </w:r>
      <w:r w:rsidR="001A0124">
        <w:rPr>
          <w:rFonts w:ascii="Times New Roman" w:eastAsia="Calibri" w:hAnsi="Times New Roman" w:cs="Times New Roman"/>
          <w:color w:val="000000" w:themeColor="text1"/>
          <w:szCs w:val="22"/>
        </w:rPr>
        <w:t xml:space="preserve">; </w:t>
      </w:r>
      <w:r w:rsidR="005616B1">
        <w:rPr>
          <w:rFonts w:ascii="Times New Roman" w:eastAsia="Calibri" w:hAnsi="Times New Roman" w:cs="Times New Roman"/>
          <w:color w:val="000000" w:themeColor="text1"/>
          <w:szCs w:val="22"/>
        </w:rPr>
        <w:t>Hickey, 1998)</w:t>
      </w:r>
      <w:r w:rsidR="008D1EAE">
        <w:rPr>
          <w:rFonts w:ascii="Times New Roman" w:eastAsia="Calibri" w:hAnsi="Times New Roman" w:cs="Times New Roman"/>
          <w:color w:val="000000" w:themeColor="text1"/>
          <w:szCs w:val="22"/>
        </w:rPr>
        <w:t>:</w:t>
      </w:r>
      <w:r w:rsidR="00F82022">
        <w:rPr>
          <w:rFonts w:ascii="Times New Roman" w:eastAsia="Calibri" w:hAnsi="Times New Roman" w:cs="Times New Roman"/>
          <w:color w:val="000000" w:themeColor="text1"/>
          <w:szCs w:val="22"/>
        </w:rPr>
        <w:t xml:space="preserve"> </w:t>
      </w:r>
      <w:r w:rsidR="00632960">
        <w:rPr>
          <w:rFonts w:ascii="Times New Roman" w:eastAsia="Calibri" w:hAnsi="Times New Roman" w:cs="Times New Roman"/>
          <w:color w:val="000000" w:themeColor="text1"/>
          <w:szCs w:val="22"/>
        </w:rPr>
        <w:t xml:space="preserve">Astoria Canyon (46°15’N), </w:t>
      </w:r>
      <w:r w:rsidR="00F82022">
        <w:rPr>
          <w:rFonts w:ascii="Times New Roman" w:eastAsia="Calibri" w:hAnsi="Times New Roman" w:cs="Times New Roman"/>
          <w:color w:val="000000" w:themeColor="text1"/>
          <w:szCs w:val="22"/>
        </w:rPr>
        <w:t>Cape Blanco (</w:t>
      </w:r>
      <w:r w:rsidR="00632960">
        <w:rPr>
          <w:rFonts w:ascii="Times New Roman" w:eastAsia="Calibri" w:hAnsi="Times New Roman" w:cs="Times New Roman"/>
          <w:color w:val="000000" w:themeColor="text1"/>
          <w:szCs w:val="22"/>
        </w:rPr>
        <w:t>42°50’N</w:t>
      </w:r>
      <w:r w:rsidR="00F82022">
        <w:rPr>
          <w:rFonts w:ascii="Times New Roman" w:eastAsia="Calibri" w:hAnsi="Times New Roman" w:cs="Times New Roman"/>
          <w:color w:val="000000" w:themeColor="text1"/>
          <w:szCs w:val="22"/>
        </w:rPr>
        <w:t>), Cape Mendocino</w:t>
      </w:r>
      <w:r w:rsidR="00632960">
        <w:rPr>
          <w:rFonts w:ascii="Times New Roman" w:eastAsia="Calibri" w:hAnsi="Times New Roman" w:cs="Times New Roman"/>
          <w:color w:val="000000" w:themeColor="text1"/>
          <w:szCs w:val="22"/>
        </w:rPr>
        <w:t xml:space="preserve"> (40°26’N)</w:t>
      </w:r>
      <w:r w:rsidR="00F82022">
        <w:rPr>
          <w:rFonts w:ascii="Times New Roman" w:eastAsia="Calibri" w:hAnsi="Times New Roman" w:cs="Times New Roman"/>
          <w:color w:val="000000" w:themeColor="text1"/>
          <w:szCs w:val="22"/>
        </w:rPr>
        <w:t>, and Point Conception</w:t>
      </w:r>
      <w:r w:rsidR="00632960">
        <w:rPr>
          <w:rFonts w:ascii="Times New Roman" w:eastAsia="Calibri" w:hAnsi="Times New Roman" w:cs="Times New Roman"/>
          <w:color w:val="000000" w:themeColor="text1"/>
          <w:szCs w:val="22"/>
        </w:rPr>
        <w:t xml:space="preserve"> (34°27’N)</w:t>
      </w:r>
      <w:r w:rsidR="00F82022">
        <w:rPr>
          <w:rFonts w:ascii="Times New Roman" w:eastAsia="Calibri" w:hAnsi="Times New Roman" w:cs="Times New Roman"/>
          <w:color w:val="000000" w:themeColor="text1"/>
          <w:szCs w:val="22"/>
        </w:rPr>
        <w:t>.</w:t>
      </w:r>
      <w:r w:rsidR="008A0C6B">
        <w:rPr>
          <w:rFonts w:ascii="Times New Roman" w:eastAsia="Calibri" w:hAnsi="Times New Roman" w:cs="Times New Roman"/>
          <w:color w:val="000000" w:themeColor="text1"/>
          <w:szCs w:val="22"/>
        </w:rPr>
        <w:t xml:space="preserve"> Dynamics south of Point Conception were not investigated.</w:t>
      </w:r>
    </w:p>
    <w:p w14:paraId="21378ED5" w14:textId="48FED795" w:rsidR="0002136C" w:rsidRDefault="008D1EAE" w:rsidP="0002136C">
      <w:pPr>
        <w:spacing w:line="240" w:lineRule="auto"/>
        <w:ind w:firstLine="720"/>
        <w:jc w:val="both"/>
        <w:rPr>
          <w:rFonts w:ascii="Times New Roman" w:eastAsia="Calibri" w:hAnsi="Times New Roman" w:cs="Times New Roman"/>
          <w:color w:val="000000" w:themeColor="text1"/>
          <w:szCs w:val="22"/>
        </w:rPr>
      </w:pPr>
      <w:r w:rsidRPr="00A01630">
        <w:rPr>
          <w:rFonts w:ascii="Times New Roman" w:eastAsia="Calibri" w:hAnsi="Times New Roman" w:cs="Times New Roman"/>
          <w:i/>
          <w:color w:val="000000" w:themeColor="text1"/>
          <w:szCs w:val="22"/>
        </w:rPr>
        <w:t>Resource unit</w:t>
      </w:r>
      <w:r>
        <w:rPr>
          <w:rFonts w:ascii="Times New Roman" w:eastAsia="Calibri" w:hAnsi="Times New Roman" w:cs="Times New Roman"/>
          <w:color w:val="000000" w:themeColor="text1"/>
          <w:szCs w:val="22"/>
        </w:rPr>
        <w:t>. Resource units relate to characteristics of the extracted good(s)</w:t>
      </w:r>
      <w:r w:rsidR="008A4C88">
        <w:rPr>
          <w:rFonts w:ascii="Times New Roman" w:eastAsia="Calibri" w:hAnsi="Times New Roman" w:cs="Times New Roman"/>
          <w:color w:val="000000" w:themeColor="text1"/>
          <w:szCs w:val="22"/>
        </w:rPr>
        <w:t xml:space="preserve">, where the good can </w:t>
      </w:r>
      <w:r>
        <w:rPr>
          <w:rFonts w:ascii="Times New Roman" w:eastAsia="Calibri" w:hAnsi="Times New Roman" w:cs="Times New Roman"/>
          <w:color w:val="000000" w:themeColor="text1"/>
          <w:szCs w:val="22"/>
        </w:rPr>
        <w:t xml:space="preserve">either be consumed or used </w:t>
      </w:r>
      <w:r w:rsidR="008A4C88">
        <w:rPr>
          <w:rFonts w:ascii="Times New Roman" w:eastAsia="Calibri" w:hAnsi="Times New Roman" w:cs="Times New Roman"/>
          <w:color w:val="000000" w:themeColor="text1"/>
          <w:szCs w:val="22"/>
        </w:rPr>
        <w:t>in</w:t>
      </w:r>
      <w:r>
        <w:rPr>
          <w:rFonts w:ascii="Times New Roman" w:eastAsia="Calibri" w:hAnsi="Times New Roman" w:cs="Times New Roman"/>
          <w:color w:val="000000" w:themeColor="text1"/>
          <w:szCs w:val="22"/>
        </w:rPr>
        <w:t xml:space="preserve"> the exchange </w:t>
      </w:r>
      <w:r w:rsidR="008A4C88">
        <w:rPr>
          <w:rFonts w:ascii="Times New Roman" w:eastAsia="Calibri" w:hAnsi="Times New Roman" w:cs="Times New Roman"/>
          <w:color w:val="000000" w:themeColor="text1"/>
          <w:szCs w:val="22"/>
        </w:rPr>
        <w:t xml:space="preserve">for </w:t>
      </w:r>
      <w:r>
        <w:rPr>
          <w:rFonts w:ascii="Times New Roman" w:eastAsia="Calibri" w:hAnsi="Times New Roman" w:cs="Times New Roman"/>
          <w:color w:val="000000" w:themeColor="text1"/>
          <w:szCs w:val="22"/>
        </w:rPr>
        <w:t xml:space="preserve">other goods. </w:t>
      </w:r>
      <w:r w:rsidR="00A35C16">
        <w:rPr>
          <w:rFonts w:ascii="Times New Roman" w:eastAsia="Calibri" w:hAnsi="Times New Roman" w:cs="Times New Roman"/>
          <w:color w:val="000000" w:themeColor="text1"/>
          <w:szCs w:val="22"/>
        </w:rPr>
        <w:t xml:space="preserve">Availability of sablefish, the resource unit, was characterized by yearly specific estimates of local abundance. Estimates were derived from catch per unit effort data, provided by the </w:t>
      </w:r>
      <w:r w:rsidR="00A35C16" w:rsidRPr="00DA5D50">
        <w:rPr>
          <w:rFonts w:ascii="Times New Roman" w:eastAsia="Calibri" w:hAnsi="Times New Roman" w:cs="Times New Roman"/>
          <w:color w:val="000000" w:themeColor="text1"/>
          <w:szCs w:val="22"/>
        </w:rPr>
        <w:t>Northwest Fisheries Science Center (NWFSC) Shelf-Slope survey</w:t>
      </w:r>
      <w:r w:rsidR="00A35C16">
        <w:rPr>
          <w:rFonts w:ascii="Times New Roman" w:eastAsia="Calibri" w:hAnsi="Times New Roman" w:cs="Times New Roman"/>
          <w:color w:val="000000" w:themeColor="text1"/>
          <w:szCs w:val="22"/>
        </w:rPr>
        <w:t xml:space="preserve">, which </w:t>
      </w:r>
      <w:r w:rsidR="00A35C16" w:rsidRPr="00DA5D50">
        <w:rPr>
          <w:rFonts w:ascii="Times New Roman" w:eastAsia="Calibri" w:hAnsi="Times New Roman" w:cs="Times New Roman"/>
          <w:color w:val="000000" w:themeColor="text1"/>
          <w:szCs w:val="22"/>
        </w:rPr>
        <w:t xml:space="preserve">collects annual data on hundreds of fish species along the US West Coast (Bradburn </w:t>
      </w:r>
      <w:r w:rsidR="00A35C16" w:rsidRPr="00DA5D50">
        <w:rPr>
          <w:rFonts w:ascii="Times New Roman" w:eastAsia="Calibri" w:hAnsi="Times New Roman" w:cs="Times New Roman"/>
          <w:i/>
          <w:color w:val="000000" w:themeColor="text1"/>
          <w:szCs w:val="22"/>
        </w:rPr>
        <w:t>et al</w:t>
      </w:r>
      <w:r w:rsidR="00A35C16" w:rsidRPr="00DA5D50">
        <w:rPr>
          <w:rFonts w:ascii="Times New Roman" w:eastAsia="Calibri" w:hAnsi="Times New Roman" w:cs="Times New Roman"/>
          <w:color w:val="000000" w:themeColor="text1"/>
          <w:szCs w:val="22"/>
        </w:rPr>
        <w:t>. 2011).</w:t>
      </w:r>
      <w:r w:rsidR="00A35C16">
        <w:rPr>
          <w:rFonts w:ascii="Times New Roman" w:eastAsia="Calibri" w:hAnsi="Times New Roman" w:cs="Times New Roman"/>
          <w:color w:val="000000" w:themeColor="text1"/>
          <w:szCs w:val="22"/>
        </w:rPr>
        <w:t xml:space="preserve"> Catch per unit effort data can be summarized using multiple methods (e.g., mean, stratified mean, or generalized linear model), but only generalized linear models can account for stratified and unbalanced sampling designs </w:t>
      </w:r>
      <w:r w:rsidR="00F06F64">
        <w:rPr>
          <w:rFonts w:ascii="Times New Roman" w:eastAsia="Calibri" w:hAnsi="Times New Roman" w:cs="Times New Roman"/>
          <w:color w:val="000000" w:themeColor="text1"/>
          <w:szCs w:val="22"/>
        </w:rPr>
        <w:t>as well as fish behaviour (e.g., schooling)</w:t>
      </w:r>
      <w:r w:rsidR="00D42AC7" w:rsidRPr="00D42AC7">
        <w:rPr>
          <w:rFonts w:ascii="Times New Roman" w:eastAsia="Calibri" w:hAnsi="Times New Roman" w:cs="Times New Roman"/>
          <w:color w:val="000000" w:themeColor="text1"/>
          <w:szCs w:val="22"/>
        </w:rPr>
        <w:t xml:space="preserve"> </w:t>
      </w:r>
      <w:r w:rsidR="00D42AC7">
        <w:rPr>
          <w:rFonts w:ascii="Times New Roman" w:eastAsia="Calibri" w:hAnsi="Times New Roman" w:cs="Times New Roman"/>
          <w:color w:val="000000" w:themeColor="text1"/>
          <w:szCs w:val="22"/>
        </w:rPr>
        <w:t xml:space="preserve">(Thorson and Ward, 2013). Simpler models </w:t>
      </w:r>
      <w:r w:rsidR="0002136C">
        <w:rPr>
          <w:rFonts w:ascii="Times New Roman" w:eastAsia="Calibri" w:hAnsi="Times New Roman" w:cs="Times New Roman"/>
          <w:color w:val="000000" w:themeColor="text1"/>
          <w:szCs w:val="22"/>
        </w:rPr>
        <w:t xml:space="preserve">can </w:t>
      </w:r>
      <w:r w:rsidR="005616B1">
        <w:rPr>
          <w:rFonts w:ascii="Times New Roman" w:eastAsia="Calibri" w:hAnsi="Times New Roman" w:cs="Times New Roman"/>
          <w:color w:val="000000" w:themeColor="text1"/>
          <w:szCs w:val="22"/>
        </w:rPr>
        <w:t>lead to invalidated assumptions</w:t>
      </w:r>
      <w:r w:rsidR="00D42AC7">
        <w:rPr>
          <w:rFonts w:ascii="Times New Roman" w:eastAsia="Calibri" w:hAnsi="Times New Roman" w:cs="Times New Roman"/>
          <w:color w:val="000000" w:themeColor="text1"/>
          <w:szCs w:val="22"/>
        </w:rPr>
        <w:t xml:space="preserve"> and </w:t>
      </w:r>
      <w:r w:rsidR="00AA1E00">
        <w:rPr>
          <w:rFonts w:ascii="Times New Roman" w:eastAsia="Calibri" w:hAnsi="Times New Roman" w:cs="Times New Roman"/>
          <w:color w:val="000000" w:themeColor="text1"/>
          <w:szCs w:val="22"/>
        </w:rPr>
        <w:t>incorrect</w:t>
      </w:r>
      <w:r w:rsidR="00D42AC7">
        <w:rPr>
          <w:rFonts w:ascii="Times New Roman" w:eastAsia="Calibri" w:hAnsi="Times New Roman" w:cs="Times New Roman"/>
          <w:color w:val="000000" w:themeColor="text1"/>
          <w:szCs w:val="22"/>
        </w:rPr>
        <w:t xml:space="preserve"> estimates of local abundance</w:t>
      </w:r>
      <w:r w:rsidR="0002136C">
        <w:rPr>
          <w:rFonts w:ascii="Times New Roman" w:eastAsia="Calibri" w:hAnsi="Times New Roman" w:cs="Times New Roman"/>
          <w:color w:val="000000" w:themeColor="text1"/>
          <w:szCs w:val="22"/>
        </w:rPr>
        <w:t>.</w:t>
      </w:r>
      <w:r w:rsidR="00D42AC7">
        <w:rPr>
          <w:rFonts w:ascii="Times New Roman" w:eastAsia="Calibri" w:hAnsi="Times New Roman" w:cs="Times New Roman"/>
          <w:color w:val="000000" w:themeColor="text1"/>
          <w:szCs w:val="22"/>
        </w:rPr>
        <w:t xml:space="preserve"> </w:t>
      </w:r>
    </w:p>
    <w:p w14:paraId="2BB28F2C" w14:textId="473B66C7" w:rsidR="0002136C" w:rsidRDefault="00AA1E00"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Delta-generalized linear mixed-effects models (delta-GLMMs) were used to standardize the CPUE data and provide local index</w:t>
      </w:r>
      <w:r w:rsidR="0002304B">
        <w:rPr>
          <w:rFonts w:ascii="Times New Roman" w:eastAsia="Calibri" w:hAnsi="Times New Roman" w:cs="Times New Roman"/>
          <w:color w:val="000000" w:themeColor="text1"/>
          <w:szCs w:val="22"/>
        </w:rPr>
        <w:t>es</w:t>
      </w:r>
      <w:r>
        <w:rPr>
          <w:rFonts w:ascii="Times New Roman" w:eastAsia="Calibri" w:hAnsi="Times New Roman" w:cs="Times New Roman"/>
          <w:color w:val="000000" w:themeColor="text1"/>
          <w:szCs w:val="22"/>
        </w:rPr>
        <w:t xml:space="preserve"> of abundance. Delta-GLMMs separate the model into two components: (1) the probability of encountering the species and (2) the rate </w:t>
      </w:r>
      <w:r w:rsidR="003E1EC8">
        <w:rPr>
          <w:rFonts w:ascii="Times New Roman" w:eastAsia="Calibri" w:hAnsi="Times New Roman" w:cs="Times New Roman"/>
          <w:color w:val="000000" w:themeColor="text1"/>
          <w:szCs w:val="22"/>
        </w:rPr>
        <w:t>of detection</w:t>
      </w:r>
      <w:r>
        <w:rPr>
          <w:rFonts w:ascii="Times New Roman" w:eastAsia="Calibri" w:hAnsi="Times New Roman" w:cs="Times New Roman"/>
          <w:color w:val="000000" w:themeColor="text1"/>
          <w:szCs w:val="22"/>
        </w:rPr>
        <w:t xml:space="preserve"> given </w:t>
      </w:r>
      <w:r w:rsidR="003E1EC8">
        <w:rPr>
          <w:rFonts w:ascii="Times New Roman" w:eastAsia="Calibri" w:hAnsi="Times New Roman" w:cs="Times New Roman"/>
          <w:color w:val="000000" w:themeColor="text1"/>
          <w:szCs w:val="22"/>
        </w:rPr>
        <w:t>an encounter</w:t>
      </w:r>
      <w:r>
        <w:rPr>
          <w:rFonts w:ascii="Times New Roman" w:eastAsia="Calibri" w:hAnsi="Times New Roman" w:cs="Times New Roman"/>
          <w:color w:val="000000" w:themeColor="text1"/>
          <w:szCs w:val="22"/>
        </w:rPr>
        <w:t xml:space="preserve">. </w:t>
      </w:r>
      <w:r w:rsidR="003E1EC8">
        <w:rPr>
          <w:rFonts w:ascii="Times New Roman" w:eastAsia="Calibri" w:hAnsi="Times New Roman" w:cs="Times New Roman"/>
          <w:color w:val="000000" w:themeColor="text1"/>
          <w:szCs w:val="22"/>
        </w:rPr>
        <w:t>T</w:t>
      </w:r>
      <w:r>
        <w:rPr>
          <w:rFonts w:ascii="Times New Roman" w:eastAsia="Calibri" w:hAnsi="Times New Roman" w:cs="Times New Roman"/>
          <w:color w:val="000000" w:themeColor="text1"/>
          <w:szCs w:val="22"/>
        </w:rPr>
        <w:t xml:space="preserve">he expected value of </w:t>
      </w:r>
      <w:r w:rsidR="003E1EC8">
        <w:rPr>
          <w:rFonts w:ascii="Times New Roman" w:eastAsia="Calibri" w:hAnsi="Times New Roman" w:cs="Times New Roman"/>
          <w:color w:val="000000" w:themeColor="text1"/>
          <w:szCs w:val="22"/>
        </w:rPr>
        <w:t xml:space="preserve">each model component can be approximated </w:t>
      </w:r>
      <w:r>
        <w:rPr>
          <w:rFonts w:ascii="Times New Roman" w:eastAsia="Calibri" w:hAnsi="Times New Roman" w:cs="Times New Roman"/>
          <w:color w:val="000000" w:themeColor="text1"/>
          <w:szCs w:val="22"/>
        </w:rPr>
        <w:t>as a function of fixed and/or random effects</w:t>
      </w:r>
      <w:r w:rsidR="0002304B">
        <w:rPr>
          <w:rFonts w:ascii="Times New Roman" w:eastAsia="Calibri" w:hAnsi="Times New Roman" w:cs="Times New Roman"/>
          <w:color w:val="000000" w:themeColor="text1"/>
          <w:szCs w:val="22"/>
        </w:rPr>
        <w:t xml:space="preserve">, where the equation for each model need not be the same. </w:t>
      </w:r>
      <w:r w:rsidR="00BD73C9">
        <w:rPr>
          <w:rFonts w:ascii="Times New Roman" w:eastAsia="Calibri" w:hAnsi="Times New Roman" w:cs="Times New Roman"/>
          <w:color w:val="000000" w:themeColor="text1"/>
          <w:szCs w:val="22"/>
        </w:rPr>
        <w:t>Both m</w:t>
      </w:r>
      <w:r w:rsidR="0002304B">
        <w:rPr>
          <w:rFonts w:ascii="Times New Roman" w:eastAsia="Calibri" w:hAnsi="Times New Roman" w:cs="Times New Roman"/>
          <w:color w:val="000000" w:themeColor="text1"/>
          <w:szCs w:val="22"/>
        </w:rPr>
        <w:t xml:space="preserve">odels always include a “year” </w:t>
      </w:r>
      <w:r w:rsidR="003E1EC8">
        <w:rPr>
          <w:rFonts w:ascii="Times New Roman" w:eastAsia="Calibri" w:hAnsi="Times New Roman" w:cs="Times New Roman"/>
          <w:color w:val="000000" w:themeColor="text1"/>
          <w:szCs w:val="22"/>
        </w:rPr>
        <w:t xml:space="preserve">effect </w:t>
      </w:r>
      <w:r w:rsidR="00BD73C9">
        <w:rPr>
          <w:rFonts w:ascii="Times New Roman" w:eastAsia="Calibri" w:hAnsi="Times New Roman" w:cs="Times New Roman"/>
          <w:color w:val="000000" w:themeColor="text1"/>
          <w:szCs w:val="22"/>
        </w:rPr>
        <w:t xml:space="preserve">to estimate </w:t>
      </w:r>
      <w:r w:rsidR="0002304B">
        <w:rPr>
          <w:rFonts w:ascii="Times New Roman" w:eastAsia="Calibri" w:hAnsi="Times New Roman" w:cs="Times New Roman"/>
          <w:color w:val="000000" w:themeColor="text1"/>
          <w:szCs w:val="22"/>
        </w:rPr>
        <w:t xml:space="preserve">yearly change in abundance and typically include “area” and “vessel” effects to account for differences in such things as habitat type (e.g., shelf or slope), sampling effort, and vessel </w:t>
      </w:r>
      <w:r w:rsidR="00BD73C9">
        <w:rPr>
          <w:rFonts w:ascii="Times New Roman" w:eastAsia="Calibri" w:hAnsi="Times New Roman" w:cs="Times New Roman"/>
          <w:color w:val="000000" w:themeColor="text1"/>
          <w:szCs w:val="22"/>
        </w:rPr>
        <w:t>“catchability”</w:t>
      </w:r>
      <w:r w:rsidR="0002304B">
        <w:rPr>
          <w:rFonts w:ascii="Times New Roman" w:eastAsia="Calibri" w:hAnsi="Times New Roman" w:cs="Times New Roman"/>
          <w:color w:val="000000" w:themeColor="text1"/>
          <w:szCs w:val="22"/>
        </w:rPr>
        <w:t xml:space="preserve">. Interactions can </w:t>
      </w:r>
      <w:r w:rsidR="00BD73C9">
        <w:rPr>
          <w:rFonts w:ascii="Times New Roman" w:eastAsia="Calibri" w:hAnsi="Times New Roman" w:cs="Times New Roman"/>
          <w:color w:val="000000" w:themeColor="text1"/>
          <w:szCs w:val="22"/>
        </w:rPr>
        <w:t xml:space="preserve">also </w:t>
      </w:r>
      <w:r w:rsidR="0002304B">
        <w:rPr>
          <w:rFonts w:ascii="Times New Roman" w:eastAsia="Calibri" w:hAnsi="Times New Roman" w:cs="Times New Roman"/>
          <w:color w:val="000000" w:themeColor="text1"/>
          <w:szCs w:val="22"/>
        </w:rPr>
        <w:t>be included, as well as uncorrelated and correlated random effects (see Thorson and Ward (2013) for more details).</w:t>
      </w:r>
      <w:r w:rsidR="00BD73C9">
        <w:rPr>
          <w:rFonts w:ascii="Times New Roman" w:eastAsia="Calibri" w:hAnsi="Times New Roman" w:cs="Times New Roman"/>
          <w:color w:val="000000" w:themeColor="text1"/>
          <w:szCs w:val="22"/>
        </w:rPr>
        <w:t xml:space="preserve"> </w:t>
      </w:r>
      <w:r w:rsidR="003E1EC8">
        <w:rPr>
          <w:rFonts w:ascii="Times New Roman" w:eastAsia="Calibri" w:hAnsi="Times New Roman" w:cs="Times New Roman"/>
          <w:color w:val="000000" w:themeColor="text1"/>
          <w:szCs w:val="22"/>
        </w:rPr>
        <w:t>Here, we investigated five model structures to account for year, vessel, stratum</w:t>
      </w:r>
      <w:r w:rsidR="00D5495B">
        <w:rPr>
          <w:rFonts w:ascii="Times New Roman" w:eastAsia="Calibri" w:hAnsi="Times New Roman" w:cs="Times New Roman"/>
          <w:color w:val="000000" w:themeColor="text1"/>
          <w:szCs w:val="22"/>
        </w:rPr>
        <w:t>, and pass</w:t>
      </w:r>
      <w:r w:rsidR="003E1EC8">
        <w:rPr>
          <w:rFonts w:ascii="Times New Roman" w:eastAsia="Calibri" w:hAnsi="Times New Roman" w:cs="Times New Roman"/>
          <w:color w:val="000000" w:themeColor="text1"/>
          <w:szCs w:val="22"/>
        </w:rPr>
        <w:t xml:space="preserve"> effects. A vessel effect was investigated to account for multiple vessels being used per year. </w:t>
      </w:r>
      <w:r w:rsidR="00BD73C9">
        <w:rPr>
          <w:rFonts w:ascii="Times New Roman" w:eastAsia="Calibri" w:hAnsi="Times New Roman" w:cs="Times New Roman"/>
          <w:color w:val="000000" w:themeColor="text1"/>
          <w:szCs w:val="22"/>
        </w:rPr>
        <w:t xml:space="preserve">The survey </w:t>
      </w:r>
      <w:r w:rsidR="003E1EC8">
        <w:rPr>
          <w:rFonts w:ascii="Times New Roman" w:eastAsia="Calibri" w:hAnsi="Times New Roman" w:cs="Times New Roman"/>
          <w:color w:val="000000" w:themeColor="text1"/>
          <w:szCs w:val="22"/>
        </w:rPr>
        <w:t xml:space="preserve">typically </w:t>
      </w:r>
      <w:r w:rsidR="00BD73C9">
        <w:rPr>
          <w:rFonts w:ascii="Times New Roman" w:eastAsia="Calibri" w:hAnsi="Times New Roman" w:cs="Times New Roman"/>
          <w:color w:val="000000" w:themeColor="text1"/>
          <w:szCs w:val="22"/>
        </w:rPr>
        <w:t xml:space="preserve">contracts four commercial fishing vessels per year to conduct the standardized bottom trawls, </w:t>
      </w:r>
      <w:r w:rsidR="003E1EC8">
        <w:rPr>
          <w:rFonts w:ascii="Times New Roman" w:eastAsia="Calibri" w:hAnsi="Times New Roman" w:cs="Times New Roman"/>
          <w:color w:val="000000" w:themeColor="text1"/>
          <w:szCs w:val="22"/>
        </w:rPr>
        <w:t>although in 2012 two contracts were given to a single vessel. A stratum effect was investigated to account for stratification of the random sampling design across three depth categories ((1) 55 to 18</w:t>
      </w:r>
      <w:r w:rsidR="00275590">
        <w:rPr>
          <w:rFonts w:ascii="Times New Roman" w:eastAsia="Calibri" w:hAnsi="Times New Roman" w:cs="Times New Roman"/>
          <w:color w:val="000000" w:themeColor="text1"/>
          <w:szCs w:val="22"/>
        </w:rPr>
        <w:t>3</w:t>
      </w:r>
      <w:r w:rsidR="003E1EC8">
        <w:rPr>
          <w:rFonts w:ascii="Times New Roman" w:eastAsia="Calibri" w:hAnsi="Times New Roman" w:cs="Times New Roman"/>
          <w:color w:val="000000" w:themeColor="text1"/>
          <w:szCs w:val="22"/>
        </w:rPr>
        <w:t xml:space="preserve"> m, (2) 18</w:t>
      </w:r>
      <w:r w:rsidR="00275590">
        <w:rPr>
          <w:rFonts w:ascii="Times New Roman" w:eastAsia="Calibri" w:hAnsi="Times New Roman" w:cs="Times New Roman"/>
          <w:color w:val="000000" w:themeColor="text1"/>
          <w:szCs w:val="22"/>
        </w:rPr>
        <w:t>4 to 549</w:t>
      </w:r>
      <w:r w:rsidR="003E1EC8">
        <w:rPr>
          <w:rFonts w:ascii="Times New Roman" w:eastAsia="Calibri" w:hAnsi="Times New Roman" w:cs="Times New Roman"/>
          <w:color w:val="000000" w:themeColor="text1"/>
          <w:szCs w:val="22"/>
        </w:rPr>
        <w:t xml:space="preserve"> m, (3) 5</w:t>
      </w:r>
      <w:r w:rsidR="00275590">
        <w:rPr>
          <w:rFonts w:ascii="Times New Roman" w:eastAsia="Calibri" w:hAnsi="Times New Roman" w:cs="Times New Roman"/>
          <w:color w:val="000000" w:themeColor="text1"/>
          <w:szCs w:val="22"/>
        </w:rPr>
        <w:t>50</w:t>
      </w:r>
      <w:r w:rsidR="003E1EC8">
        <w:rPr>
          <w:rFonts w:ascii="Times New Roman" w:eastAsia="Calibri" w:hAnsi="Times New Roman" w:cs="Times New Roman"/>
          <w:color w:val="000000" w:themeColor="text1"/>
          <w:szCs w:val="22"/>
        </w:rPr>
        <w:t xml:space="preserve"> to 1280 m) and hypothesized differences in the biophysical system (</w:t>
      </w:r>
      <w:r w:rsidR="001A0124">
        <w:rPr>
          <w:rFonts w:ascii="Times New Roman" w:eastAsia="Calibri" w:hAnsi="Times New Roman" w:cs="Times New Roman"/>
          <w:color w:val="000000" w:themeColor="text1"/>
          <w:szCs w:val="22"/>
        </w:rPr>
        <w:fldChar w:fldCharType="begin"/>
      </w:r>
      <w:r w:rsidR="001A0124">
        <w:rPr>
          <w:rFonts w:ascii="Times New Roman" w:eastAsia="Calibri" w:hAnsi="Times New Roman" w:cs="Times New Roman"/>
          <w:color w:val="000000" w:themeColor="text1"/>
          <w:szCs w:val="22"/>
        </w:rPr>
        <w:instrText xml:space="preserve"> REF _Ref440985703 \h </w:instrText>
      </w:r>
      <w:r w:rsidR="001A0124">
        <w:rPr>
          <w:rFonts w:ascii="Times New Roman" w:eastAsia="Calibri" w:hAnsi="Times New Roman" w:cs="Times New Roman"/>
          <w:color w:val="000000" w:themeColor="text1"/>
          <w:szCs w:val="22"/>
        </w:rPr>
      </w:r>
      <w:r w:rsidR="001A0124">
        <w:rPr>
          <w:rFonts w:ascii="Times New Roman" w:eastAsia="Calibri" w:hAnsi="Times New Roman" w:cs="Times New Roman"/>
          <w:color w:val="000000" w:themeColor="text1"/>
          <w:szCs w:val="22"/>
        </w:rPr>
        <w:fldChar w:fldCharType="separate"/>
      </w:r>
      <w:r w:rsidR="00B20EC7" w:rsidRPr="00543854">
        <w:rPr>
          <w:rFonts w:ascii="Times New Roman" w:eastAsia="Calibri" w:hAnsi="Times New Roman" w:cs="Times New Roman"/>
          <w:color w:val="000000" w:themeColor="text1"/>
          <w:szCs w:val="22"/>
        </w:rPr>
        <w:t xml:space="preserve">Figure </w:t>
      </w:r>
      <w:r w:rsidR="00B20EC7">
        <w:rPr>
          <w:rFonts w:ascii="Times New Roman" w:eastAsia="Calibri" w:hAnsi="Times New Roman" w:cs="Times New Roman"/>
          <w:noProof/>
          <w:color w:val="000000" w:themeColor="text1"/>
          <w:szCs w:val="22"/>
        </w:rPr>
        <w:t>2</w:t>
      </w:r>
      <w:r w:rsidR="001A0124">
        <w:rPr>
          <w:rFonts w:ascii="Times New Roman" w:eastAsia="Calibri" w:hAnsi="Times New Roman" w:cs="Times New Roman"/>
          <w:color w:val="000000" w:themeColor="text1"/>
          <w:szCs w:val="22"/>
        </w:rPr>
        <w:fldChar w:fldCharType="end"/>
      </w:r>
      <w:r w:rsidR="001A0124">
        <w:rPr>
          <w:rFonts w:ascii="Times New Roman" w:eastAsia="Calibri" w:hAnsi="Times New Roman" w:cs="Times New Roman"/>
          <w:color w:val="000000" w:themeColor="text1"/>
          <w:szCs w:val="22"/>
        </w:rPr>
        <w:t xml:space="preserve">; </w:t>
      </w:r>
      <w:r w:rsidR="003E1EC8">
        <w:rPr>
          <w:rFonts w:ascii="Times New Roman" w:eastAsia="Calibri" w:hAnsi="Times New Roman" w:cs="Times New Roman"/>
          <w:color w:val="000000" w:themeColor="text1"/>
          <w:szCs w:val="22"/>
        </w:rPr>
        <w:t xml:space="preserve">see </w:t>
      </w:r>
      <w:r w:rsidR="001A0124">
        <w:rPr>
          <w:rFonts w:ascii="Times New Roman" w:eastAsia="Calibri" w:hAnsi="Times New Roman" w:cs="Times New Roman"/>
          <w:color w:val="000000" w:themeColor="text1"/>
          <w:szCs w:val="22"/>
        </w:rPr>
        <w:t>Resource system above)</w:t>
      </w:r>
      <w:r w:rsidR="003E1EC8">
        <w:rPr>
          <w:rFonts w:ascii="Times New Roman" w:eastAsia="Calibri" w:hAnsi="Times New Roman" w:cs="Times New Roman"/>
          <w:color w:val="000000" w:themeColor="text1"/>
          <w:szCs w:val="22"/>
        </w:rPr>
        <w:t>.</w:t>
      </w:r>
      <w:r w:rsidR="001A0124">
        <w:rPr>
          <w:rFonts w:ascii="Times New Roman" w:eastAsia="Calibri" w:hAnsi="Times New Roman" w:cs="Times New Roman"/>
          <w:color w:val="000000" w:themeColor="text1"/>
          <w:szCs w:val="22"/>
        </w:rPr>
        <w:t xml:space="preserve"> </w:t>
      </w:r>
      <w:r w:rsidR="00D5495B">
        <w:rPr>
          <w:rFonts w:ascii="Times New Roman" w:eastAsia="Calibri" w:hAnsi="Times New Roman" w:cs="Times New Roman"/>
          <w:color w:val="000000" w:themeColor="text1"/>
          <w:szCs w:val="22"/>
        </w:rPr>
        <w:t>A pass effect was included to account for the sampling area being covered twice per year (</w:t>
      </w:r>
      <w:r w:rsidR="00D5495B" w:rsidRPr="00DA5D50">
        <w:rPr>
          <w:rFonts w:ascii="Times New Roman" w:eastAsia="Calibri" w:hAnsi="Times New Roman" w:cs="Times New Roman"/>
          <w:color w:val="000000" w:themeColor="text1"/>
          <w:szCs w:val="22"/>
        </w:rPr>
        <w:t>late May to late July for the first pass and from mid-August to late October for the second pass</w:t>
      </w:r>
      <w:r w:rsidR="00D5495B">
        <w:rPr>
          <w:rFonts w:ascii="Times New Roman" w:eastAsia="Calibri" w:hAnsi="Times New Roman" w:cs="Times New Roman"/>
          <w:color w:val="000000" w:themeColor="text1"/>
          <w:szCs w:val="22"/>
        </w:rPr>
        <w:t xml:space="preserve">) and the incomplete sampling that occurred during the second pass of the 2013 survey when stations south of </w:t>
      </w:r>
      <w:r w:rsidR="00D5495B" w:rsidRPr="00DA5D50">
        <w:rPr>
          <w:rFonts w:ascii="Times New Roman" w:eastAsia="Calibri" w:hAnsi="Times New Roman" w:cs="Times New Roman"/>
          <w:color w:val="000000" w:themeColor="text1"/>
          <w:szCs w:val="22"/>
        </w:rPr>
        <w:t>37°N were not sampled.</w:t>
      </w:r>
      <w:r w:rsidR="00D5495B">
        <w:rPr>
          <w:rFonts w:ascii="Times New Roman" w:eastAsia="Calibri" w:hAnsi="Times New Roman" w:cs="Times New Roman"/>
          <w:color w:val="000000" w:themeColor="text1"/>
          <w:szCs w:val="22"/>
        </w:rPr>
        <w:t xml:space="preserve"> </w:t>
      </w:r>
      <w:r w:rsidR="001A0124">
        <w:rPr>
          <w:rFonts w:ascii="Times New Roman" w:eastAsia="Calibri" w:hAnsi="Times New Roman" w:cs="Times New Roman"/>
          <w:color w:val="000000" w:themeColor="text1"/>
          <w:szCs w:val="22"/>
        </w:rPr>
        <w:t>W</w:t>
      </w:r>
      <w:r w:rsidR="00BD73C9">
        <w:rPr>
          <w:rFonts w:ascii="Times New Roman" w:eastAsia="Calibri" w:hAnsi="Times New Roman" w:cs="Times New Roman"/>
          <w:color w:val="000000" w:themeColor="text1"/>
          <w:szCs w:val="22"/>
        </w:rPr>
        <w:t>e in</w:t>
      </w:r>
      <w:r w:rsidR="001A0124">
        <w:rPr>
          <w:rFonts w:ascii="Times New Roman" w:eastAsia="Calibri" w:hAnsi="Times New Roman" w:cs="Times New Roman"/>
          <w:color w:val="000000" w:themeColor="text1"/>
          <w:szCs w:val="22"/>
        </w:rPr>
        <w:t xml:space="preserve">vestigated five model structures to determine which treatment of spatial, temporal, and vessel interactions were supported by the data: </w:t>
      </w:r>
      <w:r w:rsidR="001A0124" w:rsidRPr="00DA5D50">
        <w:rPr>
          <w:rFonts w:ascii="Times New Roman" w:eastAsia="Calibri" w:hAnsi="Times New Roman" w:cs="Times New Roman"/>
          <w:color w:val="000000" w:themeColor="text1"/>
          <w:szCs w:val="22"/>
        </w:rPr>
        <w:t>(a) strat</w:t>
      </w:r>
      <w:r w:rsidR="001A0124">
        <w:rPr>
          <w:rFonts w:ascii="Times New Roman" w:eastAsia="Calibri" w:hAnsi="Times New Roman" w:cs="Times New Roman"/>
          <w:color w:val="000000" w:themeColor="text1"/>
          <w:szCs w:val="22"/>
        </w:rPr>
        <w:t>um</w:t>
      </w:r>
      <w:r w:rsidR="001A0124" w:rsidRPr="00DA5D50">
        <w:rPr>
          <w:rFonts w:ascii="Times New Roman" w:eastAsia="Calibri" w:hAnsi="Times New Roman" w:cs="Times New Roman"/>
          <w:color w:val="000000" w:themeColor="text1"/>
          <w:szCs w:val="22"/>
        </w:rPr>
        <w:t xml:space="preserve"> and year as fixed effects</w:t>
      </w:r>
      <w:r w:rsidR="001A0124">
        <w:rPr>
          <w:rFonts w:ascii="Times New Roman" w:eastAsia="Calibri" w:hAnsi="Times New Roman" w:cs="Times New Roman"/>
          <w:color w:val="000000" w:themeColor="text1"/>
          <w:szCs w:val="22"/>
        </w:rPr>
        <w:t>,</w:t>
      </w:r>
      <w:r w:rsidR="001A0124" w:rsidRPr="00DA5D50">
        <w:rPr>
          <w:rFonts w:ascii="Times New Roman" w:eastAsia="Calibri" w:hAnsi="Times New Roman" w:cs="Times New Roman"/>
          <w:color w:val="000000" w:themeColor="text1"/>
          <w:szCs w:val="22"/>
        </w:rPr>
        <w:t xml:space="preserve"> (b) strat</w:t>
      </w:r>
      <w:r w:rsidR="001A0124">
        <w:rPr>
          <w:rFonts w:ascii="Times New Roman" w:eastAsia="Calibri" w:hAnsi="Times New Roman" w:cs="Times New Roman"/>
          <w:color w:val="000000" w:themeColor="text1"/>
          <w:szCs w:val="22"/>
        </w:rPr>
        <w:t>um</w:t>
      </w:r>
      <w:r w:rsidR="001A0124" w:rsidRPr="00DA5D50">
        <w:rPr>
          <w:rFonts w:ascii="Times New Roman" w:eastAsia="Calibri" w:hAnsi="Times New Roman" w:cs="Times New Roman"/>
          <w:color w:val="000000" w:themeColor="text1"/>
          <w:szCs w:val="22"/>
        </w:rPr>
        <w:t xml:space="preserve"> and year and the interaction between strata and vessel as fixed effects</w:t>
      </w:r>
      <w:r w:rsidR="001A0124">
        <w:rPr>
          <w:rFonts w:ascii="Times New Roman" w:eastAsia="Calibri" w:hAnsi="Times New Roman" w:cs="Times New Roman"/>
          <w:color w:val="000000" w:themeColor="text1"/>
          <w:szCs w:val="22"/>
        </w:rPr>
        <w:t>,</w:t>
      </w:r>
      <w:r w:rsidR="001A0124" w:rsidRPr="00DA5D50">
        <w:rPr>
          <w:rFonts w:ascii="Times New Roman" w:eastAsia="Calibri" w:hAnsi="Times New Roman" w:cs="Times New Roman"/>
          <w:color w:val="000000" w:themeColor="text1"/>
          <w:szCs w:val="22"/>
        </w:rPr>
        <w:t xml:space="preserve"> (c) strat</w:t>
      </w:r>
      <w:r w:rsidR="001A0124">
        <w:rPr>
          <w:rFonts w:ascii="Times New Roman" w:eastAsia="Calibri" w:hAnsi="Times New Roman" w:cs="Times New Roman"/>
          <w:color w:val="000000" w:themeColor="text1"/>
          <w:szCs w:val="22"/>
        </w:rPr>
        <w:t>um</w:t>
      </w:r>
      <w:r w:rsidR="001A0124" w:rsidRPr="00DA5D50">
        <w:rPr>
          <w:rFonts w:ascii="Times New Roman" w:eastAsia="Calibri" w:hAnsi="Times New Roman" w:cs="Times New Roman"/>
          <w:color w:val="000000" w:themeColor="text1"/>
          <w:szCs w:val="22"/>
        </w:rPr>
        <w:t xml:space="preserve"> and year as fixed effects and the interaction </w:t>
      </w:r>
      <w:r w:rsidR="001A0124">
        <w:rPr>
          <w:rFonts w:ascii="Times New Roman" w:eastAsia="Calibri" w:hAnsi="Times New Roman" w:cs="Times New Roman"/>
          <w:color w:val="000000" w:themeColor="text1"/>
          <w:szCs w:val="22"/>
        </w:rPr>
        <w:t>between</w:t>
      </w:r>
      <w:r w:rsidR="001A0124" w:rsidRPr="00DA5D50">
        <w:rPr>
          <w:rFonts w:ascii="Times New Roman" w:eastAsia="Calibri" w:hAnsi="Times New Roman" w:cs="Times New Roman"/>
          <w:color w:val="000000" w:themeColor="text1"/>
          <w:szCs w:val="22"/>
        </w:rPr>
        <w:t xml:space="preserve"> ye</w:t>
      </w:r>
      <w:r w:rsidR="001A0124">
        <w:rPr>
          <w:rFonts w:ascii="Times New Roman" w:eastAsia="Calibri" w:hAnsi="Times New Roman" w:cs="Times New Roman"/>
          <w:color w:val="000000" w:themeColor="text1"/>
          <w:szCs w:val="22"/>
        </w:rPr>
        <w:t xml:space="preserve">ar and vessel as random effects, (d) </w:t>
      </w:r>
      <w:r w:rsidR="001A0124" w:rsidRPr="00DA5D50">
        <w:rPr>
          <w:rFonts w:ascii="Times New Roman" w:eastAsia="Calibri" w:hAnsi="Times New Roman" w:cs="Times New Roman"/>
          <w:color w:val="000000" w:themeColor="text1"/>
          <w:szCs w:val="22"/>
        </w:rPr>
        <w:t>strat</w:t>
      </w:r>
      <w:r w:rsidR="001A0124">
        <w:rPr>
          <w:rFonts w:ascii="Times New Roman" w:eastAsia="Calibri" w:hAnsi="Times New Roman" w:cs="Times New Roman"/>
          <w:color w:val="000000" w:themeColor="text1"/>
          <w:szCs w:val="22"/>
        </w:rPr>
        <w:t>um</w:t>
      </w:r>
      <w:r w:rsidR="001A0124" w:rsidRPr="00DA5D50">
        <w:rPr>
          <w:rFonts w:ascii="Times New Roman" w:eastAsia="Calibri" w:hAnsi="Times New Roman" w:cs="Times New Roman"/>
          <w:color w:val="000000" w:themeColor="text1"/>
          <w:szCs w:val="22"/>
        </w:rPr>
        <w:t xml:space="preserve"> and year as fixed effects and the interactions between year and vessel and strat</w:t>
      </w:r>
      <w:r w:rsidR="001A0124">
        <w:rPr>
          <w:rFonts w:ascii="Times New Roman" w:eastAsia="Calibri" w:hAnsi="Times New Roman" w:cs="Times New Roman"/>
          <w:color w:val="000000" w:themeColor="text1"/>
          <w:szCs w:val="22"/>
        </w:rPr>
        <w:t>um</w:t>
      </w:r>
      <w:r w:rsidR="001A0124" w:rsidRPr="00DA5D50">
        <w:rPr>
          <w:rFonts w:ascii="Times New Roman" w:eastAsia="Calibri" w:hAnsi="Times New Roman" w:cs="Times New Roman"/>
          <w:color w:val="000000" w:themeColor="text1"/>
          <w:szCs w:val="22"/>
        </w:rPr>
        <w:t xml:space="preserve"> and vessel as random effects</w:t>
      </w:r>
      <w:r w:rsidR="001A0124">
        <w:rPr>
          <w:rFonts w:ascii="Times New Roman" w:eastAsia="Calibri" w:hAnsi="Times New Roman" w:cs="Times New Roman"/>
          <w:color w:val="000000" w:themeColor="text1"/>
          <w:szCs w:val="22"/>
        </w:rPr>
        <w:t xml:space="preserve">, </w:t>
      </w:r>
      <w:r w:rsidR="001A0124" w:rsidRPr="00DA5D50">
        <w:rPr>
          <w:rFonts w:ascii="Times New Roman" w:eastAsia="Calibri" w:hAnsi="Times New Roman" w:cs="Times New Roman"/>
          <w:color w:val="000000" w:themeColor="text1"/>
          <w:szCs w:val="22"/>
        </w:rPr>
        <w:t>(e) strat</w:t>
      </w:r>
      <w:r w:rsidR="001A0124">
        <w:rPr>
          <w:rFonts w:ascii="Times New Roman" w:eastAsia="Calibri" w:hAnsi="Times New Roman" w:cs="Times New Roman"/>
          <w:color w:val="000000" w:themeColor="text1"/>
          <w:szCs w:val="22"/>
        </w:rPr>
        <w:t>um</w:t>
      </w:r>
      <w:r w:rsidR="001A0124" w:rsidRPr="00DA5D50">
        <w:rPr>
          <w:rFonts w:ascii="Times New Roman" w:eastAsia="Calibri" w:hAnsi="Times New Roman" w:cs="Times New Roman"/>
          <w:color w:val="000000" w:themeColor="text1"/>
          <w:szCs w:val="22"/>
        </w:rPr>
        <w:t xml:space="preserve"> and year as fixed effects with correlated interactions between year and vessel and strata and vessel</w:t>
      </w:r>
      <w:r w:rsidR="001A0124">
        <w:rPr>
          <w:rFonts w:ascii="Times New Roman" w:eastAsia="Calibri" w:hAnsi="Times New Roman" w:cs="Times New Roman"/>
          <w:color w:val="000000" w:themeColor="text1"/>
          <w:szCs w:val="22"/>
        </w:rPr>
        <w:t xml:space="preserve"> as random effects</w:t>
      </w:r>
      <w:r w:rsidR="001A0124" w:rsidRPr="00DA5D50">
        <w:rPr>
          <w:rFonts w:ascii="Times New Roman" w:eastAsia="Calibri" w:hAnsi="Times New Roman" w:cs="Times New Roman"/>
          <w:color w:val="000000" w:themeColor="text1"/>
          <w:szCs w:val="22"/>
        </w:rPr>
        <w:t>.</w:t>
      </w:r>
      <w:r w:rsidR="00D5495B" w:rsidRPr="00D5495B">
        <w:rPr>
          <w:rFonts w:ascii="Times New Roman" w:eastAsia="Calibri" w:hAnsi="Times New Roman" w:cs="Times New Roman"/>
          <w:color w:val="000000" w:themeColor="text1"/>
          <w:szCs w:val="22"/>
        </w:rPr>
        <w:t xml:space="preserve"> </w:t>
      </w:r>
      <w:r w:rsidR="00D5495B" w:rsidRPr="00DA5D50">
        <w:rPr>
          <w:rFonts w:ascii="Times New Roman" w:eastAsia="Calibri" w:hAnsi="Times New Roman" w:cs="Times New Roman"/>
          <w:color w:val="000000" w:themeColor="text1"/>
          <w:szCs w:val="22"/>
        </w:rPr>
        <w:t xml:space="preserve">Additionally, </w:t>
      </w:r>
      <w:r w:rsidR="00D5495B">
        <w:rPr>
          <w:rFonts w:ascii="Times New Roman" w:eastAsia="Calibri" w:hAnsi="Times New Roman" w:cs="Times New Roman"/>
          <w:color w:val="000000" w:themeColor="text1"/>
          <w:szCs w:val="22"/>
        </w:rPr>
        <w:t>all models included survey pass.</w:t>
      </w:r>
    </w:p>
    <w:p w14:paraId="03FB0DF2" w14:textId="473B7D27" w:rsidR="00D5495B" w:rsidRDefault="00D5495B" w:rsidP="00D5495B">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Data used to fit the delta-GLMMs included spatially-resolved (i.e., trawl mid-point locations) fishery-independent species-specific catches collected from </w:t>
      </w:r>
      <w:r w:rsidRPr="00DA5D50">
        <w:rPr>
          <w:rFonts w:ascii="Times New Roman" w:eastAsia="Calibri" w:hAnsi="Times New Roman" w:cs="Times New Roman"/>
          <w:color w:val="000000" w:themeColor="text1"/>
          <w:szCs w:val="22"/>
        </w:rPr>
        <w:t xml:space="preserve">Cape Flattery, Washington (48° 10’N) to the US-Mexico border (32° </w:t>
      </w:r>
      <w:r w:rsidRPr="00D5495B">
        <w:rPr>
          <w:rFonts w:ascii="Times New Roman" w:eastAsia="Calibri" w:hAnsi="Times New Roman" w:cs="Times New Roman"/>
          <w:color w:val="000000" w:themeColor="text1"/>
          <w:szCs w:val="22"/>
        </w:rPr>
        <w:t xml:space="preserve">30’N) </w:t>
      </w:r>
      <w:r w:rsidR="00455E68">
        <w:rPr>
          <w:rFonts w:ascii="Times New Roman" w:eastAsia="Calibri" w:hAnsi="Times New Roman" w:cs="Times New Roman"/>
          <w:color w:val="000000" w:themeColor="text1"/>
          <w:szCs w:val="22"/>
        </w:rPr>
        <w:t xml:space="preserve">between the years of 2003 and 2014 </w:t>
      </w:r>
      <w:r w:rsidRPr="00D5495B">
        <w:rPr>
          <w:rFonts w:ascii="Times New Roman" w:eastAsia="Calibri" w:hAnsi="Times New Roman" w:cs="Times New Roman"/>
          <w:color w:val="000000" w:themeColor="text1"/>
          <w:szCs w:val="22"/>
        </w:rPr>
        <w:t>(</w:t>
      </w:r>
      <w:r w:rsidRPr="00D5495B">
        <w:rPr>
          <w:rFonts w:ascii="Times New Roman" w:eastAsia="Calibri" w:hAnsi="Times New Roman" w:cs="Times New Roman"/>
          <w:color w:val="000000" w:themeColor="text1"/>
          <w:szCs w:val="22"/>
        </w:rPr>
        <w:fldChar w:fldCharType="begin"/>
      </w:r>
      <w:r w:rsidRPr="00D5495B">
        <w:rPr>
          <w:rFonts w:ascii="Times New Roman" w:eastAsia="Calibri" w:hAnsi="Times New Roman" w:cs="Times New Roman"/>
          <w:color w:val="000000" w:themeColor="text1"/>
          <w:szCs w:val="22"/>
        </w:rPr>
        <w:instrText xml:space="preserve"> REF _Ref440570326 \h </w:instrText>
      </w:r>
      <w:r w:rsidRPr="00D5495B">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instrText xml:space="preserve"> \* MERGEFORMAT </w:instrText>
      </w:r>
      <w:r w:rsidRPr="00D5495B">
        <w:rPr>
          <w:rFonts w:ascii="Times New Roman" w:eastAsia="Calibri" w:hAnsi="Times New Roman" w:cs="Times New Roman"/>
          <w:color w:val="000000" w:themeColor="text1"/>
          <w:szCs w:val="22"/>
        </w:rPr>
        <w:fldChar w:fldCharType="separate"/>
      </w:r>
      <w:r w:rsidR="00B20EC7" w:rsidRPr="00B20EC7">
        <w:rPr>
          <w:rFonts w:ascii="Times New Roman" w:hAnsi="Times New Roman" w:cs="Times New Roman"/>
        </w:rPr>
        <w:t xml:space="preserve">Figure </w:t>
      </w:r>
      <w:r w:rsidR="00B20EC7" w:rsidRPr="00B20EC7">
        <w:rPr>
          <w:rFonts w:ascii="Times New Roman" w:hAnsi="Times New Roman" w:cs="Times New Roman"/>
          <w:noProof/>
        </w:rPr>
        <w:t>3</w:t>
      </w:r>
      <w:r w:rsidRPr="00D5495B">
        <w:rPr>
          <w:rFonts w:ascii="Times New Roman" w:eastAsia="Calibri" w:hAnsi="Times New Roman" w:cs="Times New Roman"/>
          <w:color w:val="000000" w:themeColor="text1"/>
          <w:szCs w:val="22"/>
        </w:rPr>
        <w:fldChar w:fldCharType="end"/>
      </w:r>
      <w:r w:rsidRPr="00D5495B">
        <w:rPr>
          <w:rFonts w:ascii="Times New Roman" w:eastAsia="Calibri" w:hAnsi="Times New Roman" w:cs="Times New Roman"/>
          <w:color w:val="000000" w:themeColor="text1"/>
          <w:szCs w:val="22"/>
        </w:rPr>
        <w:t xml:space="preserve">). </w:t>
      </w:r>
      <w:r w:rsidR="00455E68" w:rsidRPr="00DA5D50">
        <w:rPr>
          <w:rFonts w:ascii="Times New Roman" w:eastAsia="Calibri" w:hAnsi="Times New Roman" w:cs="Times New Roman"/>
          <w:color w:val="000000" w:themeColor="text1"/>
          <w:szCs w:val="22"/>
        </w:rPr>
        <w:t xml:space="preserve">Data are used as the primary source of abundance information for most PFMC groundfish stock assessments. </w:t>
      </w:r>
      <w:r w:rsidRPr="00D5495B">
        <w:rPr>
          <w:rFonts w:ascii="Times New Roman" w:eastAsia="Calibri" w:hAnsi="Times New Roman" w:cs="Times New Roman"/>
          <w:color w:val="000000" w:themeColor="text1"/>
          <w:szCs w:val="22"/>
        </w:rPr>
        <w:t>Analyses</w:t>
      </w:r>
      <w:r>
        <w:rPr>
          <w:rFonts w:ascii="Times New Roman" w:eastAsia="Calibri" w:hAnsi="Times New Roman" w:cs="Times New Roman"/>
          <w:color w:val="000000" w:themeColor="text1"/>
          <w:szCs w:val="22"/>
        </w:rPr>
        <w:t xml:space="preserve"> were </w:t>
      </w:r>
      <w:r w:rsidRPr="00DA5D50">
        <w:rPr>
          <w:rFonts w:ascii="Times New Roman" w:eastAsia="Calibri" w:hAnsi="Times New Roman" w:cs="Times New Roman"/>
          <w:color w:val="000000" w:themeColor="text1"/>
          <w:szCs w:val="22"/>
        </w:rPr>
        <w:lastRenderedPageBreak/>
        <w:t>implemented with an open source software package (Thorson and Ward, 2013) in R</w:t>
      </w:r>
      <w:r>
        <w:rPr>
          <w:rFonts w:ascii="Times New Roman" w:eastAsia="Calibri" w:hAnsi="Times New Roman" w:cs="Times New Roman"/>
          <w:color w:val="000000" w:themeColor="text1"/>
          <w:szCs w:val="22"/>
        </w:rPr>
        <w:t xml:space="preserve"> (R Core Team, 2015)</w:t>
      </w:r>
      <w:r w:rsidR="009F6115">
        <w:rPr>
          <w:rFonts w:ascii="Times New Roman" w:eastAsia="Calibri" w:hAnsi="Times New Roman" w:cs="Times New Roman"/>
          <w:color w:val="000000" w:themeColor="text1"/>
          <w:szCs w:val="22"/>
        </w:rPr>
        <w:t>, which uses a Bayesian hierarchical modelling framework</w:t>
      </w:r>
      <w:r w:rsidRPr="00DA5D50">
        <w:rPr>
          <w:rFonts w:ascii="Times New Roman" w:eastAsia="Calibri" w:hAnsi="Times New Roman" w:cs="Times New Roman"/>
          <w:color w:val="000000" w:themeColor="text1"/>
          <w:szCs w:val="22"/>
        </w:rPr>
        <w:t>.</w:t>
      </w:r>
      <w:r w:rsidR="009F6115">
        <w:rPr>
          <w:rFonts w:ascii="Times New Roman" w:eastAsia="Calibri" w:hAnsi="Times New Roman" w:cs="Times New Roman"/>
          <w:color w:val="000000" w:themeColor="text1"/>
          <w:szCs w:val="22"/>
        </w:rPr>
        <w:t xml:space="preserve"> </w:t>
      </w:r>
      <w:r w:rsidR="00C16441">
        <w:rPr>
          <w:rFonts w:ascii="Times New Roman" w:eastAsia="Calibri" w:hAnsi="Times New Roman" w:cs="Times New Roman"/>
          <w:color w:val="000000" w:themeColor="text1"/>
          <w:szCs w:val="22"/>
        </w:rPr>
        <w:t xml:space="preserve">The probability of non-zero catch events were modelled using logistic regression and the density of catch given a non-zero catch event was modelled using a Gamma distribution. </w:t>
      </w:r>
      <w:r w:rsidR="009F6115">
        <w:rPr>
          <w:rFonts w:ascii="Times New Roman" w:eastAsia="Calibri" w:hAnsi="Times New Roman" w:cs="Times New Roman"/>
          <w:color w:val="000000" w:themeColor="text1"/>
          <w:szCs w:val="22"/>
        </w:rPr>
        <w:t>Priors included a weakly informative gamma prior on the squared inverse coefficient of variation</w:t>
      </w:r>
      <w:r w:rsidRPr="00DA5D50">
        <w:rPr>
          <w:rFonts w:ascii="Times New Roman" w:eastAsia="Calibri" w:hAnsi="Times New Roman" w:cs="Times New Roman"/>
          <w:color w:val="000000" w:themeColor="text1"/>
          <w:szCs w:val="22"/>
        </w:rPr>
        <w:t xml:space="preserve"> </w:t>
      </w:r>
      <w:r w:rsidR="009F6115">
        <w:rPr>
          <w:rFonts w:ascii="Times New Roman" w:eastAsia="Calibri" w:hAnsi="Times New Roman" w:cs="Times New Roman"/>
          <w:color w:val="000000" w:themeColor="text1"/>
          <w:szCs w:val="22"/>
        </w:rPr>
        <w:t xml:space="preserve">for catch given that catch </w:t>
      </w:r>
      <w:r w:rsidR="00C16441">
        <w:rPr>
          <w:rFonts w:ascii="Times New Roman" w:eastAsia="Calibri" w:hAnsi="Times New Roman" w:cs="Times New Roman"/>
          <w:color w:val="000000" w:themeColor="text1"/>
          <w:szCs w:val="22"/>
        </w:rPr>
        <w:t>was</w:t>
      </w:r>
      <w:r w:rsidR="009F6115">
        <w:rPr>
          <w:rFonts w:ascii="Times New Roman" w:eastAsia="Calibri" w:hAnsi="Times New Roman" w:cs="Times New Roman"/>
          <w:color w:val="000000" w:themeColor="text1"/>
          <w:szCs w:val="22"/>
        </w:rPr>
        <w:t xml:space="preserve"> </w:t>
      </w:r>
      <w:r w:rsidR="00455E68">
        <w:rPr>
          <w:rFonts w:ascii="Times New Roman" w:eastAsia="Calibri" w:hAnsi="Times New Roman" w:cs="Times New Roman"/>
          <w:color w:val="000000" w:themeColor="text1"/>
          <w:szCs w:val="22"/>
        </w:rPr>
        <w:t>non-zero</w:t>
      </w:r>
      <w:r w:rsidR="009F6115">
        <w:rPr>
          <w:rFonts w:ascii="Times New Roman" w:eastAsia="Calibri" w:hAnsi="Times New Roman" w:cs="Times New Roman"/>
          <w:color w:val="000000" w:themeColor="text1"/>
          <w:szCs w:val="22"/>
        </w:rPr>
        <w:t xml:space="preserve"> (Gamma(0.001, 0.001)), bounded uniform priors on all fixed effect parameters, and a conjugate inverse-Wishart prior on the covariance matrix, which leads to a prior assumption of no correlation, when correlated random effe</w:t>
      </w:r>
      <w:r w:rsidR="00C16441">
        <w:rPr>
          <w:rFonts w:ascii="Times New Roman" w:eastAsia="Calibri" w:hAnsi="Times New Roman" w:cs="Times New Roman"/>
          <w:color w:val="000000" w:themeColor="text1"/>
          <w:szCs w:val="22"/>
        </w:rPr>
        <w:t>cts were included in the model.</w:t>
      </w:r>
    </w:p>
    <w:p w14:paraId="0E9961F3" w14:textId="01B920CA" w:rsidR="00A01630" w:rsidRDefault="00455E68" w:rsidP="00A01630">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Estimates of local abundance were calculated by multiplying the posterior distribution for the probability of a non-zero catch event</w:t>
      </w:r>
      <w:r w:rsidR="00622ED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the probability density of catch given a non-zero catch event</w:t>
      </w:r>
      <w:r w:rsidR="00622EDA">
        <w:rPr>
          <w:rFonts w:ascii="Times New Roman" w:eastAsia="Calibri" w:hAnsi="Times New Roman" w:cs="Times New Roman"/>
          <w:color w:val="000000" w:themeColor="text1"/>
          <w:szCs w:val="22"/>
        </w:rPr>
        <w:t>, and area for each stratum</w:t>
      </w:r>
      <w:r>
        <w:rPr>
          <w:rFonts w:ascii="Times New Roman" w:eastAsia="Calibri" w:hAnsi="Times New Roman" w:cs="Times New Roman"/>
          <w:color w:val="000000" w:themeColor="text1"/>
          <w:szCs w:val="22"/>
        </w:rPr>
        <w:t xml:space="preserve">. </w:t>
      </w:r>
      <w:r w:rsidR="00622EDA">
        <w:rPr>
          <w:rFonts w:ascii="Times New Roman" w:eastAsia="Calibri" w:hAnsi="Times New Roman" w:cs="Times New Roman"/>
          <w:color w:val="000000" w:themeColor="text1"/>
          <w:szCs w:val="22"/>
        </w:rPr>
        <w:t>Medians of the posterior distributions from the model that best fit the data were used for subsequent analyses</w:t>
      </w:r>
      <w:r>
        <w:rPr>
          <w:rFonts w:ascii="Times New Roman" w:eastAsia="Calibri" w:hAnsi="Times New Roman" w:cs="Times New Roman"/>
          <w:color w:val="000000" w:themeColor="text1"/>
          <w:szCs w:val="22"/>
        </w:rPr>
        <w:t xml:space="preserve">. </w:t>
      </w:r>
      <w:r w:rsidR="008F7F63">
        <w:rPr>
          <w:rFonts w:ascii="Times New Roman" w:eastAsia="Calibri" w:hAnsi="Times New Roman" w:cs="Times New Roman"/>
          <w:color w:val="000000" w:themeColor="text1"/>
          <w:szCs w:val="22"/>
        </w:rPr>
        <w:t xml:space="preserve">Each year of provided data (2003 to 2014) were used to inform trends in local abundance, but only abundances from 2009 to 2013 were included in subsequent analyses to match time series of additional data described below. </w:t>
      </w:r>
      <w:r w:rsidR="00622EDA">
        <w:rPr>
          <w:rFonts w:ascii="Times New Roman" w:eastAsia="Calibri" w:hAnsi="Times New Roman" w:cs="Times New Roman"/>
          <w:color w:val="000000" w:themeColor="text1"/>
          <w:szCs w:val="22"/>
        </w:rPr>
        <w:t xml:space="preserve">Each model was checked for convergence by visually inspecting </w:t>
      </w:r>
      <w:r w:rsidR="003D5992">
        <w:rPr>
          <w:rFonts w:ascii="Times New Roman" w:eastAsia="Calibri" w:hAnsi="Times New Roman" w:cs="Times New Roman"/>
          <w:color w:val="000000" w:themeColor="text1"/>
          <w:szCs w:val="22"/>
        </w:rPr>
        <w:t xml:space="preserve">each </w:t>
      </w:r>
      <w:r w:rsidR="00622EDA">
        <w:rPr>
          <w:rFonts w:ascii="Times New Roman" w:eastAsia="Calibri" w:hAnsi="Times New Roman" w:cs="Times New Roman"/>
          <w:color w:val="000000" w:themeColor="text1"/>
          <w:szCs w:val="22"/>
        </w:rPr>
        <w:t xml:space="preserve">sampling chain for appropriate levels of </w:t>
      </w:r>
      <w:r w:rsidR="003D5992">
        <w:rPr>
          <w:rFonts w:ascii="Times New Roman" w:eastAsia="Calibri" w:hAnsi="Times New Roman" w:cs="Times New Roman"/>
          <w:color w:val="000000" w:themeColor="text1"/>
          <w:szCs w:val="22"/>
        </w:rPr>
        <w:t>mixing and the overlap of posterior distributions with zero. Converged models were assessed for g</w:t>
      </w:r>
      <w:r w:rsidR="009F6115" w:rsidRPr="00DA5D50">
        <w:rPr>
          <w:rFonts w:ascii="Times New Roman" w:eastAsia="Calibri" w:hAnsi="Times New Roman" w:cs="Times New Roman"/>
          <w:color w:val="000000" w:themeColor="text1"/>
          <w:szCs w:val="22"/>
        </w:rPr>
        <w:t xml:space="preserve">oodness of fit </w:t>
      </w:r>
      <w:r w:rsidR="003D5992">
        <w:rPr>
          <w:rFonts w:ascii="Times New Roman" w:eastAsia="Calibri" w:hAnsi="Times New Roman" w:cs="Times New Roman"/>
          <w:color w:val="000000" w:themeColor="text1"/>
          <w:szCs w:val="22"/>
        </w:rPr>
        <w:t>using</w:t>
      </w:r>
      <w:r w:rsidR="009F6115" w:rsidRPr="00DA5D50">
        <w:rPr>
          <w:rFonts w:ascii="Times New Roman" w:eastAsia="Calibri" w:hAnsi="Times New Roman" w:cs="Times New Roman"/>
          <w:color w:val="000000" w:themeColor="text1"/>
          <w:szCs w:val="22"/>
        </w:rPr>
        <w:t xml:space="preserve"> Bayesian posterior predictive checks (Spiegelhalter </w:t>
      </w:r>
      <w:r w:rsidR="009F6115" w:rsidRPr="00DA5D50">
        <w:rPr>
          <w:rFonts w:ascii="Times New Roman" w:eastAsia="Calibri" w:hAnsi="Times New Roman" w:cs="Times New Roman"/>
          <w:i/>
          <w:color w:val="000000" w:themeColor="text1"/>
          <w:szCs w:val="22"/>
        </w:rPr>
        <w:t>et al</w:t>
      </w:r>
      <w:r w:rsidR="009F6115">
        <w:rPr>
          <w:rFonts w:ascii="Times New Roman" w:eastAsia="Calibri" w:hAnsi="Times New Roman" w:cs="Times New Roman"/>
          <w:color w:val="000000" w:themeColor="text1"/>
          <w:szCs w:val="22"/>
        </w:rPr>
        <w:t>., 2002)</w:t>
      </w:r>
      <w:commentRangeStart w:id="5"/>
      <w:r w:rsidR="009F6115">
        <w:rPr>
          <w:rFonts w:ascii="Times New Roman" w:eastAsia="Calibri" w:hAnsi="Times New Roman" w:cs="Times New Roman"/>
          <w:color w:val="000000" w:themeColor="text1"/>
          <w:szCs w:val="22"/>
        </w:rPr>
        <w:t xml:space="preserve"> and </w:t>
      </w:r>
      <w:r w:rsidR="008A0C6B">
        <w:rPr>
          <w:rFonts w:ascii="Times New Roman" w:eastAsia="Calibri" w:hAnsi="Times New Roman" w:cs="Times New Roman"/>
          <w:color w:val="000000" w:themeColor="text1"/>
          <w:szCs w:val="22"/>
        </w:rPr>
        <w:t>Bayesian Information Criteria (BIC) was used to select the model that best fit the data</w:t>
      </w:r>
      <w:commentRangeEnd w:id="5"/>
      <w:r w:rsidR="009F6115">
        <w:rPr>
          <w:rStyle w:val="CommentReference"/>
        </w:rPr>
        <w:commentReference w:id="5"/>
      </w:r>
      <w:r w:rsidR="008A0C6B">
        <w:rPr>
          <w:rFonts w:ascii="Times New Roman" w:eastAsia="Calibri" w:hAnsi="Times New Roman" w:cs="Times New Roman"/>
          <w:color w:val="000000" w:themeColor="text1"/>
          <w:szCs w:val="22"/>
        </w:rPr>
        <w:t xml:space="preserve"> (Schwarz, 1987)</w:t>
      </w:r>
      <w:r w:rsidR="009F6115">
        <w:rPr>
          <w:rFonts w:ascii="Times New Roman" w:eastAsia="Calibri" w:hAnsi="Times New Roman" w:cs="Times New Roman"/>
          <w:color w:val="000000" w:themeColor="text1"/>
          <w:szCs w:val="22"/>
        </w:rPr>
        <w:t xml:space="preserve">. </w:t>
      </w:r>
    </w:p>
    <w:p w14:paraId="2D4F6000" w14:textId="2E6B31AE" w:rsidR="00A01630" w:rsidRDefault="00A01630" w:rsidP="00A01630">
      <w:pPr>
        <w:spacing w:line="240" w:lineRule="auto"/>
        <w:ind w:firstLine="720"/>
        <w:jc w:val="both"/>
        <w:rPr>
          <w:rFonts w:ascii="Times New Roman" w:eastAsia="Calibri" w:hAnsi="Times New Roman" w:cs="Times New Roman"/>
          <w:color w:val="000000" w:themeColor="text1"/>
          <w:szCs w:val="22"/>
        </w:rPr>
      </w:pPr>
      <w:r w:rsidRPr="00A01630">
        <w:rPr>
          <w:rFonts w:ascii="Times New Roman" w:eastAsia="Calibri" w:hAnsi="Times New Roman" w:cs="Times New Roman"/>
          <w:i/>
          <w:color w:val="000000" w:themeColor="text1"/>
          <w:szCs w:val="22"/>
        </w:rPr>
        <w:t>Governance system</w:t>
      </w:r>
      <w:r>
        <w:rPr>
          <w:rFonts w:ascii="Times New Roman" w:eastAsia="Calibri" w:hAnsi="Times New Roman" w:cs="Times New Roman"/>
          <w:color w:val="000000" w:themeColor="text1"/>
          <w:szCs w:val="22"/>
        </w:rPr>
        <w:t>. The governance system includes both processes and institutions that define rules shaping resource user behaviour. Therefore, the governance system</w:t>
      </w:r>
      <w:r w:rsidRPr="008D1EAE">
        <w:rPr>
          <w:rFonts w:ascii="Times New Roman" w:eastAsia="Calibri" w:hAnsi="Times New Roman" w:cs="Times New Roman"/>
          <w:color w:val="000000" w:themeColor="text1"/>
          <w:szCs w:val="22"/>
        </w:rPr>
        <w:t xml:space="preserve"> can create situations in which fisher</w:t>
      </w:r>
      <w:r>
        <w:rPr>
          <w:rFonts w:ascii="Times New Roman" w:eastAsia="Calibri" w:hAnsi="Times New Roman" w:cs="Times New Roman"/>
          <w:color w:val="000000" w:themeColor="text1"/>
          <w:szCs w:val="22"/>
        </w:rPr>
        <w:t>s</w:t>
      </w:r>
      <w:r w:rsidRPr="008D1EAE">
        <w:rPr>
          <w:rFonts w:ascii="Times New Roman" w:eastAsia="Calibri" w:hAnsi="Times New Roman" w:cs="Times New Roman"/>
          <w:color w:val="000000" w:themeColor="text1"/>
          <w:szCs w:val="22"/>
        </w:rPr>
        <w:t xml:space="preserve"> choose to pursue one fishery</w:t>
      </w:r>
      <w:r>
        <w:rPr>
          <w:rFonts w:ascii="Times New Roman" w:eastAsia="Calibri" w:hAnsi="Times New Roman" w:cs="Times New Roman"/>
          <w:color w:val="000000" w:themeColor="text1"/>
          <w:szCs w:val="22"/>
        </w:rPr>
        <w:t>, or fishery sector,</w:t>
      </w:r>
      <w:r w:rsidRPr="008D1EAE">
        <w:rPr>
          <w:rFonts w:ascii="Times New Roman" w:eastAsia="Calibri" w:hAnsi="Times New Roman" w:cs="Times New Roman"/>
          <w:color w:val="000000" w:themeColor="text1"/>
          <w:szCs w:val="22"/>
        </w:rPr>
        <w:t xml:space="preserve"> over</w:t>
      </w:r>
      <w:r>
        <w:rPr>
          <w:rFonts w:ascii="Times New Roman" w:eastAsia="Calibri" w:hAnsi="Times New Roman" w:cs="Times New Roman"/>
          <w:color w:val="000000" w:themeColor="text1"/>
          <w:szCs w:val="22"/>
        </w:rPr>
        <w:t xml:space="preserve"> another.</w:t>
      </w:r>
      <w:r w:rsidR="00312152" w:rsidRPr="00312152">
        <w:rPr>
          <w:rFonts w:ascii="Times New Roman" w:eastAsia="Calibri" w:hAnsi="Times New Roman" w:cs="Times New Roman"/>
          <w:color w:val="000000" w:themeColor="text1"/>
          <w:szCs w:val="22"/>
        </w:rPr>
        <w:t xml:space="preserve"> </w:t>
      </w:r>
      <w:r w:rsidR="00312152">
        <w:rPr>
          <w:rFonts w:ascii="Times New Roman" w:eastAsia="Calibri" w:hAnsi="Times New Roman" w:cs="Times New Roman"/>
          <w:color w:val="000000" w:themeColor="text1"/>
          <w:szCs w:val="22"/>
        </w:rPr>
        <w:t>Restricted access measures to quota and permits were of particular interest because of their role in shifting effort and allowing fishers to change or modify their gear.</w:t>
      </w:r>
    </w:p>
    <w:p w14:paraId="15A1BB30" w14:textId="4890E868" w:rsidR="00D5495B" w:rsidRDefault="008E7526" w:rsidP="00D5495B">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In May of 2001 the PFMC initiated the West Coast Groundfish Observer Program with the goal of improving estimates of bycatch and discard. Since then observers have been mandated to cover 10-100% of all fishing trips taken by US West Coast LE trawl permit holders. </w:t>
      </w:r>
      <w:r w:rsidR="00562373">
        <w:rPr>
          <w:rFonts w:ascii="Times New Roman" w:eastAsia="Calibri" w:hAnsi="Times New Roman" w:cs="Times New Roman"/>
          <w:color w:val="000000" w:themeColor="text1"/>
          <w:szCs w:val="22"/>
        </w:rPr>
        <w:t>Observer data</w:t>
      </w:r>
      <w:r w:rsidR="006E5C5D">
        <w:rPr>
          <w:rFonts w:ascii="Times New Roman" w:eastAsia="Calibri" w:hAnsi="Times New Roman" w:cs="Times New Roman"/>
          <w:color w:val="000000" w:themeColor="text1"/>
          <w:szCs w:val="22"/>
        </w:rPr>
        <w:t xml:space="preserve"> </w:t>
      </w:r>
      <w:r w:rsidR="00562373">
        <w:rPr>
          <w:rFonts w:ascii="Times New Roman" w:eastAsia="Calibri" w:hAnsi="Times New Roman" w:cs="Times New Roman"/>
          <w:color w:val="000000" w:themeColor="text1"/>
          <w:szCs w:val="22"/>
        </w:rPr>
        <w:t>helps inform</w:t>
      </w:r>
      <w:r w:rsidR="006E5C5D">
        <w:rPr>
          <w:rFonts w:ascii="Times New Roman" w:eastAsia="Calibri" w:hAnsi="Times New Roman" w:cs="Times New Roman"/>
          <w:color w:val="000000" w:themeColor="text1"/>
          <w:szCs w:val="22"/>
        </w:rPr>
        <w:t xml:space="preserve"> time and area closures, </w:t>
      </w:r>
      <w:r w:rsidR="005E599A">
        <w:rPr>
          <w:rFonts w:ascii="Times New Roman" w:eastAsia="Calibri" w:hAnsi="Times New Roman" w:cs="Times New Roman"/>
          <w:color w:val="000000" w:themeColor="text1"/>
          <w:szCs w:val="22"/>
        </w:rPr>
        <w:t>trip and cumulative landing limits, and</w:t>
      </w:r>
      <w:r w:rsidR="006E5C5D">
        <w:rPr>
          <w:rFonts w:ascii="Times New Roman" w:eastAsia="Calibri" w:hAnsi="Times New Roman" w:cs="Times New Roman"/>
          <w:color w:val="000000" w:themeColor="text1"/>
          <w:szCs w:val="22"/>
        </w:rPr>
        <w:t xml:space="preserve"> bycatch rates </w:t>
      </w:r>
      <w:r w:rsidR="00BA07BB">
        <w:rPr>
          <w:rFonts w:ascii="Times New Roman" w:eastAsia="Calibri" w:hAnsi="Times New Roman" w:cs="Times New Roman"/>
          <w:color w:val="000000" w:themeColor="text1"/>
          <w:szCs w:val="22"/>
        </w:rPr>
        <w:t>included in</w:t>
      </w:r>
      <w:r w:rsidR="006E5C5D">
        <w:rPr>
          <w:rFonts w:ascii="Times New Roman" w:eastAsia="Calibri" w:hAnsi="Times New Roman" w:cs="Times New Roman"/>
          <w:color w:val="000000" w:themeColor="text1"/>
          <w:szCs w:val="22"/>
        </w:rPr>
        <w:t xml:space="preserve"> stock assessments used to generate rebuilding plans for </w:t>
      </w:r>
      <w:r w:rsidR="005E599A">
        <w:rPr>
          <w:rFonts w:ascii="Times New Roman" w:eastAsia="Calibri" w:hAnsi="Times New Roman" w:cs="Times New Roman"/>
          <w:color w:val="000000" w:themeColor="text1"/>
          <w:szCs w:val="22"/>
        </w:rPr>
        <w:t xml:space="preserve">overfished </w:t>
      </w:r>
      <w:r w:rsidR="006E5C5D">
        <w:rPr>
          <w:rFonts w:ascii="Times New Roman" w:eastAsia="Calibri" w:hAnsi="Times New Roman" w:cs="Times New Roman"/>
          <w:color w:val="000000" w:themeColor="text1"/>
          <w:szCs w:val="22"/>
        </w:rPr>
        <w:t xml:space="preserve">species. </w:t>
      </w:r>
      <w:r w:rsidR="00562373">
        <w:rPr>
          <w:rFonts w:ascii="Times New Roman" w:eastAsia="Calibri" w:hAnsi="Times New Roman" w:cs="Times New Roman"/>
          <w:color w:val="000000" w:themeColor="text1"/>
          <w:szCs w:val="22"/>
        </w:rPr>
        <w:t>We used delta-GLMMs to provide estimates of local bycatch species abundance (as detailed above for sablefish) and characterize</w:t>
      </w:r>
      <w:r w:rsidR="0011688F">
        <w:rPr>
          <w:rFonts w:ascii="Times New Roman" w:eastAsia="Calibri" w:hAnsi="Times New Roman" w:cs="Times New Roman"/>
          <w:color w:val="000000" w:themeColor="text1"/>
          <w:szCs w:val="22"/>
        </w:rPr>
        <w:t xml:space="preserve"> the </w:t>
      </w:r>
      <w:r w:rsidR="003D5992">
        <w:rPr>
          <w:rFonts w:ascii="Times New Roman" w:eastAsia="Calibri" w:hAnsi="Times New Roman" w:cs="Times New Roman"/>
          <w:color w:val="000000" w:themeColor="text1"/>
          <w:szCs w:val="22"/>
        </w:rPr>
        <w:t xml:space="preserve">potential for interactions between </w:t>
      </w:r>
      <w:r w:rsidR="005E599A">
        <w:rPr>
          <w:rFonts w:ascii="Times New Roman" w:eastAsia="Calibri" w:hAnsi="Times New Roman" w:cs="Times New Roman"/>
          <w:color w:val="000000" w:themeColor="text1"/>
          <w:szCs w:val="22"/>
        </w:rPr>
        <w:t xml:space="preserve">catches of </w:t>
      </w:r>
      <w:r w:rsidR="003D5992">
        <w:rPr>
          <w:rFonts w:ascii="Times New Roman" w:eastAsia="Calibri" w:hAnsi="Times New Roman" w:cs="Times New Roman"/>
          <w:color w:val="000000" w:themeColor="text1"/>
          <w:szCs w:val="22"/>
        </w:rPr>
        <w:t xml:space="preserve">the resource unit and </w:t>
      </w:r>
      <w:r w:rsidR="00562373">
        <w:rPr>
          <w:rFonts w:ascii="Times New Roman" w:eastAsia="Calibri" w:hAnsi="Times New Roman" w:cs="Times New Roman"/>
          <w:color w:val="000000" w:themeColor="text1"/>
          <w:szCs w:val="22"/>
        </w:rPr>
        <w:t xml:space="preserve">management to protect </w:t>
      </w:r>
      <w:r w:rsidR="003D5992">
        <w:rPr>
          <w:rFonts w:ascii="Times New Roman" w:eastAsia="Calibri" w:hAnsi="Times New Roman" w:cs="Times New Roman"/>
          <w:color w:val="000000" w:themeColor="text1"/>
          <w:szCs w:val="22"/>
        </w:rPr>
        <w:t xml:space="preserve">bycatch species. </w:t>
      </w:r>
      <w:r w:rsidR="005E599A">
        <w:rPr>
          <w:rFonts w:ascii="Times New Roman" w:eastAsia="Calibri" w:hAnsi="Times New Roman" w:cs="Times New Roman"/>
          <w:color w:val="000000" w:themeColor="text1"/>
          <w:szCs w:val="22"/>
        </w:rPr>
        <w:t xml:space="preserve">Indexes of abundance were not generated for cowcod rockfish, even though it is </w:t>
      </w:r>
      <w:r w:rsidR="005E599A" w:rsidRPr="00DA5D50">
        <w:rPr>
          <w:rFonts w:ascii="Times New Roman" w:eastAsia="Calibri" w:hAnsi="Times New Roman" w:cs="Times New Roman"/>
          <w:color w:val="000000" w:themeColor="text1"/>
          <w:szCs w:val="22"/>
        </w:rPr>
        <w:t>currently declared overfished,</w:t>
      </w:r>
      <w:r w:rsidR="005E599A">
        <w:rPr>
          <w:rFonts w:ascii="Times New Roman" w:eastAsia="Calibri" w:hAnsi="Times New Roman" w:cs="Times New Roman"/>
          <w:color w:val="000000" w:themeColor="text1"/>
          <w:szCs w:val="22"/>
        </w:rPr>
        <w:t xml:space="preserve"> because </w:t>
      </w:r>
      <w:r w:rsidR="005E599A" w:rsidRPr="00DA5D50">
        <w:rPr>
          <w:rFonts w:ascii="Times New Roman" w:eastAsia="Calibri" w:hAnsi="Times New Roman" w:cs="Times New Roman"/>
          <w:color w:val="000000" w:themeColor="text1"/>
          <w:szCs w:val="22"/>
        </w:rPr>
        <w:t xml:space="preserve">spatial management </w:t>
      </w:r>
      <w:r w:rsidR="005E599A">
        <w:rPr>
          <w:rFonts w:ascii="Times New Roman" w:eastAsia="Calibri" w:hAnsi="Times New Roman" w:cs="Times New Roman"/>
          <w:color w:val="000000" w:themeColor="text1"/>
          <w:szCs w:val="22"/>
        </w:rPr>
        <w:t xml:space="preserve">policies </w:t>
      </w:r>
      <w:r w:rsidR="005E599A" w:rsidRPr="00DA5D50">
        <w:rPr>
          <w:rFonts w:ascii="Times New Roman" w:eastAsia="Calibri" w:hAnsi="Times New Roman" w:cs="Times New Roman"/>
          <w:color w:val="000000" w:themeColor="text1"/>
          <w:szCs w:val="22"/>
        </w:rPr>
        <w:t xml:space="preserve">(Rockfish Conservation Areas) </w:t>
      </w:r>
      <w:r w:rsidR="005E599A">
        <w:rPr>
          <w:rFonts w:ascii="Times New Roman" w:eastAsia="Calibri" w:hAnsi="Times New Roman" w:cs="Times New Roman"/>
          <w:color w:val="000000" w:themeColor="text1"/>
          <w:szCs w:val="22"/>
        </w:rPr>
        <w:t>implemented in 200</w:t>
      </w:r>
      <w:r w:rsidR="00511BC4">
        <w:rPr>
          <w:rFonts w:ascii="Times New Roman" w:eastAsia="Calibri" w:hAnsi="Times New Roman" w:cs="Times New Roman"/>
          <w:color w:val="000000" w:themeColor="text1"/>
          <w:szCs w:val="22"/>
        </w:rPr>
        <w:t>2</w:t>
      </w:r>
      <w:r w:rsidR="005E599A">
        <w:rPr>
          <w:rFonts w:ascii="Times New Roman" w:eastAsia="Calibri" w:hAnsi="Times New Roman" w:cs="Times New Roman"/>
          <w:color w:val="000000" w:themeColor="text1"/>
          <w:szCs w:val="22"/>
        </w:rPr>
        <w:t xml:space="preserve"> </w:t>
      </w:r>
      <w:r w:rsidR="005E599A" w:rsidRPr="00DA5D50">
        <w:rPr>
          <w:rFonts w:ascii="Times New Roman" w:eastAsia="Calibri" w:hAnsi="Times New Roman" w:cs="Times New Roman"/>
          <w:color w:val="000000" w:themeColor="text1"/>
          <w:szCs w:val="22"/>
        </w:rPr>
        <w:t>ha</w:t>
      </w:r>
      <w:r w:rsidR="005E599A">
        <w:rPr>
          <w:rFonts w:ascii="Times New Roman" w:eastAsia="Calibri" w:hAnsi="Times New Roman" w:cs="Times New Roman"/>
          <w:color w:val="000000" w:themeColor="text1"/>
          <w:szCs w:val="22"/>
        </w:rPr>
        <w:t>ve</w:t>
      </w:r>
      <w:r w:rsidR="005E599A" w:rsidRPr="00DA5D50">
        <w:rPr>
          <w:rFonts w:ascii="Times New Roman" w:eastAsia="Calibri" w:hAnsi="Times New Roman" w:cs="Times New Roman"/>
          <w:color w:val="000000" w:themeColor="text1"/>
          <w:szCs w:val="22"/>
        </w:rPr>
        <w:t xml:space="preserve"> been successful in decreasing instances of </w:t>
      </w:r>
      <w:r w:rsidR="005E599A">
        <w:rPr>
          <w:rFonts w:ascii="Times New Roman" w:eastAsia="Calibri" w:hAnsi="Times New Roman" w:cs="Times New Roman"/>
          <w:color w:val="000000" w:themeColor="text1"/>
          <w:szCs w:val="22"/>
        </w:rPr>
        <w:t xml:space="preserve">their </w:t>
      </w:r>
      <w:r w:rsidR="005E599A" w:rsidRPr="00DA5D50">
        <w:rPr>
          <w:rFonts w:ascii="Times New Roman" w:eastAsia="Calibri" w:hAnsi="Times New Roman" w:cs="Times New Roman"/>
          <w:color w:val="000000" w:themeColor="text1"/>
          <w:szCs w:val="22"/>
        </w:rPr>
        <w:t xml:space="preserve">bycatch </w:t>
      </w:r>
      <w:r w:rsidR="00562373">
        <w:rPr>
          <w:rFonts w:ascii="Times New Roman" w:eastAsia="Calibri" w:hAnsi="Times New Roman" w:cs="Times New Roman"/>
          <w:color w:val="000000" w:themeColor="text1"/>
          <w:szCs w:val="22"/>
        </w:rPr>
        <w:t>with</w:t>
      </w:r>
      <w:r w:rsidR="005E599A">
        <w:rPr>
          <w:rFonts w:ascii="Times New Roman" w:eastAsia="Calibri" w:hAnsi="Times New Roman" w:cs="Times New Roman"/>
          <w:color w:val="000000" w:themeColor="text1"/>
          <w:szCs w:val="22"/>
        </w:rPr>
        <w:t>in the LE trawl sector of the US West Coast groundfish fishery</w:t>
      </w:r>
      <w:r w:rsidR="00AC1749" w:rsidRPr="00DA5D50">
        <w:rPr>
          <w:rFonts w:ascii="Times New Roman" w:eastAsia="Calibri" w:hAnsi="Times New Roman" w:cs="Times New Roman"/>
          <w:color w:val="000000" w:themeColor="text1"/>
          <w:szCs w:val="22"/>
        </w:rPr>
        <w:t xml:space="preserve"> (NMFS, 2004). </w:t>
      </w:r>
      <w:r w:rsidR="00AC1749">
        <w:rPr>
          <w:rFonts w:ascii="Times New Roman" w:eastAsia="Calibri" w:hAnsi="Times New Roman" w:cs="Times New Roman"/>
          <w:color w:val="000000" w:themeColor="text1"/>
          <w:szCs w:val="22"/>
        </w:rPr>
        <w:t xml:space="preserve">Additionally, </w:t>
      </w:r>
      <w:r w:rsidR="005E599A">
        <w:rPr>
          <w:rFonts w:ascii="Times New Roman" w:eastAsia="Calibri" w:hAnsi="Times New Roman" w:cs="Times New Roman"/>
          <w:color w:val="000000" w:themeColor="text1"/>
          <w:szCs w:val="22"/>
        </w:rPr>
        <w:t xml:space="preserve">bycatch rates of cowcod while targeting sablefish are </w:t>
      </w:r>
      <w:r w:rsidR="005E599A" w:rsidRPr="00DA5D50">
        <w:rPr>
          <w:rFonts w:ascii="Times New Roman" w:eastAsia="Calibri" w:hAnsi="Times New Roman" w:cs="Times New Roman"/>
          <w:color w:val="000000" w:themeColor="text1"/>
          <w:szCs w:val="22"/>
        </w:rPr>
        <w:t>small (</w:t>
      </w:r>
      <w:r w:rsidR="00AC1749">
        <w:rPr>
          <w:rFonts w:ascii="Times New Roman" w:eastAsia="Calibri" w:hAnsi="Times New Roman" w:cs="Times New Roman"/>
          <w:color w:val="000000" w:themeColor="text1"/>
          <w:szCs w:val="22"/>
        </w:rPr>
        <w:t>typically</w:t>
      </w:r>
      <w:r w:rsidR="005E599A" w:rsidRPr="00DA5D50">
        <w:rPr>
          <w:rFonts w:ascii="Times New Roman" w:eastAsia="Calibri" w:hAnsi="Times New Roman" w:cs="Times New Roman"/>
          <w:color w:val="000000" w:themeColor="text1"/>
          <w:szCs w:val="22"/>
        </w:rPr>
        <w:t xml:space="preserve"> zero</w:t>
      </w:r>
      <w:r w:rsidR="00AC1749">
        <w:rPr>
          <w:rFonts w:ascii="Times New Roman" w:eastAsia="Calibri" w:hAnsi="Times New Roman" w:cs="Times New Roman"/>
          <w:color w:val="000000" w:themeColor="text1"/>
          <w:szCs w:val="22"/>
        </w:rPr>
        <w:t xml:space="preserve">; </w:t>
      </w:r>
      <w:r w:rsidR="00AC1749">
        <w:rPr>
          <w:rFonts w:ascii="Times New Roman" w:eastAsia="Calibri" w:hAnsi="Times New Roman" w:cs="Times New Roman"/>
          <w:color w:val="000000" w:themeColor="text1"/>
          <w:szCs w:val="22"/>
        </w:rPr>
        <w:fldChar w:fldCharType="begin"/>
      </w:r>
      <w:r w:rsidR="00AC1749">
        <w:rPr>
          <w:rFonts w:ascii="Times New Roman" w:eastAsia="Calibri" w:hAnsi="Times New Roman" w:cs="Times New Roman"/>
          <w:color w:val="000000" w:themeColor="text1"/>
          <w:szCs w:val="22"/>
        </w:rPr>
        <w:instrText xml:space="preserve"> REF _Ref431013306 \h </w:instrText>
      </w:r>
      <w:r w:rsidR="00AC1749">
        <w:rPr>
          <w:rFonts w:ascii="Times New Roman" w:eastAsia="Calibri" w:hAnsi="Times New Roman" w:cs="Times New Roman"/>
          <w:color w:val="000000" w:themeColor="text1"/>
          <w:szCs w:val="22"/>
        </w:rPr>
      </w:r>
      <w:r w:rsidR="00AC1749">
        <w:rPr>
          <w:rFonts w:ascii="Times New Roman" w:eastAsia="Calibri" w:hAnsi="Times New Roman" w:cs="Times New Roman"/>
          <w:color w:val="000000" w:themeColor="text1"/>
          <w:szCs w:val="22"/>
        </w:rPr>
        <w:fldChar w:fldCharType="separate"/>
      </w:r>
      <w:r w:rsidR="00B20EC7" w:rsidRPr="003E70ED">
        <w:rPr>
          <w:rFonts w:ascii="Times New Roman" w:eastAsia="Calibri" w:hAnsi="Times New Roman" w:cs="Times New Roman"/>
          <w:color w:val="000000" w:themeColor="text1"/>
          <w:szCs w:val="22"/>
        </w:rPr>
        <w:t xml:space="preserve">Table </w:t>
      </w:r>
      <w:r w:rsidR="00B20EC7">
        <w:rPr>
          <w:rFonts w:ascii="Times New Roman" w:eastAsia="Calibri" w:hAnsi="Times New Roman" w:cs="Times New Roman"/>
          <w:noProof/>
          <w:color w:val="000000" w:themeColor="text1"/>
          <w:szCs w:val="22"/>
        </w:rPr>
        <w:t>1</w:t>
      </w:r>
      <w:r w:rsidR="00AC1749">
        <w:rPr>
          <w:rFonts w:ascii="Times New Roman" w:eastAsia="Calibri" w:hAnsi="Times New Roman" w:cs="Times New Roman"/>
          <w:color w:val="000000" w:themeColor="text1"/>
          <w:szCs w:val="22"/>
        </w:rPr>
        <w:fldChar w:fldCharType="end"/>
      </w:r>
      <w:r w:rsidR="005E599A" w:rsidRPr="00DA5D50">
        <w:rPr>
          <w:rFonts w:ascii="Times New Roman" w:eastAsia="Calibri" w:hAnsi="Times New Roman" w:cs="Times New Roman"/>
          <w:color w:val="000000" w:themeColor="text1"/>
          <w:szCs w:val="22"/>
        </w:rPr>
        <w:t xml:space="preserve">) </w:t>
      </w:r>
      <w:r w:rsidR="005E599A">
        <w:rPr>
          <w:rFonts w:ascii="Times New Roman" w:eastAsia="Calibri" w:hAnsi="Times New Roman" w:cs="Times New Roman"/>
          <w:color w:val="000000" w:themeColor="text1"/>
          <w:szCs w:val="22"/>
        </w:rPr>
        <w:t xml:space="preserve">and thus not hypothesized to be a large driver of </w:t>
      </w:r>
      <w:r w:rsidR="00AC1749">
        <w:rPr>
          <w:rFonts w:ascii="Times New Roman" w:eastAsia="Calibri" w:hAnsi="Times New Roman" w:cs="Times New Roman"/>
          <w:color w:val="000000" w:themeColor="text1"/>
          <w:szCs w:val="22"/>
        </w:rPr>
        <w:t>fisher behaviour.</w:t>
      </w:r>
      <w:r w:rsidR="005E599A" w:rsidRPr="00DA5D50">
        <w:rPr>
          <w:rFonts w:ascii="Times New Roman" w:eastAsia="Calibri" w:hAnsi="Times New Roman" w:cs="Times New Roman"/>
          <w:color w:val="000000" w:themeColor="text1"/>
          <w:szCs w:val="22"/>
        </w:rPr>
        <w:t xml:space="preserve"> </w:t>
      </w:r>
    </w:p>
    <w:p w14:paraId="6D2256E0" w14:textId="420D7A2D" w:rsidR="00D5495B" w:rsidRDefault="008F7F63" w:rsidP="00D5495B">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Bycatch rates of yelloweye rockfish are higher for longline gear than pot or trawl gear</w:t>
      </w:r>
      <w:r w:rsidR="00B0463B">
        <w:rPr>
          <w:rFonts w:ascii="Times New Roman" w:eastAsia="Calibri" w:hAnsi="Times New Roman" w:cs="Times New Roman"/>
          <w:color w:val="000000" w:themeColor="text1"/>
          <w:szCs w:val="22"/>
        </w:rPr>
        <w:t xml:space="preserve"> (</w:t>
      </w:r>
      <w:r w:rsidR="00B0463B">
        <w:rPr>
          <w:rFonts w:ascii="Times New Roman" w:eastAsia="Calibri" w:hAnsi="Times New Roman" w:cs="Times New Roman"/>
          <w:color w:val="000000" w:themeColor="text1"/>
          <w:szCs w:val="22"/>
        </w:rPr>
        <w:fldChar w:fldCharType="begin"/>
      </w:r>
      <w:r w:rsidR="00B0463B">
        <w:rPr>
          <w:rFonts w:ascii="Times New Roman" w:eastAsia="Calibri" w:hAnsi="Times New Roman" w:cs="Times New Roman"/>
          <w:color w:val="000000" w:themeColor="text1"/>
          <w:szCs w:val="22"/>
        </w:rPr>
        <w:instrText xml:space="preserve"> REF _Ref431013306 \h </w:instrText>
      </w:r>
      <w:r w:rsidR="00B0463B">
        <w:rPr>
          <w:rFonts w:ascii="Times New Roman" w:eastAsia="Calibri" w:hAnsi="Times New Roman" w:cs="Times New Roman"/>
          <w:color w:val="000000" w:themeColor="text1"/>
          <w:szCs w:val="22"/>
        </w:rPr>
      </w:r>
      <w:r w:rsidR="00B0463B">
        <w:rPr>
          <w:rFonts w:ascii="Times New Roman" w:eastAsia="Calibri" w:hAnsi="Times New Roman" w:cs="Times New Roman"/>
          <w:color w:val="000000" w:themeColor="text1"/>
          <w:szCs w:val="22"/>
        </w:rPr>
        <w:fldChar w:fldCharType="separate"/>
      </w:r>
      <w:r w:rsidR="00B20EC7" w:rsidRPr="003E70ED">
        <w:rPr>
          <w:rFonts w:ascii="Times New Roman" w:eastAsia="Calibri" w:hAnsi="Times New Roman" w:cs="Times New Roman"/>
          <w:color w:val="000000" w:themeColor="text1"/>
          <w:szCs w:val="22"/>
        </w:rPr>
        <w:t xml:space="preserve">Table </w:t>
      </w:r>
      <w:r w:rsidR="00B20EC7">
        <w:rPr>
          <w:rFonts w:ascii="Times New Roman" w:eastAsia="Calibri" w:hAnsi="Times New Roman" w:cs="Times New Roman"/>
          <w:noProof/>
          <w:color w:val="000000" w:themeColor="text1"/>
          <w:szCs w:val="22"/>
        </w:rPr>
        <w:t>1</w:t>
      </w:r>
      <w:r w:rsidR="00B0463B">
        <w:rPr>
          <w:rFonts w:ascii="Times New Roman" w:eastAsia="Calibri" w:hAnsi="Times New Roman" w:cs="Times New Roman"/>
          <w:color w:val="000000" w:themeColor="text1"/>
          <w:szCs w:val="22"/>
        </w:rPr>
        <w:fldChar w:fldCharType="end"/>
      </w:r>
      <w:r w:rsidR="00B0463B">
        <w:rPr>
          <w:rFonts w:ascii="Times New Roman" w:eastAsia="Calibri" w:hAnsi="Times New Roman" w:cs="Times New Roman"/>
          <w:color w:val="000000" w:themeColor="text1"/>
          <w:szCs w:val="22"/>
        </w:rPr>
        <w:t>), when targeting sablefish,</w:t>
      </w:r>
      <w:r>
        <w:rPr>
          <w:rFonts w:ascii="Times New Roman" w:eastAsia="Calibri" w:hAnsi="Times New Roman" w:cs="Times New Roman"/>
          <w:color w:val="000000" w:themeColor="text1"/>
          <w:szCs w:val="22"/>
        </w:rPr>
        <w:t xml:space="preserve"> and therefore lo</w:t>
      </w:r>
      <w:r w:rsidR="00222F92">
        <w:rPr>
          <w:rFonts w:ascii="Times New Roman" w:eastAsia="Calibri" w:hAnsi="Times New Roman" w:cs="Times New Roman"/>
          <w:color w:val="000000" w:themeColor="text1"/>
          <w:szCs w:val="22"/>
        </w:rPr>
        <w:t>cal abundances of yelloweye rockfish are hypothesized to be a driver of gear choice. Unfortunately, data provided by the NWFSC Shelf-Slope trawl survey are not informative about yelloweye rockfish abundance off the coasts of Oregon and California (i.e., only one positive tow south of Cape Mendocino in 2010). Visual surveys</w:t>
      </w:r>
      <w:r>
        <w:rPr>
          <w:rFonts w:ascii="Times New Roman" w:eastAsia="Calibri" w:hAnsi="Times New Roman" w:cs="Times New Roman"/>
          <w:color w:val="000000" w:themeColor="text1"/>
          <w:szCs w:val="22"/>
        </w:rPr>
        <w:t xml:space="preserve"> indicate that yelloweye rockfish are present in these areas, at least in some locations off the coast of California</w:t>
      </w:r>
      <w:r w:rsidR="00B0463B">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(Taylor and Wetzel, 2011). Consequently, we could not </w:t>
      </w:r>
      <w:r w:rsidR="00B0463B">
        <w:rPr>
          <w:rFonts w:ascii="Times New Roman" w:eastAsia="Calibri" w:hAnsi="Times New Roman" w:cs="Times New Roman"/>
          <w:color w:val="000000" w:themeColor="text1"/>
          <w:szCs w:val="22"/>
        </w:rPr>
        <w:t>generate estimates of yelloweye rockfish abundance to determine</w:t>
      </w:r>
      <w:r>
        <w:rPr>
          <w:rFonts w:ascii="Times New Roman" w:eastAsia="Calibri" w:hAnsi="Times New Roman" w:cs="Times New Roman"/>
          <w:color w:val="000000" w:themeColor="text1"/>
          <w:szCs w:val="22"/>
        </w:rPr>
        <w:t xml:space="preserve"> the effect of local abundance </w:t>
      </w:r>
      <w:r w:rsidR="00615D35">
        <w:rPr>
          <w:rFonts w:ascii="Times New Roman" w:eastAsia="Calibri" w:hAnsi="Times New Roman" w:cs="Times New Roman"/>
          <w:color w:val="000000" w:themeColor="text1"/>
          <w:szCs w:val="22"/>
        </w:rPr>
        <w:t>on</w:t>
      </w:r>
      <w:r>
        <w:rPr>
          <w:rFonts w:ascii="Times New Roman" w:eastAsia="Calibri" w:hAnsi="Times New Roman" w:cs="Times New Roman"/>
          <w:color w:val="000000" w:themeColor="text1"/>
          <w:szCs w:val="22"/>
        </w:rPr>
        <w:t xml:space="preserve"> fisher</w:t>
      </w:r>
      <w:r w:rsidR="00615D35">
        <w:rPr>
          <w:rFonts w:ascii="Times New Roman" w:eastAsia="Calibri" w:hAnsi="Times New Roman" w:cs="Times New Roman"/>
          <w:color w:val="000000" w:themeColor="text1"/>
          <w:szCs w:val="22"/>
        </w:rPr>
        <w:t xml:space="preserve"> behaviour</w:t>
      </w:r>
      <w:r>
        <w:rPr>
          <w:rFonts w:ascii="Times New Roman" w:eastAsia="Calibri" w:hAnsi="Times New Roman" w:cs="Times New Roman"/>
          <w:color w:val="000000" w:themeColor="text1"/>
          <w:szCs w:val="22"/>
        </w:rPr>
        <w:t>.</w:t>
      </w:r>
      <w:r w:rsidR="00615D35">
        <w:rPr>
          <w:rFonts w:ascii="Times New Roman" w:eastAsia="Calibri" w:hAnsi="Times New Roman" w:cs="Times New Roman"/>
          <w:color w:val="000000" w:themeColor="text1"/>
          <w:szCs w:val="22"/>
        </w:rPr>
        <w:t xml:space="preserve"> Estimates of local abundance were included for bocaccio rockfish, darkblotched rockfish, and Pacific ocean perch. Zero positive tows were observed for bocaccio rockfish and darkblotched rockfish in the deepest depth strata (550 to 1280 m) and therefore investigated models for these species included just two depth strata, but were otherwise the same as those investigated for sablefish and Pacific ocean perch.</w:t>
      </w:r>
    </w:p>
    <w:p w14:paraId="1E2E56E0" w14:textId="64EFCB95" w:rsidR="00334852" w:rsidRDefault="00334852" w:rsidP="00D5495B">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PFMC implements many formal rules-in-use pertaining to the LE trawl sector. Annual catch limits, </w:t>
      </w:r>
      <w:r w:rsidR="0072750B">
        <w:rPr>
          <w:rFonts w:ascii="Times New Roman" w:eastAsia="Calibri" w:hAnsi="Times New Roman" w:cs="Times New Roman"/>
          <w:color w:val="000000" w:themeColor="text1"/>
          <w:szCs w:val="22"/>
        </w:rPr>
        <w:t>“</w:t>
      </w:r>
      <w:r w:rsidR="000B629F">
        <w:rPr>
          <w:rFonts w:ascii="Times New Roman" w:eastAsia="Calibri" w:hAnsi="Times New Roman" w:cs="Times New Roman"/>
          <w:color w:val="000000" w:themeColor="text1"/>
          <w:szCs w:val="22"/>
        </w:rPr>
        <w:t>op</w:t>
      </w:r>
      <w:r w:rsidR="0072750B">
        <w:rPr>
          <w:rFonts w:ascii="Times New Roman" w:eastAsia="Calibri" w:hAnsi="Times New Roman" w:cs="Times New Roman"/>
          <w:color w:val="000000" w:themeColor="text1"/>
          <w:szCs w:val="22"/>
        </w:rPr>
        <w:t>timum yield”</w:t>
      </w:r>
      <w:r>
        <w:rPr>
          <w:rFonts w:ascii="Times New Roman" w:eastAsia="Calibri" w:hAnsi="Times New Roman" w:cs="Times New Roman"/>
          <w:color w:val="000000" w:themeColor="text1"/>
          <w:szCs w:val="22"/>
        </w:rPr>
        <w:t xml:space="preserve"> </w:t>
      </w:r>
      <w:r w:rsidR="000B629F">
        <w:rPr>
          <w:rFonts w:ascii="Times New Roman" w:eastAsia="Calibri" w:hAnsi="Times New Roman" w:cs="Times New Roman"/>
          <w:color w:val="000000" w:themeColor="text1"/>
          <w:szCs w:val="22"/>
        </w:rPr>
        <w:t>prior to</w:t>
      </w:r>
      <w:r>
        <w:rPr>
          <w:rFonts w:ascii="Times New Roman" w:eastAsia="Calibri" w:hAnsi="Times New Roman" w:cs="Times New Roman"/>
          <w:color w:val="000000" w:themeColor="text1"/>
          <w:szCs w:val="22"/>
        </w:rPr>
        <w:t xml:space="preserve"> the ITQ program, </w:t>
      </w:r>
      <w:r w:rsidR="0072750B">
        <w:rPr>
          <w:rFonts w:ascii="Times New Roman" w:eastAsia="Calibri" w:hAnsi="Times New Roman" w:cs="Times New Roman"/>
          <w:color w:val="000000" w:themeColor="text1"/>
          <w:szCs w:val="22"/>
        </w:rPr>
        <w:t>define</w:t>
      </w:r>
      <w:r w:rsidR="00DF303F">
        <w:rPr>
          <w:rFonts w:ascii="Times New Roman" w:eastAsia="Calibri" w:hAnsi="Times New Roman" w:cs="Times New Roman"/>
          <w:color w:val="000000" w:themeColor="text1"/>
          <w:szCs w:val="22"/>
        </w:rPr>
        <w:t xml:space="preserve"> sector-specific harvest limits, where limits account for scientific uncertainty, conservation objectives, and socio-economic concerns. Consequently, fishers </w:t>
      </w:r>
      <w:r w:rsidR="0072750B">
        <w:rPr>
          <w:rFonts w:ascii="Times New Roman" w:eastAsia="Calibri" w:hAnsi="Times New Roman" w:cs="Times New Roman"/>
          <w:color w:val="000000" w:themeColor="text1"/>
          <w:szCs w:val="22"/>
        </w:rPr>
        <w:t>are</w:t>
      </w:r>
      <w:r w:rsidR="00DF303F">
        <w:rPr>
          <w:rFonts w:ascii="Times New Roman" w:eastAsia="Calibri" w:hAnsi="Times New Roman" w:cs="Times New Roman"/>
          <w:color w:val="000000" w:themeColor="text1"/>
          <w:szCs w:val="22"/>
        </w:rPr>
        <w:t xml:space="preserve"> limited in the amount of the resource unit they can catch on a yearly basis. </w:t>
      </w:r>
      <w:r w:rsidR="0072750B">
        <w:rPr>
          <w:rFonts w:ascii="Times New Roman" w:eastAsia="Calibri" w:hAnsi="Times New Roman" w:cs="Times New Roman"/>
          <w:color w:val="000000" w:themeColor="text1"/>
          <w:szCs w:val="22"/>
        </w:rPr>
        <w:t>A</w:t>
      </w:r>
      <w:r w:rsidR="00DF303F">
        <w:rPr>
          <w:rFonts w:ascii="Times New Roman" w:eastAsia="Calibri" w:hAnsi="Times New Roman" w:cs="Times New Roman"/>
          <w:color w:val="000000" w:themeColor="text1"/>
          <w:szCs w:val="22"/>
        </w:rPr>
        <w:t xml:space="preserve">nnual catch limits for sablefish have </w:t>
      </w:r>
      <w:r w:rsidR="0072750B">
        <w:rPr>
          <w:rFonts w:ascii="Times New Roman" w:eastAsia="Calibri" w:hAnsi="Times New Roman" w:cs="Times New Roman"/>
          <w:color w:val="000000" w:themeColor="text1"/>
          <w:szCs w:val="22"/>
        </w:rPr>
        <w:t xml:space="preserve">generally </w:t>
      </w:r>
      <w:r w:rsidR="00DF303F">
        <w:rPr>
          <w:rFonts w:ascii="Times New Roman" w:eastAsia="Calibri" w:hAnsi="Times New Roman" w:cs="Times New Roman"/>
          <w:color w:val="000000" w:themeColor="text1"/>
          <w:szCs w:val="22"/>
        </w:rPr>
        <w:t xml:space="preserve">decreased since 2009 </w:t>
      </w:r>
      <w:r w:rsidR="0072750B">
        <w:rPr>
          <w:rFonts w:ascii="Times New Roman" w:eastAsia="Calibri" w:hAnsi="Times New Roman" w:cs="Times New Roman"/>
          <w:color w:val="000000" w:themeColor="text1"/>
          <w:szCs w:val="22"/>
        </w:rPr>
        <w:t>(</w:t>
      </w:r>
      <w:r w:rsidR="0072750B">
        <w:rPr>
          <w:rFonts w:ascii="Times New Roman" w:eastAsia="Calibri" w:hAnsi="Times New Roman" w:cs="Times New Roman"/>
          <w:color w:val="000000" w:themeColor="text1"/>
          <w:szCs w:val="22"/>
        </w:rPr>
        <w:fldChar w:fldCharType="begin"/>
      </w:r>
      <w:r w:rsidR="0072750B">
        <w:rPr>
          <w:rFonts w:ascii="Times New Roman" w:eastAsia="Calibri" w:hAnsi="Times New Roman" w:cs="Times New Roman"/>
          <w:color w:val="000000" w:themeColor="text1"/>
          <w:szCs w:val="22"/>
        </w:rPr>
        <w:instrText xml:space="preserve"> REF _Ref440542720 \h </w:instrText>
      </w:r>
      <w:r w:rsidR="0072750B">
        <w:rPr>
          <w:rFonts w:ascii="Times New Roman" w:eastAsia="Calibri" w:hAnsi="Times New Roman" w:cs="Times New Roman"/>
          <w:color w:val="000000" w:themeColor="text1"/>
          <w:szCs w:val="22"/>
        </w:rPr>
      </w:r>
      <w:r w:rsidR="0072750B">
        <w:rPr>
          <w:rFonts w:ascii="Times New Roman" w:eastAsia="Calibri" w:hAnsi="Times New Roman" w:cs="Times New Roman"/>
          <w:color w:val="000000" w:themeColor="text1"/>
          <w:szCs w:val="22"/>
        </w:rPr>
        <w:fldChar w:fldCharType="separate"/>
      </w:r>
      <w:r w:rsidR="00B20EC7" w:rsidRPr="00543854">
        <w:rPr>
          <w:rFonts w:ascii="Times New Roman" w:hAnsi="Times New Roman" w:cs="Times New Roman"/>
          <w:color w:val="000000" w:themeColor="text1"/>
          <w:szCs w:val="22"/>
        </w:rPr>
        <w:t xml:space="preserve">Figure </w:t>
      </w:r>
      <w:r w:rsidR="00B20EC7">
        <w:rPr>
          <w:rFonts w:ascii="Times New Roman" w:hAnsi="Times New Roman" w:cs="Times New Roman"/>
          <w:noProof/>
          <w:color w:val="000000" w:themeColor="text1"/>
          <w:szCs w:val="22"/>
        </w:rPr>
        <w:t>1</w:t>
      </w:r>
      <w:r w:rsidR="0072750B">
        <w:rPr>
          <w:rFonts w:ascii="Times New Roman" w:eastAsia="Calibri" w:hAnsi="Times New Roman" w:cs="Times New Roman"/>
          <w:color w:val="000000" w:themeColor="text1"/>
          <w:szCs w:val="22"/>
        </w:rPr>
        <w:fldChar w:fldCharType="end"/>
      </w:r>
      <w:r w:rsidR="0072750B">
        <w:rPr>
          <w:rFonts w:ascii="Times New Roman" w:eastAsia="Calibri" w:hAnsi="Times New Roman" w:cs="Times New Roman"/>
          <w:color w:val="000000" w:themeColor="text1"/>
          <w:szCs w:val="22"/>
        </w:rPr>
        <w:t xml:space="preserve">) </w:t>
      </w:r>
      <w:r w:rsidR="00DF303F">
        <w:rPr>
          <w:rFonts w:ascii="Times New Roman" w:eastAsia="Calibri" w:hAnsi="Times New Roman" w:cs="Times New Roman"/>
          <w:color w:val="000000" w:themeColor="text1"/>
          <w:szCs w:val="22"/>
        </w:rPr>
        <w:t xml:space="preserve">and therefore we included the annual catch limit of sablefish </w:t>
      </w:r>
      <w:r w:rsidR="00DF303F">
        <w:rPr>
          <w:rFonts w:ascii="Times New Roman" w:eastAsia="Calibri" w:hAnsi="Times New Roman" w:cs="Times New Roman"/>
          <w:color w:val="000000" w:themeColor="text1"/>
          <w:szCs w:val="22"/>
        </w:rPr>
        <w:lastRenderedPageBreak/>
        <w:t xml:space="preserve">assigned to the US West Coast LE trawl sector as an offset (i.e., divided the response variable, sablefish landings, by the annual catch limit assigned to that sector) to account for differences outside of the control of fishers. </w:t>
      </w:r>
      <w:r w:rsidR="001A7148">
        <w:rPr>
          <w:rFonts w:ascii="Times New Roman" w:eastAsia="Calibri" w:hAnsi="Times New Roman" w:cs="Times New Roman"/>
          <w:color w:val="000000" w:themeColor="text1"/>
          <w:szCs w:val="22"/>
        </w:rPr>
        <w:t xml:space="preserve">More specifically, </w:t>
      </w:r>
      <w:r w:rsidR="00C75F35">
        <w:rPr>
          <w:rFonts w:ascii="Times New Roman" w:eastAsia="Calibri" w:hAnsi="Times New Roman" w:cs="Times New Roman"/>
          <w:color w:val="000000" w:themeColor="text1"/>
          <w:szCs w:val="22"/>
        </w:rPr>
        <w:t xml:space="preserve">since 1997 the </w:t>
      </w:r>
      <w:r w:rsidR="001A7148">
        <w:rPr>
          <w:rFonts w:ascii="Times New Roman" w:eastAsia="Calibri" w:hAnsi="Times New Roman" w:cs="Times New Roman"/>
          <w:color w:val="000000" w:themeColor="text1"/>
          <w:szCs w:val="22"/>
        </w:rPr>
        <w:t>annual catch limits</w:t>
      </w:r>
      <w:r w:rsidR="00C75F35">
        <w:rPr>
          <w:rFonts w:ascii="Times New Roman" w:eastAsia="Calibri" w:hAnsi="Times New Roman" w:cs="Times New Roman"/>
          <w:color w:val="000000" w:themeColor="text1"/>
          <w:szCs w:val="22"/>
        </w:rPr>
        <w:t xml:space="preserve"> (defined as optimum yields prior to 2011)</w:t>
      </w:r>
      <w:r w:rsidR="001A7148">
        <w:rPr>
          <w:rFonts w:ascii="Times New Roman" w:eastAsia="Calibri" w:hAnsi="Times New Roman" w:cs="Times New Roman"/>
          <w:color w:val="000000" w:themeColor="text1"/>
          <w:szCs w:val="22"/>
        </w:rPr>
        <w:t xml:space="preserve"> </w:t>
      </w:r>
      <w:r w:rsidR="00126AA3">
        <w:rPr>
          <w:rFonts w:ascii="Times New Roman" w:eastAsia="Calibri" w:hAnsi="Times New Roman" w:cs="Times New Roman"/>
          <w:color w:val="000000" w:themeColor="text1"/>
          <w:szCs w:val="22"/>
        </w:rPr>
        <w:t>for sablefish</w:t>
      </w:r>
      <w:r w:rsidR="00C75F35">
        <w:rPr>
          <w:rFonts w:ascii="Times New Roman" w:eastAsia="Calibri" w:hAnsi="Times New Roman" w:cs="Times New Roman"/>
          <w:color w:val="000000" w:themeColor="text1"/>
          <w:szCs w:val="22"/>
        </w:rPr>
        <w:t xml:space="preserve"> have been </w:t>
      </w:r>
      <w:r w:rsidR="001A7148">
        <w:rPr>
          <w:rFonts w:ascii="Times New Roman" w:eastAsia="Calibri" w:hAnsi="Times New Roman" w:cs="Times New Roman"/>
          <w:color w:val="000000" w:themeColor="text1"/>
          <w:szCs w:val="22"/>
        </w:rPr>
        <w:t>spatially explicit</w:t>
      </w:r>
      <w:r w:rsidR="00126AA3">
        <w:rPr>
          <w:rFonts w:ascii="Times New Roman" w:eastAsia="Calibri" w:hAnsi="Times New Roman" w:cs="Times New Roman"/>
          <w:color w:val="000000" w:themeColor="text1"/>
          <w:szCs w:val="22"/>
        </w:rPr>
        <w:t>,</w:t>
      </w:r>
      <w:r w:rsidR="00C75F35">
        <w:rPr>
          <w:rFonts w:ascii="Times New Roman" w:eastAsia="Calibri" w:hAnsi="Times New Roman" w:cs="Times New Roman"/>
          <w:color w:val="000000" w:themeColor="text1"/>
          <w:szCs w:val="22"/>
        </w:rPr>
        <w:t xml:space="preserve"> </w:t>
      </w:r>
      <w:r w:rsidR="001A7148">
        <w:rPr>
          <w:rFonts w:ascii="Times New Roman" w:eastAsia="Calibri" w:hAnsi="Times New Roman" w:cs="Times New Roman"/>
          <w:color w:val="000000" w:themeColor="text1"/>
          <w:szCs w:val="22"/>
        </w:rPr>
        <w:t xml:space="preserve">in that differential proportions of the total annual catch limit are assigned to </w:t>
      </w:r>
      <w:r w:rsidR="00126AA3">
        <w:rPr>
          <w:rFonts w:ascii="Times New Roman" w:eastAsia="Calibri" w:hAnsi="Times New Roman" w:cs="Times New Roman"/>
          <w:color w:val="000000" w:themeColor="text1"/>
          <w:szCs w:val="22"/>
        </w:rPr>
        <w:t xml:space="preserve">the areas </w:t>
      </w:r>
      <w:r w:rsidR="001A7148">
        <w:rPr>
          <w:rFonts w:ascii="Times New Roman" w:eastAsia="Calibri" w:hAnsi="Times New Roman" w:cs="Times New Roman"/>
          <w:color w:val="000000" w:themeColor="text1"/>
          <w:szCs w:val="22"/>
        </w:rPr>
        <w:t>north and south of 36°</w:t>
      </w:r>
      <w:r w:rsidR="00126AA3">
        <w:rPr>
          <w:rFonts w:ascii="Times New Roman" w:eastAsia="Calibri" w:hAnsi="Times New Roman" w:cs="Times New Roman"/>
          <w:color w:val="000000" w:themeColor="text1"/>
          <w:szCs w:val="22"/>
        </w:rPr>
        <w:t xml:space="preserve">N latitude based on estimates of the available abundance in each region. </w:t>
      </w:r>
      <w:r w:rsidR="00C75F35">
        <w:rPr>
          <w:rFonts w:ascii="Times New Roman" w:eastAsia="Calibri" w:hAnsi="Times New Roman" w:cs="Times New Roman"/>
          <w:color w:val="000000" w:themeColor="text1"/>
          <w:szCs w:val="22"/>
        </w:rPr>
        <w:t xml:space="preserve">The relative abundance of sablefish south of 36°N latitude is estimated at approximately one quarter of that found north of 36°N latitude (Johnson </w:t>
      </w:r>
      <w:r w:rsidR="00C75F35">
        <w:rPr>
          <w:rFonts w:ascii="Times New Roman" w:eastAsia="Calibri" w:hAnsi="Times New Roman" w:cs="Times New Roman"/>
          <w:i/>
          <w:color w:val="000000" w:themeColor="text1"/>
          <w:szCs w:val="22"/>
        </w:rPr>
        <w:t>et al</w:t>
      </w:r>
      <w:r w:rsidR="00C75F35">
        <w:rPr>
          <w:rFonts w:ascii="Times New Roman" w:eastAsia="Calibri" w:hAnsi="Times New Roman" w:cs="Times New Roman"/>
          <w:color w:val="000000" w:themeColor="text1"/>
          <w:szCs w:val="22"/>
        </w:rPr>
        <w:t>., 2015). T</w:t>
      </w:r>
      <w:r w:rsidR="00E46593">
        <w:rPr>
          <w:rFonts w:ascii="Times New Roman" w:eastAsia="Calibri" w:hAnsi="Times New Roman" w:cs="Times New Roman"/>
          <w:color w:val="000000" w:themeColor="text1"/>
          <w:szCs w:val="22"/>
        </w:rPr>
        <w:t xml:space="preserve">he LE trawl sector is assigned 58% of the total annual catch limit assigned to the LE sector, which has typically been 90.6% of the annual catch limit assigned to north of 36° N latitude after accounting for set asides (i.e., research, incidental bycatch from non-groundfish fisheries, and tribal). </w:t>
      </w:r>
      <w:commentRangeStart w:id="6"/>
      <w:r w:rsidR="00126AA3">
        <w:rPr>
          <w:rFonts w:ascii="Times New Roman" w:eastAsia="Calibri" w:hAnsi="Times New Roman" w:cs="Times New Roman"/>
          <w:color w:val="000000" w:themeColor="text1"/>
          <w:szCs w:val="22"/>
        </w:rPr>
        <w:t>We choose to focus on fisher behaviour north of 36°N latitude becau</w:t>
      </w:r>
      <w:r w:rsidR="009320BD">
        <w:rPr>
          <w:rFonts w:ascii="Times New Roman" w:eastAsia="Calibri" w:hAnsi="Times New Roman" w:cs="Times New Roman"/>
          <w:color w:val="000000" w:themeColor="text1"/>
          <w:szCs w:val="22"/>
        </w:rPr>
        <w:t xml:space="preserve">se the majority of sablefish </w:t>
      </w:r>
      <w:r w:rsidR="00126AA3">
        <w:rPr>
          <w:rFonts w:ascii="Times New Roman" w:eastAsia="Calibri" w:hAnsi="Times New Roman" w:cs="Times New Roman"/>
          <w:color w:val="000000" w:themeColor="text1"/>
          <w:szCs w:val="22"/>
        </w:rPr>
        <w:t>are landed in this region and the data availability for the southern region was limited.</w:t>
      </w:r>
      <w:commentRangeEnd w:id="6"/>
      <w:r w:rsidR="0062532A">
        <w:rPr>
          <w:rStyle w:val="CommentReference"/>
        </w:rPr>
        <w:commentReference w:id="6"/>
      </w:r>
      <w:r w:rsidR="00E46593" w:rsidRPr="00E46593">
        <w:rPr>
          <w:rFonts w:ascii="Times New Roman" w:eastAsia="Calibri" w:hAnsi="Times New Roman" w:cs="Times New Roman"/>
          <w:color w:val="000000" w:themeColor="text1"/>
          <w:szCs w:val="22"/>
        </w:rPr>
        <w:t xml:space="preserve"> </w:t>
      </w:r>
    </w:p>
    <w:p w14:paraId="2B17540E" w14:textId="7A07B85E" w:rsidR="0072750B" w:rsidRDefault="0072750B" w:rsidP="00D5495B">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Additional rules-in-use pertain to vessel length, where harvesting capacity is assumed to increase geometrically with length</w:t>
      </w:r>
      <w:r w:rsidR="00AE5237">
        <w:rPr>
          <w:rFonts w:ascii="Times New Roman" w:eastAsia="Calibri" w:hAnsi="Times New Roman" w:cs="Times New Roman"/>
          <w:color w:val="000000" w:themeColor="text1"/>
          <w:szCs w:val="22"/>
        </w:rPr>
        <w:t xml:space="preserve"> and LE permits are endorsed for the vessel </w:t>
      </w:r>
      <w:r w:rsidR="009D193E">
        <w:rPr>
          <w:rFonts w:ascii="Times New Roman" w:eastAsia="Calibri" w:hAnsi="Times New Roman" w:cs="Times New Roman"/>
          <w:color w:val="000000" w:themeColor="text1"/>
          <w:szCs w:val="22"/>
        </w:rPr>
        <w:t>length</w:t>
      </w:r>
      <w:r>
        <w:rPr>
          <w:rFonts w:ascii="Times New Roman" w:eastAsia="Calibri" w:hAnsi="Times New Roman" w:cs="Times New Roman"/>
          <w:color w:val="000000" w:themeColor="text1"/>
          <w:szCs w:val="22"/>
        </w:rPr>
        <w:t>. Amendment 6 to the PFMC Groundfish Management Plan allowed for the combination of permits</w:t>
      </w:r>
      <w:r w:rsidR="00375A5E">
        <w:rPr>
          <w:rFonts w:ascii="Times New Roman" w:eastAsia="Calibri" w:hAnsi="Times New Roman" w:cs="Times New Roman"/>
          <w:color w:val="000000" w:themeColor="text1"/>
          <w:szCs w:val="22"/>
        </w:rPr>
        <w:t>, where a point system was used to calculate a new effective length based on total permit holdings</w:t>
      </w:r>
      <w:r w:rsidR="009D193E">
        <w:rPr>
          <w:rFonts w:ascii="Times New Roman" w:eastAsia="Calibri" w:hAnsi="Times New Roman" w:cs="Times New Roman"/>
          <w:color w:val="000000" w:themeColor="text1"/>
          <w:szCs w:val="22"/>
        </w:rPr>
        <w:t>, but</w:t>
      </w:r>
      <w:r w:rsidR="00AE5237">
        <w:rPr>
          <w:rFonts w:ascii="Times New Roman" w:eastAsia="Calibri" w:hAnsi="Times New Roman" w:cs="Times New Roman"/>
          <w:color w:val="000000" w:themeColor="text1"/>
          <w:szCs w:val="22"/>
        </w:rPr>
        <w:t xml:space="preserve"> permits cannot be combined if the effective length is greater than 5 </w:t>
      </w:r>
      <w:r w:rsidR="009D193E">
        <w:rPr>
          <w:rFonts w:ascii="Times New Roman" w:eastAsia="Calibri" w:hAnsi="Times New Roman" w:cs="Times New Roman"/>
          <w:color w:val="000000" w:themeColor="text1"/>
          <w:szCs w:val="22"/>
        </w:rPr>
        <w:t>ft</w:t>
      </w:r>
      <w:r w:rsidR="00AE5237">
        <w:rPr>
          <w:rFonts w:ascii="Times New Roman" w:eastAsia="Calibri" w:hAnsi="Times New Roman" w:cs="Times New Roman"/>
          <w:color w:val="000000" w:themeColor="text1"/>
          <w:szCs w:val="22"/>
        </w:rPr>
        <w:t xml:space="preserve"> of the true vessel length</w:t>
      </w:r>
      <w:r w:rsidR="00375A5E">
        <w:rPr>
          <w:rFonts w:ascii="Times New Roman" w:eastAsia="Calibri" w:hAnsi="Times New Roman" w:cs="Times New Roman"/>
          <w:color w:val="000000" w:themeColor="text1"/>
          <w:szCs w:val="22"/>
        </w:rPr>
        <w:t xml:space="preserve">. </w:t>
      </w:r>
      <w:r w:rsidR="009D193E">
        <w:rPr>
          <w:rFonts w:ascii="Times New Roman" w:eastAsia="Calibri" w:hAnsi="Times New Roman" w:cs="Times New Roman"/>
          <w:color w:val="000000" w:themeColor="text1"/>
          <w:szCs w:val="22"/>
        </w:rPr>
        <w:t>Therefore, v</w:t>
      </w:r>
      <w:r w:rsidR="00CA76F5">
        <w:rPr>
          <w:rFonts w:ascii="Times New Roman" w:eastAsia="Calibri" w:hAnsi="Times New Roman" w:cs="Times New Roman"/>
          <w:color w:val="000000" w:themeColor="text1"/>
          <w:szCs w:val="22"/>
        </w:rPr>
        <w:t>essel length was included in the model to characterize differences in capacity and how rules regarding capacity affect fisher behaviour.</w:t>
      </w:r>
    </w:p>
    <w:p w14:paraId="29FA2F4C" w14:textId="77777777" w:rsidR="00B20EC7" w:rsidRPr="00B20EC7" w:rsidRDefault="00C87A67" w:rsidP="00B20EC7">
      <w:pPr>
        <w:ind w:firstLine="720"/>
        <w:rPr>
          <w:rFonts w:ascii="Times New Roman" w:hAnsi="Times New Roman" w:cs="Times New Roman"/>
        </w:rPr>
      </w:pPr>
      <w:r>
        <w:rPr>
          <w:rFonts w:ascii="Times New Roman" w:eastAsia="Calibri" w:hAnsi="Times New Roman" w:cs="Times New Roman"/>
          <w:color w:val="000000" w:themeColor="text1"/>
          <w:szCs w:val="22"/>
        </w:rPr>
        <w:t xml:space="preserve">Many headlines reported increases in fixed-gear sablefish landings following the </w:t>
      </w:r>
      <w:r w:rsidR="009D6BB1">
        <w:rPr>
          <w:rFonts w:ascii="Times New Roman" w:eastAsia="Calibri" w:hAnsi="Times New Roman" w:cs="Times New Roman"/>
          <w:color w:val="000000" w:themeColor="text1"/>
          <w:szCs w:val="22"/>
        </w:rPr>
        <w:t xml:space="preserve">initiation of the ITQ program in 2011. </w:t>
      </w:r>
      <w:r>
        <w:rPr>
          <w:rFonts w:ascii="Times New Roman" w:eastAsia="Calibri" w:hAnsi="Times New Roman" w:cs="Times New Roman"/>
          <w:color w:val="000000" w:themeColor="text1"/>
          <w:szCs w:val="22"/>
        </w:rPr>
        <w:t>Prior to 2011 p</w:t>
      </w:r>
      <w:r w:rsidR="009D6BB1">
        <w:rPr>
          <w:rFonts w:ascii="Times New Roman" w:eastAsia="Calibri" w:hAnsi="Times New Roman" w:cs="Times New Roman"/>
          <w:color w:val="000000" w:themeColor="text1"/>
          <w:szCs w:val="22"/>
        </w:rPr>
        <w:t xml:space="preserve">ermit holders in the LE trawl sector were not allowed to target sablefish using </w:t>
      </w:r>
      <w:r>
        <w:rPr>
          <w:rFonts w:ascii="Times New Roman" w:eastAsia="Calibri" w:hAnsi="Times New Roman" w:cs="Times New Roman"/>
          <w:color w:val="000000" w:themeColor="text1"/>
          <w:szCs w:val="22"/>
        </w:rPr>
        <w:t>gear types</w:t>
      </w:r>
      <w:r w:rsidR="009D6BB1">
        <w:rPr>
          <w:rFonts w:ascii="Times New Roman" w:eastAsia="Calibri" w:hAnsi="Times New Roman" w:cs="Times New Roman"/>
          <w:color w:val="000000" w:themeColor="text1"/>
          <w:szCs w:val="22"/>
        </w:rPr>
        <w:t xml:space="preserve"> other than trawls and therefore any landings from fixed gear would represent an increase for this sector. In general, resul</w:t>
      </w:r>
      <w:r w:rsidR="00D47357">
        <w:rPr>
          <w:rFonts w:ascii="Times New Roman" w:eastAsia="Calibri" w:hAnsi="Times New Roman" w:cs="Times New Roman"/>
          <w:color w:val="000000" w:themeColor="text1"/>
          <w:szCs w:val="22"/>
        </w:rPr>
        <w:t>ts from hierarchical clustering</w:t>
      </w:r>
      <w:r w:rsidR="009D6BB1">
        <w:rPr>
          <w:rFonts w:ascii="Times New Roman" w:eastAsia="Calibri" w:hAnsi="Times New Roman" w:cs="Times New Roman"/>
          <w:color w:val="000000" w:themeColor="text1"/>
          <w:szCs w:val="22"/>
        </w:rPr>
        <w:t xml:space="preserve"> did not indicate a significant change in </w:t>
      </w:r>
      <w:r>
        <w:rPr>
          <w:rFonts w:ascii="Times New Roman" w:eastAsia="Calibri" w:hAnsi="Times New Roman" w:cs="Times New Roman"/>
          <w:color w:val="000000" w:themeColor="text1"/>
          <w:szCs w:val="22"/>
        </w:rPr>
        <w:t xml:space="preserve">sablefish </w:t>
      </w:r>
      <w:r w:rsidR="009D6BB1">
        <w:rPr>
          <w:rFonts w:ascii="Times New Roman" w:eastAsia="Calibri" w:hAnsi="Times New Roman" w:cs="Times New Roman"/>
          <w:color w:val="000000" w:themeColor="text1"/>
          <w:szCs w:val="22"/>
        </w:rPr>
        <w:t>landings by gear type</w:t>
      </w:r>
      <w:r>
        <w:rPr>
          <w:rFonts w:ascii="Times New Roman" w:eastAsia="Calibri" w:hAnsi="Times New Roman" w:cs="Times New Roman"/>
          <w:color w:val="000000" w:themeColor="text1"/>
          <w:szCs w:val="22"/>
        </w:rPr>
        <w:t xml:space="preserve"> across sectors</w:t>
      </w:r>
      <w:r w:rsidR="009D6BB1">
        <w:rPr>
          <w:rFonts w:ascii="Times New Roman" w:eastAsia="Calibri" w:hAnsi="Times New Roman" w:cs="Times New Roman"/>
          <w:color w:val="000000" w:themeColor="text1"/>
          <w:szCs w:val="22"/>
        </w:rPr>
        <w:t xml:space="preserve"> between 2009 and </w:t>
      </w:r>
      <w:r w:rsidR="009D6BB1" w:rsidRPr="00D47357">
        <w:rPr>
          <w:rFonts w:ascii="Times New Roman" w:eastAsia="Calibri" w:hAnsi="Times New Roman" w:cs="Times New Roman"/>
          <w:color w:val="000000" w:themeColor="text1"/>
          <w:szCs w:val="22"/>
        </w:rPr>
        <w:t>2013</w:t>
      </w:r>
      <w:r w:rsidR="00D47357" w:rsidRPr="00D47357">
        <w:rPr>
          <w:rFonts w:ascii="Times New Roman" w:eastAsia="Calibri" w:hAnsi="Times New Roman" w:cs="Times New Roman"/>
          <w:color w:val="000000" w:themeColor="text1"/>
          <w:szCs w:val="22"/>
        </w:rPr>
        <w:t xml:space="preserve"> (</w:t>
      </w:r>
      <w:r w:rsidR="00D47357" w:rsidRPr="00D47357">
        <w:rPr>
          <w:rFonts w:ascii="Times New Roman" w:eastAsia="Calibri" w:hAnsi="Times New Roman" w:cs="Times New Roman"/>
          <w:color w:val="000000" w:themeColor="text1"/>
          <w:szCs w:val="22"/>
        </w:rPr>
        <w:fldChar w:fldCharType="begin"/>
      </w:r>
      <w:r w:rsidR="00D47357" w:rsidRPr="00D47357">
        <w:rPr>
          <w:rFonts w:ascii="Times New Roman" w:eastAsia="Calibri" w:hAnsi="Times New Roman" w:cs="Times New Roman"/>
          <w:color w:val="000000" w:themeColor="text1"/>
          <w:szCs w:val="22"/>
        </w:rPr>
        <w:instrText xml:space="preserve"> REF _Ref440438445 \h </w:instrText>
      </w:r>
      <w:r w:rsidR="00D47357" w:rsidRPr="00D47357">
        <w:rPr>
          <w:rFonts w:ascii="Times New Roman" w:eastAsia="Calibri" w:hAnsi="Times New Roman" w:cs="Times New Roman"/>
          <w:color w:val="000000" w:themeColor="text1"/>
          <w:szCs w:val="22"/>
        </w:rPr>
      </w:r>
      <w:r w:rsidR="00D47357">
        <w:rPr>
          <w:rFonts w:ascii="Times New Roman" w:eastAsia="Calibri" w:hAnsi="Times New Roman" w:cs="Times New Roman"/>
          <w:color w:val="000000" w:themeColor="text1"/>
          <w:szCs w:val="22"/>
        </w:rPr>
        <w:instrText xml:space="preserve"> \* MERGEFORMAT </w:instrText>
      </w:r>
      <w:r w:rsidR="00D47357" w:rsidRPr="00D47357">
        <w:rPr>
          <w:rFonts w:ascii="Times New Roman" w:eastAsia="Calibri" w:hAnsi="Times New Roman" w:cs="Times New Roman"/>
          <w:color w:val="000000" w:themeColor="text1"/>
          <w:szCs w:val="22"/>
        </w:rPr>
        <w:fldChar w:fldCharType="separate"/>
      </w:r>
    </w:p>
    <w:p w14:paraId="3BD16AAC" w14:textId="617F45F0" w:rsidR="00312152" w:rsidRDefault="00B20EC7" w:rsidP="00D5495B">
      <w:pPr>
        <w:spacing w:line="240" w:lineRule="auto"/>
        <w:ind w:firstLine="720"/>
        <w:jc w:val="both"/>
        <w:rPr>
          <w:rFonts w:ascii="Times New Roman" w:eastAsia="Calibri" w:hAnsi="Times New Roman" w:cs="Times New Roman"/>
          <w:color w:val="000000" w:themeColor="text1"/>
          <w:szCs w:val="22"/>
        </w:rPr>
      </w:pPr>
      <w:r w:rsidRPr="00543854">
        <w:rPr>
          <w:rFonts w:cs="Times New Roman"/>
        </w:rPr>
        <w:t>Figure</w:t>
      </w:r>
      <w:r w:rsidRPr="00543854">
        <w:rPr>
          <w:rFonts w:cs="Times New Roman"/>
          <w:noProof/>
        </w:rPr>
        <w:t xml:space="preserve"> </w:t>
      </w:r>
      <w:r>
        <w:rPr>
          <w:rFonts w:cs="Times New Roman"/>
          <w:noProof/>
        </w:rPr>
        <w:t>4</w:t>
      </w:r>
      <w:r w:rsidR="00D47357" w:rsidRPr="00D47357">
        <w:rPr>
          <w:rFonts w:ascii="Times New Roman" w:eastAsia="Calibri" w:hAnsi="Times New Roman" w:cs="Times New Roman"/>
          <w:color w:val="000000" w:themeColor="text1"/>
          <w:szCs w:val="22"/>
        </w:rPr>
        <w:fldChar w:fldCharType="end"/>
      </w:r>
      <w:r w:rsidR="00D47357" w:rsidRPr="00D47357">
        <w:rPr>
          <w:rFonts w:ascii="Times New Roman" w:eastAsia="Calibri" w:hAnsi="Times New Roman" w:cs="Times New Roman"/>
          <w:color w:val="000000" w:themeColor="text1"/>
          <w:szCs w:val="22"/>
        </w:rPr>
        <w:t>)</w:t>
      </w:r>
      <w:r w:rsidR="009D6BB1" w:rsidRPr="00D47357">
        <w:rPr>
          <w:rFonts w:ascii="Times New Roman" w:eastAsia="Calibri" w:hAnsi="Times New Roman" w:cs="Times New Roman"/>
          <w:color w:val="000000" w:themeColor="text1"/>
          <w:szCs w:val="22"/>
        </w:rPr>
        <w:t xml:space="preserve">. </w:t>
      </w:r>
      <w:r w:rsidR="00C87A67" w:rsidRPr="00D47357">
        <w:rPr>
          <w:rFonts w:ascii="Times New Roman" w:eastAsia="Calibri" w:hAnsi="Times New Roman" w:cs="Times New Roman"/>
          <w:color w:val="000000" w:themeColor="text1"/>
          <w:szCs w:val="22"/>
        </w:rPr>
        <w:t>Consequently</w:t>
      </w:r>
      <w:r w:rsidR="00C87A67">
        <w:rPr>
          <w:rFonts w:ascii="Times New Roman" w:eastAsia="Calibri" w:hAnsi="Times New Roman" w:cs="Times New Roman"/>
          <w:color w:val="000000" w:themeColor="text1"/>
          <w:szCs w:val="22"/>
        </w:rPr>
        <w:t>, a binary variable was included to represent the implementation of an ITQ system within the LE trawl sector, but an interaction between year and ITQ implementation was not investigated (</w:t>
      </w:r>
      <w:r w:rsidR="00C87A67">
        <w:rPr>
          <w:rFonts w:ascii="Times New Roman" w:eastAsia="Calibri" w:hAnsi="Times New Roman" w:cs="Times New Roman"/>
          <w:color w:val="000000" w:themeColor="text1"/>
          <w:szCs w:val="22"/>
        </w:rPr>
        <w:fldChar w:fldCharType="begin"/>
      </w:r>
      <w:r w:rsidR="00C87A67">
        <w:rPr>
          <w:rFonts w:ascii="Times New Roman" w:eastAsia="Calibri" w:hAnsi="Times New Roman" w:cs="Times New Roman"/>
          <w:color w:val="000000" w:themeColor="text1"/>
          <w:szCs w:val="22"/>
        </w:rPr>
        <w:instrText xml:space="preserve"> REF _Ref439230428 \h </w:instrText>
      </w:r>
      <w:r w:rsidR="00C87A67">
        <w:rPr>
          <w:rFonts w:ascii="Times New Roman" w:eastAsia="Calibri" w:hAnsi="Times New Roman" w:cs="Times New Roman"/>
          <w:color w:val="000000" w:themeColor="text1"/>
          <w:szCs w:val="22"/>
        </w:rPr>
      </w:r>
      <w:r w:rsidR="00C87A67">
        <w:rPr>
          <w:rFonts w:ascii="Times New Roman" w:eastAsia="Calibri" w:hAnsi="Times New Roman" w:cs="Times New Roman"/>
          <w:color w:val="000000" w:themeColor="text1"/>
          <w:szCs w:val="22"/>
        </w:rPr>
        <w:fldChar w:fldCharType="separate"/>
      </w:r>
      <w:r w:rsidRPr="00A90939">
        <w:rPr>
          <w:rFonts w:ascii="Times New Roman" w:hAnsi="Times New Roman" w:cs="Times New Roman"/>
          <w:color w:val="000000" w:themeColor="text1"/>
          <w:szCs w:val="22"/>
        </w:rPr>
        <w:t xml:space="preserve">Table </w:t>
      </w:r>
      <w:r>
        <w:rPr>
          <w:rFonts w:ascii="Times New Roman" w:hAnsi="Times New Roman" w:cs="Times New Roman"/>
          <w:noProof/>
          <w:color w:val="000000" w:themeColor="text1"/>
          <w:szCs w:val="22"/>
        </w:rPr>
        <w:t>2</w:t>
      </w:r>
      <w:r w:rsidR="00C87A67">
        <w:rPr>
          <w:rFonts w:ascii="Times New Roman" w:eastAsia="Calibri" w:hAnsi="Times New Roman" w:cs="Times New Roman"/>
          <w:color w:val="000000" w:themeColor="text1"/>
          <w:szCs w:val="22"/>
        </w:rPr>
        <w:fldChar w:fldCharType="end"/>
      </w:r>
      <w:r w:rsidR="00C87A67">
        <w:rPr>
          <w:rFonts w:ascii="Times New Roman" w:eastAsia="Calibri" w:hAnsi="Times New Roman" w:cs="Times New Roman"/>
          <w:color w:val="000000" w:themeColor="text1"/>
          <w:szCs w:val="22"/>
        </w:rPr>
        <w:t>).</w:t>
      </w:r>
    </w:p>
    <w:p w14:paraId="53359D28" w14:textId="70E45C76" w:rsidR="00312152" w:rsidRDefault="001A51D8" w:rsidP="00D5495B">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Organizations other than federal and state governments were also hypothesized to play a role in fisher </w:t>
      </w:r>
      <w:r w:rsidR="00CA76F5">
        <w:rPr>
          <w:rFonts w:ascii="Times New Roman" w:eastAsia="Calibri" w:hAnsi="Times New Roman" w:cs="Times New Roman"/>
          <w:color w:val="000000" w:themeColor="text1"/>
          <w:szCs w:val="22"/>
        </w:rPr>
        <w:t xml:space="preserve">behaviour. </w:t>
      </w:r>
      <w:r w:rsidR="00A873A7">
        <w:rPr>
          <w:rFonts w:ascii="Times New Roman" w:eastAsia="Calibri" w:hAnsi="Times New Roman" w:cs="Times New Roman"/>
          <w:color w:val="000000" w:themeColor="text1"/>
          <w:szCs w:val="22"/>
        </w:rPr>
        <w:t>As quota for overfished species became more limiting (i.e., smaller trip limits and small quota shares) concern developed for the risk of exceeding limits with a single tow. Consequently</w:t>
      </w:r>
      <w:r w:rsidR="001A7148">
        <w:rPr>
          <w:rFonts w:ascii="Times New Roman" w:eastAsia="Calibri" w:hAnsi="Times New Roman" w:cs="Times New Roman"/>
          <w:color w:val="000000" w:themeColor="text1"/>
          <w:szCs w:val="22"/>
        </w:rPr>
        <w:t xml:space="preserve">, fishers </w:t>
      </w:r>
      <w:r w:rsidR="0062532A">
        <w:rPr>
          <w:rFonts w:ascii="Times New Roman" w:eastAsia="Calibri" w:hAnsi="Times New Roman" w:cs="Times New Roman"/>
          <w:color w:val="000000" w:themeColor="text1"/>
          <w:szCs w:val="22"/>
        </w:rPr>
        <w:t xml:space="preserve">investigated the use of and some formed </w:t>
      </w:r>
      <w:r w:rsidR="001A7148">
        <w:rPr>
          <w:rFonts w:ascii="Times New Roman" w:eastAsia="Calibri" w:hAnsi="Times New Roman" w:cs="Times New Roman"/>
          <w:color w:val="000000" w:themeColor="text1"/>
          <w:szCs w:val="22"/>
        </w:rPr>
        <w:t xml:space="preserve">risk pools, where bycatch quotas </w:t>
      </w:r>
      <w:r w:rsidR="0062532A">
        <w:rPr>
          <w:rFonts w:ascii="Times New Roman" w:eastAsia="Calibri" w:hAnsi="Times New Roman" w:cs="Times New Roman"/>
          <w:color w:val="000000" w:themeColor="text1"/>
          <w:szCs w:val="22"/>
        </w:rPr>
        <w:t>are pooled and made</w:t>
      </w:r>
      <w:r w:rsidR="001A7148">
        <w:rPr>
          <w:rFonts w:ascii="Times New Roman" w:eastAsia="Calibri" w:hAnsi="Times New Roman" w:cs="Times New Roman"/>
          <w:color w:val="000000" w:themeColor="text1"/>
          <w:szCs w:val="22"/>
        </w:rPr>
        <w:t xml:space="preserve"> available to members. Membership in a risk pool </w:t>
      </w:r>
      <w:r w:rsidR="0062532A">
        <w:rPr>
          <w:rFonts w:ascii="Times New Roman" w:eastAsia="Calibri" w:hAnsi="Times New Roman" w:cs="Times New Roman"/>
          <w:color w:val="000000" w:themeColor="text1"/>
          <w:szCs w:val="22"/>
        </w:rPr>
        <w:t>wa</w:t>
      </w:r>
      <w:r w:rsidR="001A7148">
        <w:rPr>
          <w:rFonts w:ascii="Times New Roman" w:eastAsia="Calibri" w:hAnsi="Times New Roman" w:cs="Times New Roman"/>
          <w:color w:val="000000" w:themeColor="text1"/>
          <w:szCs w:val="22"/>
        </w:rPr>
        <w:t xml:space="preserve">s hypothesized to be a driver of fishermen behaviour because risk pools may provide a substantial reduction </w:t>
      </w:r>
      <w:r w:rsidR="0062532A">
        <w:rPr>
          <w:rFonts w:ascii="Times New Roman" w:eastAsia="Calibri" w:hAnsi="Times New Roman" w:cs="Times New Roman"/>
          <w:color w:val="000000" w:themeColor="text1"/>
          <w:szCs w:val="22"/>
        </w:rPr>
        <w:t xml:space="preserve">the </w:t>
      </w:r>
      <w:r w:rsidR="001A7148">
        <w:rPr>
          <w:rFonts w:ascii="Times New Roman" w:eastAsia="Calibri" w:hAnsi="Times New Roman" w:cs="Times New Roman"/>
          <w:color w:val="000000" w:themeColor="text1"/>
          <w:szCs w:val="22"/>
        </w:rPr>
        <w:t>in risk of exceeding bycatch quota and thereby potentially extending the time a fisher can engage in fishing to fulfil quota for profitable target species. Unfortunately, information on risk pool membership, informal or formal, was not available and could not be included in the model.</w:t>
      </w:r>
    </w:p>
    <w:p w14:paraId="143D111C" w14:textId="554194E4" w:rsidR="0062532A" w:rsidRDefault="00AC174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i/>
          <w:color w:val="000000" w:themeColor="text1"/>
          <w:szCs w:val="22"/>
        </w:rPr>
        <w:t>Resource u</w:t>
      </w:r>
      <w:r w:rsidRPr="00A01630">
        <w:rPr>
          <w:rFonts w:ascii="Times New Roman" w:eastAsia="Calibri" w:hAnsi="Times New Roman" w:cs="Times New Roman"/>
          <w:i/>
          <w:color w:val="000000" w:themeColor="text1"/>
          <w:szCs w:val="22"/>
        </w:rPr>
        <w:t>ser</w:t>
      </w:r>
      <w:r>
        <w:rPr>
          <w:rFonts w:ascii="Times New Roman" w:eastAsia="Calibri" w:hAnsi="Times New Roman" w:cs="Times New Roman"/>
          <w:color w:val="000000" w:themeColor="text1"/>
          <w:szCs w:val="22"/>
        </w:rPr>
        <w:t xml:space="preserve">. </w:t>
      </w:r>
      <w:r w:rsidR="0062532A">
        <w:rPr>
          <w:rFonts w:ascii="Times New Roman" w:eastAsia="Calibri" w:hAnsi="Times New Roman" w:cs="Times New Roman"/>
          <w:color w:val="000000" w:themeColor="text1"/>
          <w:szCs w:val="22"/>
        </w:rPr>
        <w:t xml:space="preserve">Resource users include individuals that utilize the resource unit, which can extend beyond individual fishers. </w:t>
      </w:r>
      <w:r w:rsidR="00407A14">
        <w:rPr>
          <w:rFonts w:ascii="Times New Roman" w:eastAsia="Calibri" w:hAnsi="Times New Roman" w:cs="Times New Roman"/>
          <w:color w:val="000000" w:themeColor="text1"/>
          <w:szCs w:val="22"/>
        </w:rPr>
        <w:t>We focused on three basic drivers related to the resource unit (</w:t>
      </w:r>
      <w:r w:rsidR="00407A14">
        <w:rPr>
          <w:rFonts w:ascii="Times New Roman" w:eastAsia="Calibri" w:hAnsi="Times New Roman" w:cs="Times New Roman"/>
          <w:color w:val="000000" w:themeColor="text1"/>
          <w:szCs w:val="22"/>
        </w:rPr>
        <w:fldChar w:fldCharType="begin"/>
      </w:r>
      <w:r w:rsidR="00407A14">
        <w:rPr>
          <w:rFonts w:ascii="Times New Roman" w:eastAsia="Calibri" w:hAnsi="Times New Roman" w:cs="Times New Roman"/>
          <w:color w:val="000000" w:themeColor="text1"/>
          <w:szCs w:val="22"/>
        </w:rPr>
        <w:instrText xml:space="preserve"> REF _Ref439230428 \h </w:instrText>
      </w:r>
      <w:r w:rsidR="00407A14">
        <w:rPr>
          <w:rFonts w:ascii="Times New Roman" w:eastAsia="Calibri" w:hAnsi="Times New Roman" w:cs="Times New Roman"/>
          <w:color w:val="000000" w:themeColor="text1"/>
          <w:szCs w:val="22"/>
        </w:rPr>
      </w:r>
      <w:r w:rsidR="00407A14">
        <w:rPr>
          <w:rFonts w:ascii="Times New Roman" w:eastAsia="Calibri" w:hAnsi="Times New Roman" w:cs="Times New Roman"/>
          <w:color w:val="000000" w:themeColor="text1"/>
          <w:szCs w:val="22"/>
        </w:rPr>
        <w:fldChar w:fldCharType="separate"/>
      </w:r>
      <w:r w:rsidR="00B20EC7" w:rsidRPr="00A90939">
        <w:rPr>
          <w:rFonts w:ascii="Times New Roman" w:hAnsi="Times New Roman" w:cs="Times New Roman"/>
          <w:color w:val="000000" w:themeColor="text1"/>
          <w:szCs w:val="22"/>
        </w:rPr>
        <w:t xml:space="preserve">Table </w:t>
      </w:r>
      <w:r w:rsidR="00B20EC7">
        <w:rPr>
          <w:rFonts w:ascii="Times New Roman" w:hAnsi="Times New Roman" w:cs="Times New Roman"/>
          <w:noProof/>
          <w:color w:val="000000" w:themeColor="text1"/>
          <w:szCs w:val="22"/>
        </w:rPr>
        <w:t>2</w:t>
      </w:r>
      <w:r w:rsidR="00407A14">
        <w:rPr>
          <w:rFonts w:ascii="Times New Roman" w:eastAsia="Calibri" w:hAnsi="Times New Roman" w:cs="Times New Roman"/>
          <w:color w:val="000000" w:themeColor="text1"/>
          <w:szCs w:val="22"/>
        </w:rPr>
        <w:fldChar w:fldCharType="end"/>
      </w:r>
      <w:r w:rsidR="00407A14">
        <w:rPr>
          <w:rFonts w:ascii="Times New Roman" w:eastAsia="Calibri" w:hAnsi="Times New Roman" w:cs="Times New Roman"/>
          <w:color w:val="000000" w:themeColor="text1"/>
          <w:szCs w:val="22"/>
        </w:rPr>
        <w:t xml:space="preserve">): number of users, economic importance, and technology. </w:t>
      </w:r>
      <w:r w:rsidR="00FF7C67">
        <w:rPr>
          <w:rFonts w:ascii="Times New Roman" w:eastAsia="Calibri" w:hAnsi="Times New Roman" w:cs="Times New Roman"/>
          <w:color w:val="000000" w:themeColor="text1"/>
          <w:szCs w:val="22"/>
        </w:rPr>
        <w:t>Data</w:t>
      </w:r>
      <w:r w:rsidR="00407A14">
        <w:rPr>
          <w:rFonts w:ascii="Times New Roman" w:eastAsia="Calibri" w:hAnsi="Times New Roman" w:cs="Times New Roman"/>
          <w:color w:val="000000" w:themeColor="text1"/>
          <w:szCs w:val="22"/>
        </w:rPr>
        <w:t xml:space="preserve"> was provided by the Economic Data Collection (EDC) program, </w:t>
      </w:r>
      <w:r w:rsidR="00407A14" w:rsidRPr="00416F9F">
        <w:rPr>
          <w:rFonts w:ascii="Times New Roman" w:eastAsia="Calibri" w:hAnsi="Times New Roman" w:cs="Times New Roman"/>
          <w:color w:val="000000" w:themeColor="text1"/>
          <w:szCs w:val="22"/>
        </w:rPr>
        <w:t>a mandatory component of the US West Coast groundfish</w:t>
      </w:r>
      <w:r w:rsidR="00407A14">
        <w:rPr>
          <w:rFonts w:ascii="Times New Roman" w:eastAsia="Calibri" w:hAnsi="Times New Roman" w:cs="Times New Roman"/>
          <w:color w:val="000000" w:themeColor="text1"/>
          <w:szCs w:val="22"/>
        </w:rPr>
        <w:t xml:space="preserve"> fishery since 2009</w:t>
      </w:r>
      <w:r w:rsidR="00407A14" w:rsidRPr="00416F9F">
        <w:rPr>
          <w:rFonts w:ascii="Times New Roman" w:eastAsia="Calibri" w:hAnsi="Times New Roman" w:cs="Times New Roman"/>
          <w:color w:val="000000" w:themeColor="text1"/>
          <w:szCs w:val="22"/>
        </w:rPr>
        <w:t xml:space="preserve"> (West Coast Fisheries Economics Program, NOAA Fisheries, Seattle, WA,  www.nwfsc.noaa.gov/research/divisions/fram/economic)</w:t>
      </w:r>
      <w:r w:rsidR="00407A14">
        <w:rPr>
          <w:rFonts w:ascii="Times New Roman" w:eastAsia="Calibri" w:hAnsi="Times New Roman" w:cs="Times New Roman"/>
          <w:color w:val="000000" w:themeColor="text1"/>
          <w:szCs w:val="22"/>
        </w:rPr>
        <w:t>.  The database contains information on vessel characteristics by permit type and gear from 2009 to present.</w:t>
      </w:r>
    </w:p>
    <w:p w14:paraId="18D7CE19" w14:textId="11213199" w:rsidR="00C4575D" w:rsidRDefault="00416F9F" w:rsidP="00145B28">
      <w:pPr>
        <w:spacing w:line="240" w:lineRule="auto"/>
        <w:ind w:firstLine="720"/>
        <w:jc w:val="both"/>
        <w:rPr>
          <w:rFonts w:ascii="Times New Roman" w:eastAsia="Calibri" w:hAnsi="Times New Roman" w:cs="Times New Roman"/>
          <w:color w:val="000000" w:themeColor="text1"/>
          <w:szCs w:val="22"/>
        </w:rPr>
      </w:pPr>
      <w:r w:rsidRPr="00416F9F">
        <w:rPr>
          <w:rFonts w:ascii="Times New Roman" w:eastAsia="Calibri" w:hAnsi="Times New Roman" w:cs="Times New Roman"/>
          <w:color w:val="000000" w:themeColor="text1"/>
          <w:szCs w:val="22"/>
        </w:rPr>
        <w:t>EDC data were provided as port</w:t>
      </w:r>
      <w:r w:rsidR="00215BD3">
        <w:rPr>
          <w:rFonts w:ascii="Times New Roman" w:eastAsia="Calibri" w:hAnsi="Times New Roman" w:cs="Times New Roman"/>
          <w:color w:val="000000" w:themeColor="text1"/>
          <w:szCs w:val="22"/>
        </w:rPr>
        <w:t>-</w:t>
      </w:r>
      <w:r w:rsidRPr="00416F9F">
        <w:rPr>
          <w:rFonts w:ascii="Times New Roman" w:eastAsia="Calibri" w:hAnsi="Times New Roman" w:cs="Times New Roman"/>
          <w:color w:val="000000" w:themeColor="text1"/>
          <w:szCs w:val="22"/>
        </w:rPr>
        <w:t xml:space="preserve">specific </w:t>
      </w:r>
      <w:r w:rsidR="00FF7C67">
        <w:rPr>
          <w:rFonts w:ascii="Times New Roman" w:eastAsia="Calibri" w:hAnsi="Times New Roman" w:cs="Times New Roman"/>
          <w:color w:val="000000" w:themeColor="text1"/>
          <w:szCs w:val="22"/>
        </w:rPr>
        <w:t>averages</w:t>
      </w:r>
      <w:r w:rsidR="008D0335">
        <w:rPr>
          <w:rFonts w:ascii="Times New Roman" w:eastAsia="Calibri" w:hAnsi="Times New Roman" w:cs="Times New Roman"/>
          <w:color w:val="000000" w:themeColor="text1"/>
          <w:szCs w:val="22"/>
        </w:rPr>
        <w:t xml:space="preserve"> or sums</w:t>
      </w:r>
      <w:r w:rsidRPr="00416F9F">
        <w:rPr>
          <w:rFonts w:ascii="Times New Roman" w:eastAsia="Calibri" w:hAnsi="Times New Roman" w:cs="Times New Roman"/>
          <w:color w:val="000000" w:themeColor="text1"/>
          <w:szCs w:val="22"/>
        </w:rPr>
        <w:t xml:space="preserve"> </w:t>
      </w:r>
      <w:r w:rsidR="001A653E">
        <w:rPr>
          <w:rFonts w:ascii="Times New Roman" w:eastAsia="Calibri" w:hAnsi="Times New Roman" w:cs="Times New Roman"/>
          <w:color w:val="000000" w:themeColor="text1"/>
          <w:szCs w:val="22"/>
        </w:rPr>
        <w:t xml:space="preserve">(same </w:t>
      </w:r>
      <w:r w:rsidR="00FF7C67">
        <w:rPr>
          <w:rFonts w:ascii="Times New Roman" w:eastAsia="Calibri" w:hAnsi="Times New Roman" w:cs="Times New Roman"/>
          <w:color w:val="000000" w:themeColor="text1"/>
          <w:szCs w:val="22"/>
        </w:rPr>
        <w:t>port</w:t>
      </w:r>
      <w:r w:rsidR="001A653E">
        <w:rPr>
          <w:rFonts w:ascii="Times New Roman" w:eastAsia="Calibri" w:hAnsi="Times New Roman" w:cs="Times New Roman"/>
          <w:color w:val="000000" w:themeColor="text1"/>
          <w:szCs w:val="22"/>
        </w:rPr>
        <w:t xml:space="preserve"> groups as above)</w:t>
      </w:r>
      <w:r w:rsidR="00FF7C67">
        <w:rPr>
          <w:rFonts w:ascii="Times New Roman" w:eastAsia="Calibri" w:hAnsi="Times New Roman" w:cs="Times New Roman"/>
          <w:color w:val="000000" w:themeColor="text1"/>
          <w:szCs w:val="22"/>
        </w:rPr>
        <w:t>, where vessels were assigned to a single po</w:t>
      </w:r>
      <w:r w:rsidR="001A653E">
        <w:rPr>
          <w:rFonts w:ascii="Times New Roman" w:eastAsia="Calibri" w:hAnsi="Times New Roman" w:cs="Times New Roman"/>
          <w:color w:val="000000" w:themeColor="text1"/>
          <w:szCs w:val="22"/>
        </w:rPr>
        <w:t>rt group</w:t>
      </w:r>
      <w:r w:rsidR="00215BD3">
        <w:rPr>
          <w:rFonts w:ascii="Times New Roman" w:eastAsia="Calibri" w:hAnsi="Times New Roman" w:cs="Times New Roman"/>
          <w:color w:val="000000" w:themeColor="text1"/>
          <w:szCs w:val="22"/>
        </w:rPr>
        <w:t xml:space="preserve"> </w:t>
      </w:r>
      <w:r w:rsidR="001A653E">
        <w:rPr>
          <w:rFonts w:ascii="Times New Roman" w:eastAsia="Calibri" w:hAnsi="Times New Roman" w:cs="Times New Roman"/>
          <w:color w:val="000000" w:themeColor="text1"/>
          <w:szCs w:val="22"/>
        </w:rPr>
        <w:t>based on the port group for which that</w:t>
      </w:r>
      <w:r w:rsidRPr="00416F9F">
        <w:rPr>
          <w:rFonts w:ascii="Times New Roman" w:eastAsia="Calibri" w:hAnsi="Times New Roman" w:cs="Times New Roman"/>
          <w:color w:val="000000" w:themeColor="text1"/>
          <w:szCs w:val="22"/>
        </w:rPr>
        <w:t xml:space="preserve"> vessel had the highest ex-vessel revenue </w:t>
      </w:r>
      <w:r w:rsidR="00747884">
        <w:rPr>
          <w:rFonts w:ascii="Times New Roman" w:eastAsia="Calibri" w:hAnsi="Times New Roman" w:cs="Times New Roman"/>
          <w:color w:val="000000" w:themeColor="text1"/>
          <w:szCs w:val="22"/>
        </w:rPr>
        <w:t>in</w:t>
      </w:r>
      <w:r w:rsidRPr="00416F9F">
        <w:rPr>
          <w:rFonts w:ascii="Times New Roman" w:eastAsia="Calibri" w:hAnsi="Times New Roman" w:cs="Times New Roman"/>
          <w:color w:val="000000" w:themeColor="text1"/>
          <w:szCs w:val="22"/>
        </w:rPr>
        <w:t xml:space="preserve"> that year</w:t>
      </w:r>
      <w:r w:rsidR="00215BD3">
        <w:rPr>
          <w:rFonts w:ascii="Times New Roman" w:eastAsia="Calibri" w:hAnsi="Times New Roman" w:cs="Times New Roman"/>
          <w:color w:val="000000" w:themeColor="text1"/>
          <w:szCs w:val="22"/>
        </w:rPr>
        <w:t xml:space="preserve">, even though vessels may </w:t>
      </w:r>
      <w:r w:rsidR="00FF7C67">
        <w:rPr>
          <w:rFonts w:ascii="Times New Roman" w:eastAsia="Calibri" w:hAnsi="Times New Roman" w:cs="Times New Roman"/>
          <w:color w:val="000000" w:themeColor="text1"/>
          <w:szCs w:val="22"/>
        </w:rPr>
        <w:t xml:space="preserve">deliver to multiple port groups. Data were masked to protect confidentiality using the same rules defined above (see </w:t>
      </w:r>
      <w:r w:rsidR="00FF7C67">
        <w:rPr>
          <w:rFonts w:ascii="Times New Roman" w:eastAsia="Calibri" w:hAnsi="Times New Roman" w:cs="Times New Roman"/>
          <w:color w:val="000000" w:themeColor="text1"/>
          <w:szCs w:val="22"/>
        </w:rPr>
        <w:fldChar w:fldCharType="begin"/>
      </w:r>
      <w:r w:rsidR="00FF7C67">
        <w:rPr>
          <w:rFonts w:ascii="Times New Roman" w:eastAsia="Calibri" w:hAnsi="Times New Roman" w:cs="Times New Roman"/>
          <w:color w:val="000000" w:themeColor="text1"/>
          <w:szCs w:val="22"/>
        </w:rPr>
        <w:instrText xml:space="preserve"> REF _Ref441575955 \h </w:instrText>
      </w:r>
      <w:r w:rsidR="00FF7C67">
        <w:rPr>
          <w:rFonts w:ascii="Times New Roman" w:eastAsia="Calibri" w:hAnsi="Times New Roman" w:cs="Times New Roman"/>
          <w:color w:val="000000" w:themeColor="text1"/>
          <w:szCs w:val="22"/>
        </w:rPr>
      </w:r>
      <w:r w:rsidR="00FF7C67">
        <w:rPr>
          <w:rFonts w:ascii="Times New Roman" w:eastAsia="Calibri" w:hAnsi="Times New Roman" w:cs="Times New Roman"/>
          <w:color w:val="000000" w:themeColor="text1"/>
          <w:szCs w:val="22"/>
        </w:rPr>
        <w:fldChar w:fldCharType="separate"/>
      </w:r>
      <w:r w:rsidR="00B20EC7" w:rsidRPr="00272F40">
        <w:rPr>
          <w:rFonts w:ascii="Times New Roman" w:hAnsi="Times New Roman" w:cs="Times New Roman"/>
          <w:color w:val="000000" w:themeColor="text1"/>
          <w:szCs w:val="22"/>
        </w:rPr>
        <w:t xml:space="preserve">Table </w:t>
      </w:r>
      <w:r w:rsidR="00B20EC7">
        <w:rPr>
          <w:rFonts w:ascii="Times New Roman" w:hAnsi="Times New Roman" w:cs="Times New Roman"/>
          <w:noProof/>
          <w:color w:val="000000" w:themeColor="text1"/>
          <w:szCs w:val="22"/>
        </w:rPr>
        <w:t>3</w:t>
      </w:r>
      <w:r w:rsidR="00FF7C67">
        <w:rPr>
          <w:rFonts w:ascii="Times New Roman" w:eastAsia="Calibri" w:hAnsi="Times New Roman" w:cs="Times New Roman"/>
          <w:color w:val="000000" w:themeColor="text1"/>
          <w:szCs w:val="22"/>
        </w:rPr>
        <w:fldChar w:fldCharType="end"/>
      </w:r>
      <w:r w:rsidR="00FF7C67">
        <w:rPr>
          <w:rFonts w:ascii="Times New Roman" w:eastAsia="Calibri" w:hAnsi="Times New Roman" w:cs="Times New Roman"/>
          <w:color w:val="000000" w:themeColor="text1"/>
          <w:szCs w:val="22"/>
        </w:rPr>
        <w:t xml:space="preserve"> for the number of missing year x port group combinations). </w:t>
      </w:r>
      <w:r w:rsidR="008D0335">
        <w:rPr>
          <w:rFonts w:ascii="Times New Roman" w:eastAsia="Calibri" w:hAnsi="Times New Roman" w:cs="Times New Roman"/>
          <w:color w:val="000000" w:themeColor="text1"/>
          <w:szCs w:val="22"/>
        </w:rPr>
        <w:t>Data include</w:t>
      </w:r>
      <w:r w:rsidR="00733CEB">
        <w:rPr>
          <w:rFonts w:ascii="Times New Roman" w:eastAsia="Calibri" w:hAnsi="Times New Roman" w:cs="Times New Roman"/>
          <w:color w:val="000000" w:themeColor="text1"/>
          <w:szCs w:val="22"/>
        </w:rPr>
        <w:t xml:space="preserve"> (see </w:t>
      </w:r>
      <w:r w:rsidR="00733CEB">
        <w:rPr>
          <w:rFonts w:ascii="Times New Roman" w:eastAsia="Calibri" w:hAnsi="Times New Roman" w:cs="Times New Roman"/>
          <w:color w:val="000000" w:themeColor="text1"/>
          <w:szCs w:val="22"/>
        </w:rPr>
        <w:fldChar w:fldCharType="begin"/>
      </w:r>
      <w:r w:rsidR="00733CEB">
        <w:rPr>
          <w:rFonts w:ascii="Times New Roman" w:eastAsia="Calibri" w:hAnsi="Times New Roman" w:cs="Times New Roman"/>
          <w:color w:val="000000" w:themeColor="text1"/>
          <w:szCs w:val="22"/>
        </w:rPr>
        <w:instrText xml:space="preserve"> REF _Ref439230428 \h </w:instrText>
      </w:r>
      <w:r w:rsidR="00733CEB">
        <w:rPr>
          <w:rFonts w:ascii="Times New Roman" w:eastAsia="Calibri" w:hAnsi="Times New Roman" w:cs="Times New Roman"/>
          <w:color w:val="000000" w:themeColor="text1"/>
          <w:szCs w:val="22"/>
        </w:rPr>
      </w:r>
      <w:r w:rsidR="00733CEB">
        <w:rPr>
          <w:rFonts w:ascii="Times New Roman" w:eastAsia="Calibri" w:hAnsi="Times New Roman" w:cs="Times New Roman"/>
          <w:color w:val="000000" w:themeColor="text1"/>
          <w:szCs w:val="22"/>
        </w:rPr>
        <w:fldChar w:fldCharType="separate"/>
      </w:r>
      <w:r w:rsidR="00B20EC7" w:rsidRPr="00A90939">
        <w:rPr>
          <w:rFonts w:ascii="Times New Roman" w:hAnsi="Times New Roman" w:cs="Times New Roman"/>
          <w:color w:val="000000" w:themeColor="text1"/>
          <w:szCs w:val="22"/>
        </w:rPr>
        <w:t xml:space="preserve">Table </w:t>
      </w:r>
      <w:r w:rsidR="00B20EC7">
        <w:rPr>
          <w:rFonts w:ascii="Times New Roman" w:hAnsi="Times New Roman" w:cs="Times New Roman"/>
          <w:noProof/>
          <w:color w:val="000000" w:themeColor="text1"/>
          <w:szCs w:val="22"/>
        </w:rPr>
        <w:t>2</w:t>
      </w:r>
      <w:r w:rsidR="00733CEB">
        <w:rPr>
          <w:rFonts w:ascii="Times New Roman" w:eastAsia="Calibri" w:hAnsi="Times New Roman" w:cs="Times New Roman"/>
          <w:color w:val="000000" w:themeColor="text1"/>
          <w:szCs w:val="22"/>
        </w:rPr>
        <w:fldChar w:fldCharType="end"/>
      </w:r>
      <w:r w:rsidR="00733CEB">
        <w:rPr>
          <w:rFonts w:ascii="Times New Roman" w:eastAsia="Calibri" w:hAnsi="Times New Roman" w:cs="Times New Roman"/>
          <w:color w:val="000000" w:themeColor="text1"/>
          <w:szCs w:val="22"/>
        </w:rPr>
        <w:t xml:space="preserve"> for hypothesized relationships between behaviour and variables)</w:t>
      </w:r>
      <w:r w:rsidR="008D0335">
        <w:rPr>
          <w:rFonts w:ascii="Times New Roman" w:eastAsia="Calibri" w:hAnsi="Times New Roman" w:cs="Times New Roman"/>
          <w:color w:val="000000" w:themeColor="text1"/>
          <w:szCs w:val="22"/>
        </w:rPr>
        <w:t>: (a) average daily fuel use (gal∙day</w:t>
      </w:r>
      <w:r w:rsidR="008D0335">
        <w:rPr>
          <w:rFonts w:ascii="Times New Roman" w:eastAsia="Calibri" w:hAnsi="Times New Roman" w:cs="Times New Roman"/>
          <w:color w:val="000000" w:themeColor="text1"/>
          <w:szCs w:val="22"/>
          <w:vertAlign w:val="superscript"/>
        </w:rPr>
        <w:t>-1</w:t>
      </w:r>
      <w:r w:rsidR="008D0335">
        <w:rPr>
          <w:rFonts w:ascii="Times New Roman" w:eastAsia="Calibri" w:hAnsi="Times New Roman" w:cs="Times New Roman"/>
          <w:color w:val="000000" w:themeColor="text1"/>
          <w:szCs w:val="22"/>
        </w:rPr>
        <w:t>)</w:t>
      </w:r>
      <w:r w:rsidR="00733CEB">
        <w:rPr>
          <w:rFonts w:ascii="Times New Roman" w:eastAsia="Calibri" w:hAnsi="Times New Roman" w:cs="Times New Roman"/>
          <w:color w:val="000000" w:themeColor="text1"/>
          <w:szCs w:val="22"/>
        </w:rPr>
        <w:t>,</w:t>
      </w:r>
      <w:r w:rsidR="008D0335">
        <w:rPr>
          <w:rFonts w:ascii="Times New Roman" w:eastAsia="Calibri" w:hAnsi="Times New Roman" w:cs="Times New Roman"/>
          <w:color w:val="000000" w:themeColor="text1"/>
          <w:szCs w:val="22"/>
        </w:rPr>
        <w:t xml:space="preserve"> (b) average fixed costs (USD)</w:t>
      </w:r>
      <w:r w:rsidR="00733CEB">
        <w:rPr>
          <w:rFonts w:ascii="Times New Roman" w:eastAsia="Calibri" w:hAnsi="Times New Roman" w:cs="Times New Roman"/>
          <w:color w:val="000000" w:themeColor="text1"/>
          <w:szCs w:val="22"/>
        </w:rPr>
        <w:t>, which included expenses for processing equipment, vessel equipment, insurance premiums, and moorage,</w:t>
      </w:r>
      <w:r w:rsidR="008D0335">
        <w:rPr>
          <w:rFonts w:ascii="Times New Roman" w:eastAsia="Calibri" w:hAnsi="Times New Roman" w:cs="Times New Roman"/>
          <w:color w:val="000000" w:themeColor="text1"/>
          <w:szCs w:val="22"/>
        </w:rPr>
        <w:t xml:space="preserve"> (c) average </w:t>
      </w:r>
      <w:r w:rsidR="00733CEB">
        <w:rPr>
          <w:rFonts w:ascii="Times New Roman" w:eastAsia="Calibri" w:hAnsi="Times New Roman" w:cs="Times New Roman"/>
          <w:color w:val="000000" w:themeColor="text1"/>
          <w:szCs w:val="22"/>
        </w:rPr>
        <w:t>variable costs (USD)</w:t>
      </w:r>
      <w:r w:rsidR="00733CEB" w:rsidRPr="00733CEB">
        <w:rPr>
          <w:rFonts w:ascii="Times New Roman" w:eastAsia="Calibri" w:hAnsi="Times New Roman" w:cs="Times New Roman"/>
          <w:color w:val="000000" w:themeColor="text1"/>
          <w:szCs w:val="22"/>
        </w:rPr>
        <w:t xml:space="preserve"> </w:t>
      </w:r>
      <w:r w:rsidR="00733CEB">
        <w:rPr>
          <w:rFonts w:ascii="Times New Roman" w:eastAsia="Calibri" w:hAnsi="Times New Roman" w:cs="Times New Roman"/>
          <w:color w:val="000000" w:themeColor="text1"/>
          <w:szCs w:val="22"/>
        </w:rPr>
        <w:t xml:space="preserve">, which includes expenses for bait, captain salary, communications, crew salary, association dues, </w:t>
      </w:r>
      <w:r w:rsidR="00733CEB">
        <w:rPr>
          <w:rFonts w:ascii="Times New Roman" w:eastAsia="Calibri" w:hAnsi="Times New Roman" w:cs="Times New Roman"/>
          <w:color w:val="000000" w:themeColor="text1"/>
          <w:szCs w:val="22"/>
        </w:rPr>
        <w:lastRenderedPageBreak/>
        <w:t>food, freight, fuel and lubrication, ice, licenses, observers, offloading, supplies, travel, and trucking,</w:t>
      </w:r>
      <w:r w:rsidR="008D0335">
        <w:rPr>
          <w:rFonts w:ascii="Times New Roman" w:eastAsia="Calibri" w:hAnsi="Times New Roman" w:cs="Times New Roman"/>
          <w:color w:val="000000" w:themeColor="text1"/>
          <w:szCs w:val="22"/>
        </w:rPr>
        <w:t xml:space="preserve"> (d) number of </w:t>
      </w:r>
      <w:r w:rsidR="00733CEB">
        <w:rPr>
          <w:rFonts w:ascii="Times New Roman" w:eastAsia="Calibri" w:hAnsi="Times New Roman" w:cs="Times New Roman"/>
          <w:color w:val="000000" w:themeColor="text1"/>
          <w:szCs w:val="22"/>
        </w:rPr>
        <w:t xml:space="preserve">fish </w:t>
      </w:r>
      <w:r w:rsidR="008D0335">
        <w:rPr>
          <w:rFonts w:ascii="Times New Roman" w:eastAsia="Calibri" w:hAnsi="Times New Roman" w:cs="Times New Roman"/>
          <w:color w:val="000000" w:themeColor="text1"/>
          <w:szCs w:val="22"/>
        </w:rPr>
        <w:t>buyers</w:t>
      </w:r>
      <w:r w:rsidR="00733CEB">
        <w:rPr>
          <w:rFonts w:ascii="Times New Roman" w:eastAsia="Calibri" w:hAnsi="Times New Roman" w:cs="Times New Roman"/>
          <w:color w:val="000000" w:themeColor="text1"/>
          <w:szCs w:val="22"/>
        </w:rPr>
        <w:t>,</w:t>
      </w:r>
      <w:r w:rsidR="008D0335">
        <w:rPr>
          <w:rFonts w:ascii="Times New Roman" w:eastAsia="Calibri" w:hAnsi="Times New Roman" w:cs="Times New Roman"/>
          <w:color w:val="000000" w:themeColor="text1"/>
          <w:szCs w:val="22"/>
        </w:rPr>
        <w:t xml:space="preserve"> (e) </w:t>
      </w:r>
      <w:r w:rsidR="00733CEB">
        <w:rPr>
          <w:rFonts w:ascii="Times New Roman" w:eastAsia="Calibri" w:hAnsi="Times New Roman" w:cs="Times New Roman"/>
          <w:color w:val="000000" w:themeColor="text1"/>
          <w:szCs w:val="22"/>
        </w:rPr>
        <w:t xml:space="preserve">average </w:t>
      </w:r>
      <w:r w:rsidR="008D0335">
        <w:rPr>
          <w:rFonts w:ascii="Times New Roman" w:eastAsia="Calibri" w:hAnsi="Times New Roman" w:cs="Times New Roman"/>
          <w:color w:val="000000" w:themeColor="text1"/>
          <w:szCs w:val="22"/>
        </w:rPr>
        <w:t xml:space="preserve">crew size, excluding the captain; (f) number of vessels delivering to </w:t>
      </w:r>
      <w:r w:rsidR="00733CEB">
        <w:rPr>
          <w:rFonts w:ascii="Times New Roman" w:eastAsia="Calibri" w:hAnsi="Times New Roman" w:cs="Times New Roman"/>
          <w:color w:val="000000" w:themeColor="text1"/>
          <w:szCs w:val="22"/>
        </w:rPr>
        <w:t>the</w:t>
      </w:r>
      <w:r w:rsidR="008D0335">
        <w:rPr>
          <w:rFonts w:ascii="Times New Roman" w:eastAsia="Calibri" w:hAnsi="Times New Roman" w:cs="Times New Roman"/>
          <w:color w:val="000000" w:themeColor="text1"/>
          <w:szCs w:val="22"/>
        </w:rPr>
        <w:t xml:space="preserve"> port group</w:t>
      </w:r>
      <w:r w:rsidR="00733CEB">
        <w:rPr>
          <w:rFonts w:ascii="Times New Roman" w:eastAsia="Calibri" w:hAnsi="Times New Roman" w:cs="Times New Roman"/>
          <w:color w:val="000000" w:themeColor="text1"/>
          <w:szCs w:val="22"/>
        </w:rPr>
        <w:t>, (g) average horsepower of main engine (hp), (h) average fuel capacity (gal), (i) and average towing speed while fishing (kn).</w:t>
      </w:r>
    </w:p>
    <w:p w14:paraId="53405C09" w14:textId="77777777" w:rsidR="000E10CC" w:rsidRDefault="000E10CC" w:rsidP="00145B28">
      <w:pPr>
        <w:spacing w:line="240" w:lineRule="auto"/>
        <w:jc w:val="both"/>
        <w:rPr>
          <w:rFonts w:ascii="Times New Roman" w:eastAsia="Calibri" w:hAnsi="Times New Roman" w:cs="Times New Roman"/>
          <w:color w:val="000000" w:themeColor="text1"/>
          <w:szCs w:val="22"/>
        </w:rPr>
      </w:pPr>
    </w:p>
    <w:bookmarkStart w:id="7" w:name="Results"/>
    <w:p w14:paraId="0B77FF66"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bookmarkEnd w:id="7"/>
      <w:r>
        <w:rPr>
          <w:rFonts w:ascii="Times New Roman" w:eastAsia="Calibri" w:hAnsi="Times New Roman" w:cs="Times New Roman"/>
          <w:color w:val="000000" w:themeColor="text1"/>
          <w:szCs w:val="22"/>
        </w:rPr>
        <w:t xml:space="preserve"> Results</w:t>
      </w:r>
    </w:p>
    <w:p w14:paraId="0C59D074" w14:textId="363B5DA1" w:rsidR="003E0404" w:rsidRDefault="003E0404"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Dominant transitions</w:t>
      </w:r>
    </w:p>
    <w:p w14:paraId="49B047EB" w14:textId="62516C43" w:rsidR="00351247" w:rsidRPr="00ED6AD9" w:rsidRDefault="00832AEE" w:rsidP="00ED6AD9">
      <w:pPr>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Hierarchical cluster analyses, along with average silhouette width, identified t</w:t>
      </w:r>
      <w:r w:rsidR="00EA4E9B">
        <w:rPr>
          <w:rFonts w:ascii="Times New Roman" w:eastAsia="Calibri" w:hAnsi="Times New Roman" w:cs="Times New Roman"/>
          <w:color w:val="000000" w:themeColor="text1"/>
          <w:szCs w:val="22"/>
        </w:rPr>
        <w:t xml:space="preserve">wo </w:t>
      </w:r>
      <w:r w:rsidR="00470131">
        <w:rPr>
          <w:rFonts w:ascii="Times New Roman" w:eastAsia="Calibri" w:hAnsi="Times New Roman" w:cs="Times New Roman"/>
          <w:color w:val="000000" w:themeColor="text1"/>
          <w:szCs w:val="22"/>
        </w:rPr>
        <w:t xml:space="preserve">years </w:t>
      </w:r>
      <w:r w:rsidR="00261955">
        <w:rPr>
          <w:rFonts w:ascii="Times New Roman" w:eastAsia="Calibri" w:hAnsi="Times New Roman" w:cs="Times New Roman"/>
          <w:color w:val="000000" w:themeColor="text1"/>
          <w:szCs w:val="22"/>
        </w:rPr>
        <w:t xml:space="preserve">(1991 and 2005) </w:t>
      </w:r>
      <w:r w:rsidR="00470131">
        <w:rPr>
          <w:rFonts w:ascii="Times New Roman" w:eastAsia="Calibri" w:hAnsi="Times New Roman" w:cs="Times New Roman"/>
          <w:color w:val="000000" w:themeColor="text1"/>
          <w:szCs w:val="22"/>
        </w:rPr>
        <w:t xml:space="preserve">as </w:t>
      </w:r>
      <w:r w:rsidR="00EA4E9B">
        <w:rPr>
          <w:rFonts w:ascii="Times New Roman" w:eastAsia="Calibri" w:hAnsi="Times New Roman" w:cs="Times New Roman"/>
          <w:color w:val="000000" w:themeColor="text1"/>
          <w:szCs w:val="22"/>
        </w:rPr>
        <w:t>transition</w:t>
      </w:r>
      <w:r w:rsidR="00912FBA">
        <w:rPr>
          <w:rFonts w:ascii="Times New Roman" w:eastAsia="Calibri" w:hAnsi="Times New Roman" w:cs="Times New Roman"/>
          <w:color w:val="000000" w:themeColor="text1"/>
          <w:szCs w:val="22"/>
        </w:rPr>
        <w:t xml:space="preserve"> points</w:t>
      </w:r>
      <w:r>
        <w:rPr>
          <w:rFonts w:ascii="Times New Roman" w:eastAsia="Calibri" w:hAnsi="Times New Roman" w:cs="Times New Roman"/>
          <w:color w:val="000000" w:themeColor="text1"/>
          <w:szCs w:val="22"/>
        </w:rPr>
        <w:t xml:space="preserve"> among the </w:t>
      </w:r>
      <w:r w:rsidR="00470131">
        <w:rPr>
          <w:rFonts w:ascii="Times New Roman" w:eastAsia="Calibri" w:hAnsi="Times New Roman" w:cs="Times New Roman"/>
          <w:color w:val="000000" w:themeColor="text1"/>
          <w:szCs w:val="22"/>
        </w:rPr>
        <w:t>dominant gear</w:t>
      </w:r>
      <w:r>
        <w:rPr>
          <w:rFonts w:ascii="Times New Roman" w:eastAsia="Calibri" w:hAnsi="Times New Roman" w:cs="Times New Roman"/>
          <w:color w:val="000000" w:themeColor="text1"/>
          <w:szCs w:val="22"/>
        </w:rPr>
        <w:t xml:space="preserve"> type</w:t>
      </w:r>
      <w:r w:rsidR="00470131">
        <w:rPr>
          <w:rFonts w:ascii="Times New Roman" w:eastAsia="Calibri" w:hAnsi="Times New Roman" w:cs="Times New Roman"/>
          <w:color w:val="000000" w:themeColor="text1"/>
          <w:szCs w:val="22"/>
        </w:rPr>
        <w:t xml:space="preserve"> used to land sablefish in the US West Coast groundfish </w:t>
      </w:r>
      <w:r w:rsidR="00470131" w:rsidRPr="00ED6AD9">
        <w:rPr>
          <w:rFonts w:ascii="Times New Roman" w:eastAsia="Calibri" w:hAnsi="Times New Roman" w:cs="Times New Roman"/>
          <w:color w:val="000000" w:themeColor="text1"/>
          <w:szCs w:val="22"/>
        </w:rPr>
        <w:t xml:space="preserve">fishery </w:t>
      </w:r>
      <w:r w:rsidRPr="00ED6AD9">
        <w:rPr>
          <w:rFonts w:ascii="Times New Roman" w:eastAsia="Calibri" w:hAnsi="Times New Roman" w:cs="Times New Roman"/>
          <w:color w:val="000000" w:themeColor="text1"/>
          <w:szCs w:val="22"/>
        </w:rPr>
        <w:t>(</w:t>
      </w:r>
      <w:r w:rsidR="00ED6AD9" w:rsidRPr="00ED6AD9">
        <w:rPr>
          <w:rFonts w:ascii="Times New Roman" w:eastAsia="Calibri" w:hAnsi="Times New Roman" w:cs="Times New Roman"/>
          <w:color w:val="000000" w:themeColor="text1"/>
          <w:szCs w:val="22"/>
        </w:rPr>
        <w:fldChar w:fldCharType="begin"/>
      </w:r>
      <w:r w:rsidR="00ED6AD9" w:rsidRPr="00ED6AD9">
        <w:rPr>
          <w:rFonts w:ascii="Times New Roman" w:eastAsia="Calibri" w:hAnsi="Times New Roman" w:cs="Times New Roman"/>
          <w:color w:val="000000" w:themeColor="text1"/>
          <w:szCs w:val="22"/>
        </w:rPr>
        <w:instrText xml:space="preserve"> REF _Ref441638032 \h </w:instrText>
      </w:r>
      <w:r w:rsidR="00ED6AD9" w:rsidRPr="00ED6AD9">
        <w:rPr>
          <w:rFonts w:ascii="Times New Roman" w:eastAsia="Calibri" w:hAnsi="Times New Roman" w:cs="Times New Roman"/>
          <w:color w:val="000000" w:themeColor="text1"/>
          <w:szCs w:val="22"/>
        </w:rPr>
      </w:r>
      <w:r w:rsidR="00ED6AD9">
        <w:rPr>
          <w:rFonts w:ascii="Times New Roman" w:eastAsia="Calibri" w:hAnsi="Times New Roman" w:cs="Times New Roman"/>
          <w:color w:val="000000" w:themeColor="text1"/>
          <w:szCs w:val="22"/>
        </w:rPr>
        <w:instrText xml:space="preserve"> \* MERGEFORMAT </w:instrText>
      </w:r>
      <w:r w:rsidR="00ED6AD9" w:rsidRPr="00ED6AD9">
        <w:rPr>
          <w:rFonts w:ascii="Times New Roman" w:eastAsia="Calibri" w:hAnsi="Times New Roman" w:cs="Times New Roman"/>
          <w:color w:val="000000" w:themeColor="text1"/>
          <w:szCs w:val="22"/>
        </w:rPr>
        <w:fldChar w:fldCharType="separate"/>
      </w:r>
      <w:r w:rsidR="00B20EC7" w:rsidRPr="00B20EC7">
        <w:rPr>
          <w:rFonts w:ascii="Times New Roman" w:hAnsi="Times New Roman" w:cs="Times New Roman"/>
        </w:rPr>
        <w:t xml:space="preserve">Figure </w:t>
      </w:r>
      <w:r w:rsidR="00B20EC7" w:rsidRPr="00B20EC7">
        <w:rPr>
          <w:rFonts w:ascii="Times New Roman" w:hAnsi="Times New Roman" w:cs="Times New Roman"/>
          <w:noProof/>
        </w:rPr>
        <w:t>4</w:t>
      </w:r>
      <w:r w:rsidR="00ED6AD9" w:rsidRPr="00ED6AD9">
        <w:rPr>
          <w:rFonts w:ascii="Times New Roman" w:eastAsia="Calibri" w:hAnsi="Times New Roman" w:cs="Times New Roman"/>
          <w:color w:val="000000" w:themeColor="text1"/>
          <w:szCs w:val="22"/>
        </w:rPr>
        <w:fldChar w:fldCharType="end"/>
      </w:r>
      <w:r w:rsidR="00A14803" w:rsidRPr="00ED6AD9">
        <w:rPr>
          <w:rFonts w:ascii="Times New Roman" w:eastAsia="Calibri" w:hAnsi="Times New Roman" w:cs="Times New Roman"/>
          <w:color w:val="000000" w:themeColor="text1"/>
          <w:szCs w:val="22"/>
        </w:rPr>
        <w:t>)</w:t>
      </w:r>
      <w:r w:rsidR="00EA4E9B" w:rsidRPr="00ED6AD9">
        <w:rPr>
          <w:rFonts w:ascii="Times New Roman" w:eastAsia="Calibri" w:hAnsi="Times New Roman" w:cs="Times New Roman"/>
          <w:color w:val="000000" w:themeColor="text1"/>
          <w:szCs w:val="22"/>
        </w:rPr>
        <w:t xml:space="preserve">. </w:t>
      </w:r>
      <w:r w:rsidRPr="00ED6AD9">
        <w:rPr>
          <w:rFonts w:ascii="Times New Roman" w:eastAsia="Calibri" w:hAnsi="Times New Roman" w:cs="Times New Roman"/>
          <w:color w:val="000000" w:themeColor="text1"/>
          <w:szCs w:val="22"/>
        </w:rPr>
        <w:t xml:space="preserve">For each group of years identified by dominant transition points the mean proportion of yearly landings caught using hook and line gear steadily increased with time, whereas </w:t>
      </w:r>
      <w:r w:rsidR="00351247" w:rsidRPr="00ED6AD9">
        <w:rPr>
          <w:rFonts w:ascii="Times New Roman" w:eastAsia="Calibri" w:hAnsi="Times New Roman" w:cs="Times New Roman"/>
          <w:color w:val="000000" w:themeColor="text1"/>
          <w:szCs w:val="22"/>
        </w:rPr>
        <w:t xml:space="preserve">mean proportion of </w:t>
      </w:r>
      <w:r w:rsidRPr="00ED6AD9">
        <w:rPr>
          <w:rFonts w:ascii="Times New Roman" w:eastAsia="Calibri" w:hAnsi="Times New Roman" w:cs="Times New Roman"/>
          <w:color w:val="000000" w:themeColor="text1"/>
          <w:szCs w:val="22"/>
        </w:rPr>
        <w:t xml:space="preserve">landings from trawl gear decreased. </w:t>
      </w:r>
      <w:r w:rsidR="00351247" w:rsidRPr="00ED6AD9">
        <w:rPr>
          <w:rFonts w:ascii="Times New Roman" w:eastAsia="Calibri" w:hAnsi="Times New Roman" w:cs="Times New Roman"/>
          <w:color w:val="000000" w:themeColor="text1"/>
          <w:szCs w:val="22"/>
        </w:rPr>
        <w:t>In 2005, the proportion of landings caught using pot gear was higher than all previous years since 1994</w:t>
      </w:r>
      <w:r w:rsidR="00CE2AEE" w:rsidRPr="00ED6AD9">
        <w:rPr>
          <w:rFonts w:ascii="Times New Roman" w:eastAsia="Calibri" w:hAnsi="Times New Roman" w:cs="Times New Roman"/>
          <w:color w:val="000000" w:themeColor="text1"/>
          <w:szCs w:val="22"/>
        </w:rPr>
        <w:t xml:space="preserve"> (</w:t>
      </w:r>
      <w:r w:rsidR="00C42B05" w:rsidRPr="00ED6AD9">
        <w:rPr>
          <w:rFonts w:ascii="Times New Roman" w:eastAsia="Calibri" w:hAnsi="Times New Roman" w:cs="Times New Roman"/>
          <w:color w:val="000000" w:themeColor="text1"/>
          <w:szCs w:val="22"/>
        </w:rPr>
        <w:fldChar w:fldCharType="begin"/>
      </w:r>
      <w:r w:rsidR="00C42B05" w:rsidRPr="00ED6AD9">
        <w:rPr>
          <w:rFonts w:ascii="Times New Roman" w:eastAsia="Calibri" w:hAnsi="Times New Roman" w:cs="Times New Roman"/>
          <w:color w:val="000000" w:themeColor="text1"/>
          <w:szCs w:val="22"/>
        </w:rPr>
        <w:instrText xml:space="preserve"> REF _Ref441637819 \h </w:instrText>
      </w:r>
      <w:r w:rsidR="00C42B05" w:rsidRPr="00ED6AD9">
        <w:rPr>
          <w:rFonts w:ascii="Times New Roman" w:eastAsia="Calibri" w:hAnsi="Times New Roman" w:cs="Times New Roman"/>
          <w:color w:val="000000" w:themeColor="text1"/>
          <w:szCs w:val="22"/>
        </w:rPr>
      </w:r>
      <w:r w:rsidR="00ED6AD9">
        <w:rPr>
          <w:rFonts w:ascii="Times New Roman" w:eastAsia="Calibri" w:hAnsi="Times New Roman" w:cs="Times New Roman"/>
          <w:color w:val="000000" w:themeColor="text1"/>
          <w:szCs w:val="22"/>
        </w:rPr>
        <w:instrText xml:space="preserve"> \* MERGEFORMAT </w:instrText>
      </w:r>
      <w:r w:rsidR="00C42B05" w:rsidRPr="00ED6AD9">
        <w:rPr>
          <w:rFonts w:ascii="Times New Roman" w:eastAsia="Calibri" w:hAnsi="Times New Roman" w:cs="Times New Roman"/>
          <w:color w:val="000000" w:themeColor="text1"/>
          <w:szCs w:val="22"/>
        </w:rPr>
        <w:fldChar w:fldCharType="separate"/>
      </w:r>
      <w:r w:rsidR="00B20EC7">
        <w:rPr>
          <w:rFonts w:ascii="Times New Roman" w:hAnsi="Times New Roman" w:cs="Times New Roman"/>
        </w:rPr>
        <w:t xml:space="preserve">Figure </w:t>
      </w:r>
      <w:r w:rsidR="00B20EC7">
        <w:rPr>
          <w:rFonts w:ascii="Times New Roman" w:hAnsi="Times New Roman" w:cs="Times New Roman"/>
          <w:noProof/>
        </w:rPr>
        <w:t>5</w:t>
      </w:r>
      <w:r w:rsidR="00C42B05" w:rsidRPr="00ED6AD9">
        <w:rPr>
          <w:rFonts w:ascii="Times New Roman" w:eastAsia="Calibri" w:hAnsi="Times New Roman" w:cs="Times New Roman"/>
          <w:color w:val="000000" w:themeColor="text1"/>
          <w:szCs w:val="22"/>
        </w:rPr>
        <w:fldChar w:fldCharType="end"/>
      </w:r>
      <w:r w:rsidR="00CE2AEE" w:rsidRPr="00ED6AD9">
        <w:rPr>
          <w:rFonts w:ascii="Times New Roman" w:eastAsia="Calibri" w:hAnsi="Times New Roman" w:cs="Times New Roman"/>
          <w:color w:val="000000" w:themeColor="text1"/>
          <w:szCs w:val="22"/>
        </w:rPr>
        <w:t>)</w:t>
      </w:r>
      <w:r w:rsidR="00351247" w:rsidRPr="00ED6AD9">
        <w:rPr>
          <w:rFonts w:ascii="Times New Roman" w:eastAsia="Calibri" w:hAnsi="Times New Roman" w:cs="Times New Roman"/>
          <w:color w:val="000000" w:themeColor="text1"/>
          <w:szCs w:val="22"/>
        </w:rPr>
        <w:t xml:space="preserve">. </w:t>
      </w:r>
      <w:r w:rsidRPr="00ED6AD9">
        <w:rPr>
          <w:rFonts w:ascii="Times New Roman" w:eastAsia="Calibri" w:hAnsi="Times New Roman" w:cs="Times New Roman"/>
          <w:color w:val="000000" w:themeColor="text1"/>
          <w:szCs w:val="22"/>
        </w:rPr>
        <w:t>Less dominant t</w:t>
      </w:r>
      <w:r w:rsidR="00470131" w:rsidRPr="00ED6AD9">
        <w:rPr>
          <w:rFonts w:ascii="Times New Roman" w:eastAsia="Calibri" w:hAnsi="Times New Roman" w:cs="Times New Roman"/>
          <w:color w:val="000000" w:themeColor="text1"/>
          <w:szCs w:val="22"/>
        </w:rPr>
        <w:t xml:space="preserve">ransition points were also identified in </w:t>
      </w:r>
      <w:r w:rsidR="00EA4E9B" w:rsidRPr="00ED6AD9">
        <w:rPr>
          <w:rFonts w:ascii="Times New Roman" w:eastAsia="Calibri" w:hAnsi="Times New Roman" w:cs="Times New Roman"/>
          <w:color w:val="000000" w:themeColor="text1"/>
          <w:szCs w:val="22"/>
        </w:rPr>
        <w:t>1987, 1997, and 201</w:t>
      </w:r>
      <w:r w:rsidR="007D6BA3" w:rsidRPr="00ED6AD9">
        <w:rPr>
          <w:rFonts w:ascii="Times New Roman" w:eastAsia="Calibri" w:hAnsi="Times New Roman" w:cs="Times New Roman"/>
          <w:color w:val="000000" w:themeColor="text1"/>
          <w:szCs w:val="22"/>
        </w:rPr>
        <w:t>1</w:t>
      </w:r>
      <w:r w:rsidR="00470131" w:rsidRPr="00ED6AD9">
        <w:rPr>
          <w:rFonts w:ascii="Times New Roman" w:eastAsia="Calibri" w:hAnsi="Times New Roman" w:cs="Times New Roman"/>
          <w:color w:val="000000" w:themeColor="text1"/>
          <w:szCs w:val="22"/>
        </w:rPr>
        <w:t>, though these changes represent smaller</w:t>
      </w:r>
      <w:r w:rsidRPr="00ED6AD9">
        <w:rPr>
          <w:rFonts w:ascii="Times New Roman" w:eastAsia="Calibri" w:hAnsi="Times New Roman" w:cs="Times New Roman"/>
          <w:color w:val="000000" w:themeColor="text1"/>
          <w:szCs w:val="22"/>
        </w:rPr>
        <w:t xml:space="preserve"> insignificant</w:t>
      </w:r>
      <w:r w:rsidR="00470131" w:rsidRPr="00ED6AD9">
        <w:rPr>
          <w:rFonts w:ascii="Times New Roman" w:eastAsia="Calibri" w:hAnsi="Times New Roman" w:cs="Times New Roman"/>
          <w:color w:val="000000" w:themeColor="text1"/>
          <w:szCs w:val="22"/>
        </w:rPr>
        <w:t xml:space="preserve"> shifts</w:t>
      </w:r>
      <w:r w:rsidR="00EA4E9B" w:rsidRPr="00ED6AD9">
        <w:rPr>
          <w:rFonts w:ascii="Times New Roman" w:eastAsia="Calibri" w:hAnsi="Times New Roman" w:cs="Times New Roman"/>
          <w:color w:val="000000" w:themeColor="text1"/>
          <w:szCs w:val="22"/>
        </w:rPr>
        <w:t xml:space="preserve"> </w:t>
      </w:r>
      <w:r w:rsidRPr="00ED6AD9">
        <w:rPr>
          <w:rFonts w:ascii="Times New Roman" w:eastAsia="Calibri" w:hAnsi="Times New Roman" w:cs="Times New Roman"/>
          <w:color w:val="000000" w:themeColor="text1"/>
          <w:szCs w:val="22"/>
        </w:rPr>
        <w:t xml:space="preserve">with a dissimilarity metric of less than 0.04 </w:t>
      </w:r>
      <w:r w:rsidR="000706BB" w:rsidRPr="00ED6AD9">
        <w:rPr>
          <w:rFonts w:ascii="Times New Roman" w:eastAsia="Calibri" w:hAnsi="Times New Roman" w:cs="Times New Roman"/>
          <w:color w:val="000000" w:themeColor="text1"/>
          <w:szCs w:val="22"/>
        </w:rPr>
        <w:t>(</w:t>
      </w:r>
      <w:r w:rsidR="00ED6AD9" w:rsidRPr="00ED6AD9">
        <w:rPr>
          <w:rFonts w:ascii="Times New Roman" w:eastAsia="Calibri" w:hAnsi="Times New Roman" w:cs="Times New Roman"/>
          <w:color w:val="000000" w:themeColor="text1"/>
          <w:szCs w:val="22"/>
        </w:rPr>
        <w:fldChar w:fldCharType="begin"/>
      </w:r>
      <w:r w:rsidR="00ED6AD9" w:rsidRPr="00ED6AD9">
        <w:rPr>
          <w:rFonts w:ascii="Times New Roman" w:eastAsia="Calibri" w:hAnsi="Times New Roman" w:cs="Times New Roman"/>
          <w:color w:val="000000" w:themeColor="text1"/>
          <w:szCs w:val="22"/>
        </w:rPr>
        <w:instrText xml:space="preserve"> REF _Ref441638032 \h </w:instrText>
      </w:r>
      <w:r w:rsidR="00ED6AD9" w:rsidRPr="00ED6AD9">
        <w:rPr>
          <w:rFonts w:ascii="Times New Roman" w:eastAsia="Calibri" w:hAnsi="Times New Roman" w:cs="Times New Roman"/>
          <w:color w:val="000000" w:themeColor="text1"/>
          <w:szCs w:val="22"/>
        </w:rPr>
      </w:r>
      <w:r w:rsidR="00ED6AD9">
        <w:rPr>
          <w:rFonts w:ascii="Times New Roman" w:eastAsia="Calibri" w:hAnsi="Times New Roman" w:cs="Times New Roman"/>
          <w:color w:val="000000" w:themeColor="text1"/>
          <w:szCs w:val="22"/>
        </w:rPr>
        <w:instrText xml:space="preserve"> \* MERGEFORMAT </w:instrText>
      </w:r>
      <w:r w:rsidR="00ED6AD9" w:rsidRPr="00ED6AD9">
        <w:rPr>
          <w:rFonts w:ascii="Times New Roman" w:eastAsia="Calibri" w:hAnsi="Times New Roman" w:cs="Times New Roman"/>
          <w:color w:val="000000" w:themeColor="text1"/>
          <w:szCs w:val="22"/>
        </w:rPr>
        <w:fldChar w:fldCharType="separate"/>
      </w:r>
      <w:r w:rsidR="00B20EC7" w:rsidRPr="00B20EC7">
        <w:rPr>
          <w:rFonts w:ascii="Times New Roman" w:hAnsi="Times New Roman" w:cs="Times New Roman"/>
        </w:rPr>
        <w:t xml:space="preserve">Figure </w:t>
      </w:r>
      <w:r w:rsidR="00B20EC7" w:rsidRPr="00B20EC7">
        <w:rPr>
          <w:rFonts w:ascii="Times New Roman" w:hAnsi="Times New Roman" w:cs="Times New Roman"/>
          <w:noProof/>
        </w:rPr>
        <w:t>4</w:t>
      </w:r>
      <w:r w:rsidR="00ED6AD9" w:rsidRPr="00ED6AD9">
        <w:rPr>
          <w:rFonts w:ascii="Times New Roman" w:eastAsia="Calibri" w:hAnsi="Times New Roman" w:cs="Times New Roman"/>
          <w:color w:val="000000" w:themeColor="text1"/>
          <w:szCs w:val="22"/>
        </w:rPr>
        <w:fldChar w:fldCharType="end"/>
      </w:r>
      <w:r w:rsidR="000706BB" w:rsidRPr="00ED6AD9">
        <w:rPr>
          <w:rFonts w:ascii="Times New Roman" w:eastAsia="Calibri" w:hAnsi="Times New Roman" w:cs="Times New Roman"/>
          <w:color w:val="000000" w:themeColor="text1"/>
          <w:szCs w:val="22"/>
        </w:rPr>
        <w:t xml:space="preserve">). </w:t>
      </w:r>
      <w:r w:rsidR="00ED6AD9">
        <w:rPr>
          <w:rFonts w:ascii="Times New Roman" w:eastAsia="Calibri" w:hAnsi="Times New Roman" w:cs="Times New Roman"/>
          <w:color w:val="000000" w:themeColor="text1"/>
          <w:szCs w:val="22"/>
        </w:rPr>
        <w:t>In 1987 the dominant gear changed from pots, which clearly dominated in the late 80’s, to trawl gear (</w:t>
      </w:r>
      <w:r w:rsidR="00ED6AD9">
        <w:rPr>
          <w:rFonts w:ascii="Times New Roman" w:eastAsia="Calibri" w:hAnsi="Times New Roman" w:cs="Times New Roman"/>
          <w:color w:val="000000" w:themeColor="text1"/>
          <w:szCs w:val="22"/>
        </w:rPr>
        <w:fldChar w:fldCharType="begin"/>
      </w:r>
      <w:r w:rsidR="00ED6AD9">
        <w:rPr>
          <w:rFonts w:ascii="Times New Roman" w:eastAsia="Calibri" w:hAnsi="Times New Roman" w:cs="Times New Roman"/>
          <w:color w:val="000000" w:themeColor="text1"/>
          <w:szCs w:val="22"/>
        </w:rPr>
        <w:instrText xml:space="preserve"> REF _Ref441637819 \h </w:instrText>
      </w:r>
      <w:r w:rsidR="00ED6AD9">
        <w:rPr>
          <w:rFonts w:ascii="Times New Roman" w:eastAsia="Calibri" w:hAnsi="Times New Roman" w:cs="Times New Roman"/>
          <w:color w:val="000000" w:themeColor="text1"/>
          <w:szCs w:val="22"/>
        </w:rPr>
      </w:r>
      <w:r w:rsidR="00ED6AD9">
        <w:rPr>
          <w:rFonts w:ascii="Times New Roman" w:eastAsia="Calibri" w:hAnsi="Times New Roman" w:cs="Times New Roman"/>
          <w:color w:val="000000" w:themeColor="text1"/>
          <w:szCs w:val="22"/>
        </w:rPr>
        <w:fldChar w:fldCharType="separate"/>
      </w:r>
      <w:r w:rsidR="00B20EC7">
        <w:rPr>
          <w:rFonts w:ascii="Times New Roman" w:hAnsi="Times New Roman" w:cs="Times New Roman"/>
        </w:rPr>
        <w:t xml:space="preserve">Figure </w:t>
      </w:r>
      <w:r w:rsidR="00B20EC7">
        <w:rPr>
          <w:rFonts w:ascii="Times New Roman" w:hAnsi="Times New Roman" w:cs="Times New Roman"/>
          <w:noProof/>
        </w:rPr>
        <w:t>5</w:t>
      </w:r>
      <w:r w:rsidR="00ED6AD9">
        <w:rPr>
          <w:rFonts w:ascii="Times New Roman" w:eastAsia="Calibri" w:hAnsi="Times New Roman" w:cs="Times New Roman"/>
          <w:color w:val="000000" w:themeColor="text1"/>
          <w:szCs w:val="22"/>
        </w:rPr>
        <w:fldChar w:fldCharType="end"/>
      </w:r>
      <w:r w:rsidR="00ED6AD9">
        <w:rPr>
          <w:rFonts w:ascii="Times New Roman" w:eastAsia="Calibri" w:hAnsi="Times New Roman" w:cs="Times New Roman"/>
          <w:color w:val="000000" w:themeColor="text1"/>
          <w:szCs w:val="22"/>
        </w:rPr>
        <w:t>).</w:t>
      </w:r>
    </w:p>
    <w:p w14:paraId="36CCC185" w14:textId="7DB3A131" w:rsidR="00543854" w:rsidRDefault="00031C7E" w:rsidP="00145B28">
      <w:pPr>
        <w:spacing w:line="240" w:lineRule="auto"/>
        <w:ind w:firstLine="720"/>
        <w:jc w:val="both"/>
        <w:rPr>
          <w:rFonts w:ascii="Times New Roman" w:eastAsia="Calibri" w:hAnsi="Times New Roman" w:cs="Times New Roman"/>
          <w:color w:val="000000" w:themeColor="text1"/>
          <w:szCs w:val="22"/>
        </w:rPr>
      </w:pPr>
      <w:r w:rsidRPr="00ED6AD9">
        <w:rPr>
          <w:rFonts w:ascii="Times New Roman" w:eastAsia="Calibri" w:hAnsi="Times New Roman" w:cs="Times New Roman"/>
          <w:color w:val="000000" w:themeColor="text1"/>
          <w:szCs w:val="22"/>
        </w:rPr>
        <w:t>In general, since 1900 the fishery has seen an increase in evenness among gear types (</w:t>
      </w:r>
      <w:r w:rsidRPr="00ED6AD9">
        <w:rPr>
          <w:rFonts w:ascii="Times New Roman" w:eastAsia="Calibri" w:hAnsi="Times New Roman" w:cs="Times New Roman"/>
          <w:color w:val="000000" w:themeColor="text1"/>
          <w:szCs w:val="22"/>
        </w:rPr>
        <w:fldChar w:fldCharType="begin"/>
      </w:r>
      <w:r w:rsidRPr="00ED6AD9">
        <w:rPr>
          <w:rFonts w:ascii="Times New Roman" w:eastAsia="Calibri" w:hAnsi="Times New Roman" w:cs="Times New Roman"/>
          <w:color w:val="000000" w:themeColor="text1"/>
          <w:szCs w:val="22"/>
        </w:rPr>
        <w:instrText xml:space="preserve"> REF _Ref441049502 \h </w:instrText>
      </w:r>
      <w:r w:rsidRPr="00ED6AD9">
        <w:rPr>
          <w:rFonts w:ascii="Times New Roman" w:eastAsia="Calibri" w:hAnsi="Times New Roman" w:cs="Times New Roman"/>
          <w:color w:val="000000" w:themeColor="text1"/>
          <w:szCs w:val="22"/>
        </w:rPr>
      </w:r>
      <w:r w:rsidR="00ED6AD9">
        <w:rPr>
          <w:rFonts w:ascii="Times New Roman" w:eastAsia="Calibri" w:hAnsi="Times New Roman" w:cs="Times New Roman"/>
          <w:color w:val="000000" w:themeColor="text1"/>
          <w:szCs w:val="22"/>
        </w:rPr>
        <w:instrText xml:space="preserve"> \* MERGEFORMAT </w:instrText>
      </w:r>
      <w:r w:rsidRPr="00ED6AD9">
        <w:rPr>
          <w:rFonts w:ascii="Times New Roman" w:eastAsia="Calibri" w:hAnsi="Times New Roman" w:cs="Times New Roman"/>
          <w:color w:val="000000" w:themeColor="text1"/>
          <w:szCs w:val="22"/>
        </w:rPr>
        <w:fldChar w:fldCharType="separate"/>
      </w:r>
      <w:r w:rsidR="00B20EC7" w:rsidRPr="00543854">
        <w:rPr>
          <w:rFonts w:ascii="Times New Roman" w:hAnsi="Times New Roman" w:cs="Times New Roman"/>
        </w:rPr>
        <w:t xml:space="preserve">Figure </w:t>
      </w:r>
      <w:r w:rsidR="00B20EC7">
        <w:rPr>
          <w:rFonts w:ascii="Times New Roman" w:hAnsi="Times New Roman" w:cs="Times New Roman"/>
          <w:noProof/>
        </w:rPr>
        <w:t>6</w:t>
      </w:r>
      <w:r w:rsidRPr="00ED6AD9">
        <w:rPr>
          <w:rFonts w:ascii="Times New Roman" w:eastAsia="Calibri" w:hAnsi="Times New Roman" w:cs="Times New Roman"/>
          <w:color w:val="000000" w:themeColor="text1"/>
          <w:szCs w:val="22"/>
        </w:rPr>
        <w:fldChar w:fldCharType="end"/>
      </w:r>
      <w:r w:rsidRPr="00ED6AD9">
        <w:rPr>
          <w:rFonts w:ascii="Times New Roman" w:eastAsia="Calibri" w:hAnsi="Times New Roman" w:cs="Times New Roman"/>
          <w:color w:val="000000" w:themeColor="text1"/>
          <w:szCs w:val="22"/>
        </w:rPr>
        <w:t xml:space="preserve">). </w:t>
      </w:r>
      <w:r w:rsidR="00543854" w:rsidRPr="00ED6AD9">
        <w:rPr>
          <w:rFonts w:ascii="Times New Roman" w:eastAsia="Calibri" w:hAnsi="Times New Roman" w:cs="Times New Roman"/>
          <w:color w:val="000000" w:themeColor="text1"/>
          <w:szCs w:val="22"/>
        </w:rPr>
        <w:t>The Simpson Diversity Index, calculated for landings by gear type, identified four periods where a single gear type dominated the landings since 1982</w:t>
      </w:r>
      <w:r w:rsidR="00D433D4" w:rsidRPr="00ED6AD9">
        <w:rPr>
          <w:rFonts w:ascii="Times New Roman" w:eastAsia="Calibri" w:hAnsi="Times New Roman" w:cs="Times New Roman"/>
          <w:color w:val="000000" w:themeColor="text1"/>
          <w:szCs w:val="22"/>
        </w:rPr>
        <w:t xml:space="preserve"> (</w:t>
      </w:r>
      <w:r w:rsidR="00D433D4" w:rsidRPr="00ED6AD9">
        <w:rPr>
          <w:rFonts w:ascii="Times New Roman" w:eastAsia="Calibri" w:hAnsi="Times New Roman" w:cs="Times New Roman"/>
          <w:color w:val="000000" w:themeColor="text1"/>
          <w:szCs w:val="22"/>
        </w:rPr>
        <w:fldChar w:fldCharType="begin"/>
      </w:r>
      <w:r w:rsidR="00D433D4" w:rsidRPr="00ED6AD9">
        <w:rPr>
          <w:rFonts w:ascii="Times New Roman" w:eastAsia="Calibri" w:hAnsi="Times New Roman" w:cs="Times New Roman"/>
          <w:color w:val="000000" w:themeColor="text1"/>
          <w:szCs w:val="22"/>
        </w:rPr>
        <w:instrText xml:space="preserve"> REF _Ref441049502 \h </w:instrText>
      </w:r>
      <w:r w:rsidR="00D433D4" w:rsidRPr="00ED6AD9">
        <w:rPr>
          <w:rFonts w:ascii="Times New Roman" w:eastAsia="Calibri" w:hAnsi="Times New Roman" w:cs="Times New Roman"/>
          <w:color w:val="000000" w:themeColor="text1"/>
          <w:szCs w:val="22"/>
        </w:rPr>
      </w:r>
      <w:r w:rsidR="00ED6AD9">
        <w:rPr>
          <w:rFonts w:ascii="Times New Roman" w:eastAsia="Calibri" w:hAnsi="Times New Roman" w:cs="Times New Roman"/>
          <w:color w:val="000000" w:themeColor="text1"/>
          <w:szCs w:val="22"/>
        </w:rPr>
        <w:instrText xml:space="preserve"> \* MERGEFORMAT </w:instrText>
      </w:r>
      <w:r w:rsidR="00D433D4" w:rsidRPr="00ED6AD9">
        <w:rPr>
          <w:rFonts w:ascii="Times New Roman" w:eastAsia="Calibri" w:hAnsi="Times New Roman" w:cs="Times New Roman"/>
          <w:color w:val="000000" w:themeColor="text1"/>
          <w:szCs w:val="22"/>
        </w:rPr>
        <w:fldChar w:fldCharType="separate"/>
      </w:r>
      <w:r w:rsidR="00B20EC7" w:rsidRPr="00543854">
        <w:rPr>
          <w:rFonts w:ascii="Times New Roman" w:hAnsi="Times New Roman" w:cs="Times New Roman"/>
        </w:rPr>
        <w:t xml:space="preserve">Figure </w:t>
      </w:r>
      <w:r w:rsidR="00B20EC7">
        <w:rPr>
          <w:rFonts w:ascii="Times New Roman" w:hAnsi="Times New Roman" w:cs="Times New Roman"/>
          <w:noProof/>
        </w:rPr>
        <w:t>6</w:t>
      </w:r>
      <w:r w:rsidR="00D433D4" w:rsidRPr="00ED6AD9">
        <w:rPr>
          <w:rFonts w:ascii="Times New Roman" w:eastAsia="Calibri" w:hAnsi="Times New Roman" w:cs="Times New Roman"/>
          <w:color w:val="000000" w:themeColor="text1"/>
          <w:szCs w:val="22"/>
        </w:rPr>
        <w:fldChar w:fldCharType="end"/>
      </w:r>
      <w:r w:rsidR="00D433D4">
        <w:rPr>
          <w:rFonts w:ascii="Times New Roman" w:eastAsia="Calibri" w:hAnsi="Times New Roman" w:cs="Times New Roman"/>
          <w:color w:val="000000" w:themeColor="text1"/>
          <w:szCs w:val="22"/>
        </w:rPr>
        <w:t>)</w:t>
      </w:r>
      <w:r w:rsidR="00543854">
        <w:rPr>
          <w:rFonts w:ascii="Times New Roman" w:eastAsia="Calibri" w:hAnsi="Times New Roman" w:cs="Times New Roman"/>
          <w:color w:val="000000" w:themeColor="text1"/>
          <w:szCs w:val="22"/>
        </w:rPr>
        <w:t>: (a) 1982-1984, (b) 1989-1993, (c) 1997-1999, and (d) 2008.</w:t>
      </w:r>
      <w:r w:rsidR="00D433D4">
        <w:rPr>
          <w:rFonts w:ascii="Times New Roman" w:eastAsia="Calibri" w:hAnsi="Times New Roman" w:cs="Times New Roman"/>
          <w:color w:val="000000" w:themeColor="text1"/>
          <w:szCs w:val="22"/>
        </w:rPr>
        <w:t xml:space="preserve"> Analyses focused on differences since 1982, because </w:t>
      </w:r>
      <w:r>
        <w:rPr>
          <w:rFonts w:ascii="Times New Roman" w:eastAsia="Calibri" w:hAnsi="Times New Roman" w:cs="Times New Roman"/>
          <w:color w:val="000000" w:themeColor="text1"/>
          <w:szCs w:val="22"/>
        </w:rPr>
        <w:t>1982 marks the first year of federal management regulations for the fishery</w:t>
      </w:r>
      <w:r w:rsidR="00D433D4">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Each year range</w:t>
      </w:r>
      <w:r w:rsidR="00D433D4">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identified </w:t>
      </w:r>
      <w:r w:rsidR="00D433D4">
        <w:rPr>
          <w:rFonts w:ascii="Times New Roman" w:eastAsia="Calibri" w:hAnsi="Times New Roman" w:cs="Times New Roman"/>
          <w:color w:val="000000" w:themeColor="text1"/>
          <w:szCs w:val="22"/>
        </w:rPr>
        <w:t>indicate</w:t>
      </w:r>
      <w:r>
        <w:rPr>
          <w:rFonts w:ascii="Times New Roman" w:eastAsia="Calibri" w:hAnsi="Times New Roman" w:cs="Times New Roman"/>
          <w:color w:val="000000" w:themeColor="text1"/>
          <w:szCs w:val="22"/>
        </w:rPr>
        <w:t>s</w:t>
      </w:r>
      <w:r w:rsidR="00D433D4">
        <w:rPr>
          <w:rFonts w:ascii="Times New Roman" w:eastAsia="Calibri" w:hAnsi="Times New Roman" w:cs="Times New Roman"/>
          <w:color w:val="000000" w:themeColor="text1"/>
          <w:szCs w:val="22"/>
        </w:rPr>
        <w:t xml:space="preserve"> years </w:t>
      </w:r>
      <w:r>
        <w:rPr>
          <w:rFonts w:ascii="Times New Roman" w:eastAsia="Calibri" w:hAnsi="Times New Roman" w:cs="Times New Roman"/>
          <w:color w:val="000000" w:themeColor="text1"/>
          <w:szCs w:val="22"/>
        </w:rPr>
        <w:t>where</w:t>
      </w:r>
      <w:r w:rsidR="00D433D4">
        <w:rPr>
          <w:rFonts w:ascii="Times New Roman" w:eastAsia="Calibri" w:hAnsi="Times New Roman" w:cs="Times New Roman"/>
          <w:color w:val="000000" w:themeColor="text1"/>
          <w:szCs w:val="22"/>
        </w:rPr>
        <w:t xml:space="preserve"> differe</w:t>
      </w:r>
      <w:r w:rsidR="004F2EC6">
        <w:rPr>
          <w:rFonts w:ascii="Times New Roman" w:eastAsia="Calibri" w:hAnsi="Times New Roman" w:cs="Times New Roman"/>
          <w:color w:val="000000" w:themeColor="text1"/>
          <w:szCs w:val="22"/>
        </w:rPr>
        <w:t xml:space="preserve">nces among gear-specific </w:t>
      </w:r>
      <w:r w:rsidR="00D433D4">
        <w:rPr>
          <w:rFonts w:ascii="Times New Roman" w:eastAsia="Calibri" w:hAnsi="Times New Roman" w:cs="Times New Roman"/>
          <w:color w:val="000000" w:themeColor="text1"/>
          <w:szCs w:val="22"/>
        </w:rPr>
        <w:t>landings were the highest</w:t>
      </w:r>
      <w:r>
        <w:rPr>
          <w:rFonts w:ascii="Times New Roman" w:eastAsia="Calibri" w:hAnsi="Times New Roman" w:cs="Times New Roman"/>
          <w:color w:val="000000" w:themeColor="text1"/>
          <w:szCs w:val="22"/>
        </w:rPr>
        <w:t xml:space="preserve"> (i.e., </w:t>
      </w:r>
      <w:r w:rsidR="00D433D4">
        <w:rPr>
          <w:rFonts w:ascii="Times New Roman" w:eastAsia="Calibri" w:hAnsi="Times New Roman" w:cs="Times New Roman"/>
          <w:color w:val="000000" w:themeColor="text1"/>
          <w:szCs w:val="22"/>
        </w:rPr>
        <w:t>one gear dominating the fishery</w:t>
      </w:r>
      <w:r>
        <w:rPr>
          <w:rFonts w:ascii="Times New Roman" w:eastAsia="Calibri" w:hAnsi="Times New Roman" w:cs="Times New Roman"/>
          <w:color w:val="000000" w:themeColor="text1"/>
          <w:szCs w:val="22"/>
        </w:rPr>
        <w:t>)</w:t>
      </w:r>
      <w:r w:rsidR="00D433D4">
        <w:rPr>
          <w:rFonts w:ascii="Times New Roman" w:eastAsia="Calibri" w:hAnsi="Times New Roman" w:cs="Times New Roman"/>
          <w:color w:val="000000" w:themeColor="text1"/>
          <w:szCs w:val="22"/>
        </w:rPr>
        <w:t xml:space="preserve">. </w:t>
      </w:r>
    </w:p>
    <w:p w14:paraId="683BC3D2" w14:textId="4B0FD536" w:rsidR="003E0404" w:rsidRDefault="003E0404" w:rsidP="008B3D8B">
      <w:pPr>
        <w:spacing w:before="240"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w:t>
      </w:r>
      <w:r w:rsidR="00145B28">
        <w:rPr>
          <w:rFonts w:ascii="Times New Roman" w:eastAsia="Calibri" w:hAnsi="Times New Roman" w:cs="Times New Roman"/>
          <w:color w:val="000000" w:themeColor="text1"/>
          <w:szCs w:val="22"/>
        </w:rPr>
        <w:t>models</w:t>
      </w:r>
    </w:p>
    <w:p w14:paraId="434A28AC" w14:textId="4963D0E7" w:rsidR="00145B28" w:rsidRDefault="007933D3" w:rsidP="007933D3">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Raw data from the NWFSC Shelf-Slope trawl survey collected from 2003 to 2014 indicate s</w:t>
      </w:r>
      <w:r w:rsidR="00145B28">
        <w:rPr>
          <w:rFonts w:ascii="Times New Roman" w:eastAsia="Calibri" w:hAnsi="Times New Roman" w:cs="Times New Roman"/>
          <w:color w:val="000000" w:themeColor="text1"/>
          <w:szCs w:val="22"/>
        </w:rPr>
        <w:t xml:space="preserve">ablefish </w:t>
      </w:r>
      <w:r w:rsidR="00BF5369">
        <w:rPr>
          <w:rFonts w:ascii="Times New Roman" w:eastAsia="Calibri" w:hAnsi="Times New Roman" w:cs="Times New Roman"/>
          <w:color w:val="000000" w:themeColor="text1"/>
          <w:szCs w:val="22"/>
        </w:rPr>
        <w:t>were</w:t>
      </w:r>
      <w:r w:rsidR="00145B28">
        <w:rPr>
          <w:rFonts w:ascii="Times New Roman" w:eastAsia="Calibri" w:hAnsi="Times New Roman" w:cs="Times New Roman"/>
          <w:color w:val="000000" w:themeColor="text1"/>
          <w:szCs w:val="22"/>
        </w:rPr>
        <w:t xml:space="preserve"> found ubiquitously up and down the US West Coast with infrequent large tows only observed north of </w:t>
      </w:r>
      <w:r w:rsidR="0023266C">
        <w:rPr>
          <w:rFonts w:ascii="Times New Roman" w:eastAsia="Calibri" w:hAnsi="Times New Roman" w:cs="Times New Roman"/>
          <w:color w:val="000000" w:themeColor="text1"/>
          <w:szCs w:val="22"/>
        </w:rPr>
        <w:t>central</w:t>
      </w:r>
      <w:r w:rsidR="00145B28">
        <w:rPr>
          <w:rFonts w:ascii="Times New Roman" w:eastAsia="Calibri" w:hAnsi="Times New Roman" w:cs="Times New Roman"/>
          <w:color w:val="000000" w:themeColor="text1"/>
          <w:szCs w:val="22"/>
        </w:rPr>
        <w:t xml:space="preserve"> </w:t>
      </w:r>
      <w:r w:rsidR="00145B28" w:rsidRPr="00145B28">
        <w:rPr>
          <w:rFonts w:ascii="Times New Roman" w:eastAsia="Calibri" w:hAnsi="Times New Roman" w:cs="Times New Roman"/>
          <w:color w:val="000000" w:themeColor="text1"/>
          <w:szCs w:val="22"/>
        </w:rPr>
        <w:t>California (</w:t>
      </w:r>
      <w:r w:rsidR="00145B28" w:rsidRPr="00145B28">
        <w:rPr>
          <w:rFonts w:ascii="Times New Roman" w:eastAsia="Calibri" w:hAnsi="Times New Roman" w:cs="Times New Roman"/>
          <w:color w:val="000000" w:themeColor="text1"/>
          <w:szCs w:val="22"/>
        </w:rPr>
        <w:fldChar w:fldCharType="begin"/>
      </w:r>
      <w:r w:rsidR="00145B28" w:rsidRPr="00145B28">
        <w:rPr>
          <w:rFonts w:ascii="Times New Roman" w:eastAsia="Calibri" w:hAnsi="Times New Roman" w:cs="Times New Roman"/>
          <w:color w:val="000000" w:themeColor="text1"/>
          <w:szCs w:val="22"/>
        </w:rPr>
        <w:instrText xml:space="preserve"> REF _Ref440570326 \h </w:instrText>
      </w:r>
      <w:r w:rsidR="00145B28">
        <w:rPr>
          <w:rFonts w:ascii="Times New Roman" w:eastAsia="Calibri" w:hAnsi="Times New Roman" w:cs="Times New Roman"/>
          <w:color w:val="000000" w:themeColor="text1"/>
          <w:szCs w:val="22"/>
        </w:rPr>
        <w:instrText xml:space="preserve"> \* MERGEFORMAT </w:instrText>
      </w:r>
      <w:r w:rsidR="00145B28" w:rsidRPr="00145B28">
        <w:rPr>
          <w:rFonts w:ascii="Times New Roman" w:eastAsia="Calibri" w:hAnsi="Times New Roman" w:cs="Times New Roman"/>
          <w:color w:val="000000" w:themeColor="text1"/>
          <w:szCs w:val="22"/>
        </w:rPr>
      </w:r>
      <w:r w:rsidR="00145B28" w:rsidRPr="00145B28">
        <w:rPr>
          <w:rFonts w:ascii="Times New Roman" w:eastAsia="Calibri" w:hAnsi="Times New Roman" w:cs="Times New Roman"/>
          <w:color w:val="000000" w:themeColor="text1"/>
          <w:szCs w:val="22"/>
        </w:rPr>
        <w:fldChar w:fldCharType="separate"/>
      </w:r>
      <w:r w:rsidR="00B20EC7" w:rsidRPr="00B20EC7">
        <w:rPr>
          <w:rFonts w:ascii="Times New Roman" w:hAnsi="Times New Roman" w:cs="Times New Roman"/>
        </w:rPr>
        <w:t xml:space="preserve">Figure </w:t>
      </w:r>
      <w:r w:rsidR="00B20EC7" w:rsidRPr="00B20EC7">
        <w:rPr>
          <w:rFonts w:ascii="Times New Roman" w:hAnsi="Times New Roman" w:cs="Times New Roman"/>
          <w:noProof/>
        </w:rPr>
        <w:t>3</w:t>
      </w:r>
      <w:r w:rsidR="00145B28" w:rsidRPr="00145B28">
        <w:rPr>
          <w:rFonts w:ascii="Times New Roman" w:eastAsia="Calibri" w:hAnsi="Times New Roman" w:cs="Times New Roman"/>
          <w:color w:val="000000" w:themeColor="text1"/>
          <w:szCs w:val="22"/>
        </w:rPr>
        <w:fldChar w:fldCharType="end"/>
      </w:r>
      <w:r w:rsidR="00145B28" w:rsidRPr="00145B28">
        <w:rPr>
          <w:rFonts w:ascii="Times New Roman" w:eastAsia="Calibri" w:hAnsi="Times New Roman" w:cs="Times New Roman"/>
          <w:color w:val="000000" w:themeColor="text1"/>
          <w:szCs w:val="22"/>
        </w:rPr>
        <w:t xml:space="preserve">). </w:t>
      </w:r>
      <w:r w:rsidR="00145B28">
        <w:rPr>
          <w:rFonts w:ascii="Times New Roman" w:eastAsia="Calibri" w:hAnsi="Times New Roman" w:cs="Times New Roman"/>
          <w:color w:val="000000" w:themeColor="text1"/>
          <w:szCs w:val="22"/>
        </w:rPr>
        <w:t xml:space="preserve">The spatial </w:t>
      </w:r>
      <w:r w:rsidR="00BF5369">
        <w:rPr>
          <w:rFonts w:ascii="Times New Roman" w:eastAsia="Calibri" w:hAnsi="Times New Roman" w:cs="Times New Roman"/>
          <w:color w:val="000000" w:themeColor="text1"/>
          <w:szCs w:val="22"/>
        </w:rPr>
        <w:t>footprint</w:t>
      </w:r>
      <w:r w:rsidR="00145B28">
        <w:rPr>
          <w:rFonts w:ascii="Times New Roman" w:eastAsia="Calibri" w:hAnsi="Times New Roman" w:cs="Times New Roman"/>
          <w:color w:val="000000" w:themeColor="text1"/>
          <w:szCs w:val="22"/>
        </w:rPr>
        <w:t xml:space="preserve"> of darkblotched rockfish </w:t>
      </w:r>
      <w:r w:rsidR="00145B28" w:rsidRPr="00145B28">
        <w:rPr>
          <w:rFonts w:ascii="Times New Roman" w:eastAsia="Calibri" w:hAnsi="Times New Roman" w:cs="Times New Roman"/>
          <w:color w:val="000000" w:themeColor="text1"/>
          <w:szCs w:val="22"/>
        </w:rPr>
        <w:t>w</w:t>
      </w:r>
      <w:r w:rsidR="00BF5369">
        <w:rPr>
          <w:rFonts w:ascii="Times New Roman" w:eastAsia="Calibri" w:hAnsi="Times New Roman" w:cs="Times New Roman"/>
          <w:color w:val="000000" w:themeColor="text1"/>
          <w:szCs w:val="22"/>
        </w:rPr>
        <w:t>as</w:t>
      </w:r>
      <w:r w:rsidR="00145B28" w:rsidRPr="00145B28">
        <w:rPr>
          <w:rFonts w:ascii="Times New Roman" w:eastAsia="Calibri" w:hAnsi="Times New Roman" w:cs="Times New Roman"/>
          <w:color w:val="000000" w:themeColor="text1"/>
          <w:szCs w:val="22"/>
        </w:rPr>
        <w:t xml:space="preserve"> the most similar to sablefish, whereas cowcod</w:t>
      </w:r>
      <w:r>
        <w:rPr>
          <w:rFonts w:ascii="Times New Roman" w:eastAsia="Calibri" w:hAnsi="Times New Roman" w:cs="Times New Roman"/>
          <w:color w:val="000000" w:themeColor="text1"/>
          <w:szCs w:val="22"/>
        </w:rPr>
        <w:t xml:space="preserve"> rockfish</w:t>
      </w:r>
      <w:r w:rsidR="00145B28" w:rsidRPr="00145B28">
        <w:rPr>
          <w:rFonts w:ascii="Times New Roman" w:eastAsia="Calibri" w:hAnsi="Times New Roman" w:cs="Times New Roman"/>
          <w:color w:val="000000" w:themeColor="text1"/>
          <w:szCs w:val="22"/>
        </w:rPr>
        <w:t xml:space="preserve"> had the least spatial overlap with sablefish (</w:t>
      </w:r>
      <w:r w:rsidR="00145B28" w:rsidRPr="00145B28">
        <w:rPr>
          <w:rFonts w:ascii="Times New Roman" w:eastAsia="Calibri" w:hAnsi="Times New Roman" w:cs="Times New Roman"/>
          <w:color w:val="000000" w:themeColor="text1"/>
          <w:szCs w:val="22"/>
        </w:rPr>
        <w:fldChar w:fldCharType="begin"/>
      </w:r>
      <w:r w:rsidR="00145B28" w:rsidRPr="00145B28">
        <w:rPr>
          <w:rFonts w:ascii="Times New Roman" w:eastAsia="Calibri" w:hAnsi="Times New Roman" w:cs="Times New Roman"/>
          <w:color w:val="000000" w:themeColor="text1"/>
          <w:szCs w:val="22"/>
        </w:rPr>
        <w:instrText xml:space="preserve"> REF _Ref440570326 \h </w:instrText>
      </w:r>
      <w:r w:rsidR="00145B28">
        <w:rPr>
          <w:rFonts w:ascii="Times New Roman" w:eastAsia="Calibri" w:hAnsi="Times New Roman" w:cs="Times New Roman"/>
          <w:color w:val="000000" w:themeColor="text1"/>
          <w:szCs w:val="22"/>
        </w:rPr>
        <w:instrText xml:space="preserve"> \* MERGEFORMAT </w:instrText>
      </w:r>
      <w:r w:rsidR="00145B28" w:rsidRPr="00145B28">
        <w:rPr>
          <w:rFonts w:ascii="Times New Roman" w:eastAsia="Calibri" w:hAnsi="Times New Roman" w:cs="Times New Roman"/>
          <w:color w:val="000000" w:themeColor="text1"/>
          <w:szCs w:val="22"/>
        </w:rPr>
      </w:r>
      <w:r w:rsidR="00145B28" w:rsidRPr="00145B28">
        <w:rPr>
          <w:rFonts w:ascii="Times New Roman" w:eastAsia="Calibri" w:hAnsi="Times New Roman" w:cs="Times New Roman"/>
          <w:color w:val="000000" w:themeColor="text1"/>
          <w:szCs w:val="22"/>
        </w:rPr>
        <w:fldChar w:fldCharType="separate"/>
      </w:r>
      <w:r w:rsidR="00B20EC7" w:rsidRPr="00B20EC7">
        <w:rPr>
          <w:rFonts w:ascii="Times New Roman" w:hAnsi="Times New Roman" w:cs="Times New Roman"/>
        </w:rPr>
        <w:t xml:space="preserve">Figure </w:t>
      </w:r>
      <w:r w:rsidR="00B20EC7" w:rsidRPr="00B20EC7">
        <w:rPr>
          <w:rFonts w:ascii="Times New Roman" w:hAnsi="Times New Roman" w:cs="Times New Roman"/>
          <w:noProof/>
        </w:rPr>
        <w:t>3</w:t>
      </w:r>
      <w:r w:rsidR="00145B28" w:rsidRPr="00145B28">
        <w:rPr>
          <w:rFonts w:ascii="Times New Roman" w:eastAsia="Calibri" w:hAnsi="Times New Roman" w:cs="Times New Roman"/>
          <w:color w:val="000000" w:themeColor="text1"/>
          <w:szCs w:val="22"/>
        </w:rPr>
        <w:fldChar w:fldCharType="end"/>
      </w:r>
      <w:r w:rsidR="00145B28" w:rsidRPr="00145B28">
        <w:rPr>
          <w:rFonts w:ascii="Times New Roman" w:eastAsia="Calibri" w:hAnsi="Times New Roman" w:cs="Times New Roman"/>
          <w:color w:val="000000" w:themeColor="text1"/>
          <w:szCs w:val="22"/>
        </w:rPr>
        <w:t xml:space="preserve">). </w:t>
      </w:r>
      <w:r w:rsidR="00CE2AEE">
        <w:rPr>
          <w:rFonts w:ascii="Times New Roman" w:eastAsia="Calibri" w:hAnsi="Times New Roman" w:cs="Times New Roman"/>
          <w:color w:val="000000" w:themeColor="text1"/>
          <w:szCs w:val="22"/>
        </w:rPr>
        <w:t xml:space="preserve">Relative indexes of abundance </w:t>
      </w:r>
      <w:r w:rsidR="00BF5369">
        <w:rPr>
          <w:rFonts w:ascii="Times New Roman" w:eastAsia="Calibri" w:hAnsi="Times New Roman" w:cs="Times New Roman"/>
          <w:color w:val="000000" w:themeColor="text1"/>
          <w:szCs w:val="22"/>
        </w:rPr>
        <w:t>for sablefish and bocaccio rockfish were larger</w:t>
      </w:r>
      <w:r w:rsidR="00CE2AEE">
        <w:rPr>
          <w:rFonts w:ascii="Times New Roman" w:eastAsia="Calibri" w:hAnsi="Times New Roman" w:cs="Times New Roman"/>
          <w:color w:val="000000" w:themeColor="text1"/>
          <w:szCs w:val="22"/>
        </w:rPr>
        <w:t xml:space="preserve"> in the stratum between Cape Mendocino and Point Conception</w:t>
      </w:r>
      <w:r w:rsidR="00BF5369">
        <w:rPr>
          <w:rFonts w:ascii="Times New Roman" w:eastAsia="Calibri" w:hAnsi="Times New Roman" w:cs="Times New Roman"/>
          <w:color w:val="000000" w:themeColor="text1"/>
          <w:szCs w:val="22"/>
        </w:rPr>
        <w:t xml:space="preserve"> than the two northern stratum</w:t>
      </w:r>
      <w:r w:rsidR="00CE2AEE">
        <w:rPr>
          <w:rFonts w:ascii="Times New Roman" w:eastAsia="Calibri" w:hAnsi="Times New Roman" w:cs="Times New Roman"/>
          <w:color w:val="000000" w:themeColor="text1"/>
          <w:szCs w:val="22"/>
        </w:rPr>
        <w:t xml:space="preserve"> </w:t>
      </w:r>
      <w:r w:rsidR="005C2096">
        <w:rPr>
          <w:rFonts w:ascii="Times New Roman" w:eastAsia="Calibri" w:hAnsi="Times New Roman" w:cs="Times New Roman"/>
          <w:color w:val="000000" w:themeColor="text1"/>
          <w:szCs w:val="22"/>
        </w:rPr>
        <w:t>(</w:t>
      </w:r>
      <w:r w:rsidR="005C2096">
        <w:rPr>
          <w:rFonts w:ascii="Times New Roman" w:eastAsia="Calibri" w:hAnsi="Times New Roman" w:cs="Times New Roman"/>
          <w:color w:val="000000" w:themeColor="text1"/>
          <w:szCs w:val="22"/>
        </w:rPr>
        <w:fldChar w:fldCharType="begin"/>
      </w:r>
      <w:r w:rsidR="005C2096">
        <w:rPr>
          <w:rFonts w:ascii="Times New Roman" w:eastAsia="Calibri" w:hAnsi="Times New Roman" w:cs="Times New Roman"/>
          <w:color w:val="000000" w:themeColor="text1"/>
          <w:szCs w:val="22"/>
        </w:rPr>
        <w:instrText xml:space="preserve"> REF _Ref440571613 \h </w:instrText>
      </w:r>
      <w:r w:rsidR="005C2096">
        <w:rPr>
          <w:rFonts w:ascii="Times New Roman" w:eastAsia="Calibri" w:hAnsi="Times New Roman" w:cs="Times New Roman"/>
          <w:color w:val="000000" w:themeColor="text1"/>
          <w:szCs w:val="22"/>
        </w:rPr>
      </w:r>
      <w:r w:rsidR="005C2096">
        <w:rPr>
          <w:rFonts w:ascii="Times New Roman" w:eastAsia="Calibri" w:hAnsi="Times New Roman" w:cs="Times New Roman"/>
          <w:color w:val="000000" w:themeColor="text1"/>
          <w:szCs w:val="22"/>
        </w:rPr>
        <w:fldChar w:fldCharType="separate"/>
      </w:r>
      <w:r w:rsidR="00B20EC7" w:rsidRPr="00543854">
        <w:rPr>
          <w:rFonts w:ascii="Times New Roman" w:hAnsi="Times New Roman" w:cs="Times New Roman"/>
        </w:rPr>
        <w:t xml:space="preserve">Figure </w:t>
      </w:r>
      <w:r w:rsidR="00B20EC7">
        <w:rPr>
          <w:rFonts w:ascii="Times New Roman" w:hAnsi="Times New Roman" w:cs="Times New Roman"/>
          <w:noProof/>
        </w:rPr>
        <w:t>8</w:t>
      </w:r>
      <w:r w:rsidR="005C2096">
        <w:rPr>
          <w:rFonts w:ascii="Times New Roman" w:eastAsia="Calibri" w:hAnsi="Times New Roman" w:cs="Times New Roman"/>
          <w:color w:val="000000" w:themeColor="text1"/>
          <w:szCs w:val="22"/>
        </w:rPr>
        <w:fldChar w:fldCharType="end"/>
      </w:r>
      <w:r w:rsidR="005C2096">
        <w:rPr>
          <w:rFonts w:ascii="Times New Roman" w:eastAsia="Calibri" w:hAnsi="Times New Roman" w:cs="Times New Roman"/>
          <w:color w:val="000000" w:themeColor="text1"/>
          <w:szCs w:val="22"/>
        </w:rPr>
        <w:t>).</w:t>
      </w:r>
      <w:r w:rsidR="00CE2AEE">
        <w:rPr>
          <w:rFonts w:ascii="Times New Roman" w:eastAsia="Calibri" w:hAnsi="Times New Roman" w:cs="Times New Roman"/>
          <w:color w:val="000000" w:themeColor="text1"/>
          <w:szCs w:val="22"/>
        </w:rPr>
        <w:t xml:space="preserve"> Whereas relative indexes of abundance </w:t>
      </w:r>
      <w:r w:rsidR="00BF5369">
        <w:rPr>
          <w:rFonts w:ascii="Times New Roman" w:eastAsia="Calibri" w:hAnsi="Times New Roman" w:cs="Times New Roman"/>
          <w:color w:val="000000" w:themeColor="text1"/>
          <w:szCs w:val="22"/>
        </w:rPr>
        <w:t xml:space="preserve">for darkblotched rockfish and Pacific ocean perch </w:t>
      </w:r>
      <w:r w:rsidR="00CE2AEE">
        <w:rPr>
          <w:rFonts w:ascii="Times New Roman" w:eastAsia="Calibri" w:hAnsi="Times New Roman" w:cs="Times New Roman"/>
          <w:color w:val="000000" w:themeColor="text1"/>
          <w:szCs w:val="22"/>
        </w:rPr>
        <w:t>were higher in the two northern stratum than the southern stratum (</w:t>
      </w:r>
      <w:r w:rsidR="00CE2AEE">
        <w:rPr>
          <w:rFonts w:ascii="Times New Roman" w:eastAsia="Calibri" w:hAnsi="Times New Roman" w:cs="Times New Roman"/>
          <w:color w:val="000000" w:themeColor="text1"/>
          <w:szCs w:val="22"/>
        </w:rPr>
        <w:fldChar w:fldCharType="begin"/>
      </w:r>
      <w:r w:rsidR="00CE2AEE">
        <w:rPr>
          <w:rFonts w:ascii="Times New Roman" w:eastAsia="Calibri" w:hAnsi="Times New Roman" w:cs="Times New Roman"/>
          <w:color w:val="000000" w:themeColor="text1"/>
          <w:szCs w:val="22"/>
        </w:rPr>
        <w:instrText xml:space="preserve"> REF _Ref440571613 \h </w:instrText>
      </w:r>
      <w:r w:rsidR="00CE2AEE">
        <w:rPr>
          <w:rFonts w:ascii="Times New Roman" w:eastAsia="Calibri" w:hAnsi="Times New Roman" w:cs="Times New Roman"/>
          <w:color w:val="000000" w:themeColor="text1"/>
          <w:szCs w:val="22"/>
        </w:rPr>
      </w:r>
      <w:r w:rsidR="00CE2AEE">
        <w:rPr>
          <w:rFonts w:ascii="Times New Roman" w:eastAsia="Calibri" w:hAnsi="Times New Roman" w:cs="Times New Roman"/>
          <w:color w:val="000000" w:themeColor="text1"/>
          <w:szCs w:val="22"/>
        </w:rPr>
        <w:fldChar w:fldCharType="separate"/>
      </w:r>
      <w:r w:rsidR="00B20EC7" w:rsidRPr="00543854">
        <w:rPr>
          <w:rFonts w:ascii="Times New Roman" w:hAnsi="Times New Roman" w:cs="Times New Roman"/>
        </w:rPr>
        <w:t xml:space="preserve">Figure </w:t>
      </w:r>
      <w:r w:rsidR="00B20EC7">
        <w:rPr>
          <w:rFonts w:ascii="Times New Roman" w:hAnsi="Times New Roman" w:cs="Times New Roman"/>
          <w:noProof/>
        </w:rPr>
        <w:t>8</w:t>
      </w:r>
      <w:r w:rsidR="00CE2AEE">
        <w:rPr>
          <w:rFonts w:ascii="Times New Roman" w:eastAsia="Calibri" w:hAnsi="Times New Roman" w:cs="Times New Roman"/>
          <w:color w:val="000000" w:themeColor="text1"/>
          <w:szCs w:val="22"/>
        </w:rPr>
        <w:fldChar w:fldCharType="end"/>
      </w:r>
      <w:r w:rsidR="00CE2AEE">
        <w:rPr>
          <w:rFonts w:ascii="Times New Roman" w:eastAsia="Calibri" w:hAnsi="Times New Roman" w:cs="Times New Roman"/>
          <w:color w:val="000000" w:themeColor="text1"/>
          <w:szCs w:val="22"/>
        </w:rPr>
        <w:t xml:space="preserve">). Estimating an index of abundance was not feasible for yelloweye rockfish because the species was not well sampled by the NWFSC Shelf-Slope trawl survey (Taylor and Wetzel, 2011). </w:t>
      </w:r>
    </w:p>
    <w:p w14:paraId="739BA14E" w14:textId="1F50F728" w:rsidR="003E0404" w:rsidRDefault="00BF536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GAMs were fit to </w:t>
      </w:r>
      <w:r w:rsidR="00D51600">
        <w:rPr>
          <w:rFonts w:ascii="Times New Roman" w:eastAsia="Calibri" w:hAnsi="Times New Roman" w:cs="Times New Roman"/>
          <w:color w:val="000000" w:themeColor="text1"/>
          <w:szCs w:val="22"/>
        </w:rPr>
        <w:t>34</w:t>
      </w:r>
      <w:r w:rsidR="00844B73">
        <w:rPr>
          <w:rFonts w:ascii="Times New Roman" w:eastAsia="Calibri" w:hAnsi="Times New Roman" w:cs="Times New Roman"/>
          <w:color w:val="000000" w:themeColor="text1"/>
          <w:szCs w:val="22"/>
        </w:rPr>
        <w:t xml:space="preserve"> observations </w:t>
      </w:r>
      <w:r w:rsidR="00FA26F3">
        <w:rPr>
          <w:rFonts w:ascii="Times New Roman" w:eastAsia="Calibri" w:hAnsi="Times New Roman" w:cs="Times New Roman"/>
          <w:color w:val="000000" w:themeColor="text1"/>
          <w:szCs w:val="22"/>
        </w:rPr>
        <w:t>from</w:t>
      </w:r>
      <w:r w:rsidR="00844B73">
        <w:rPr>
          <w:rFonts w:ascii="Times New Roman" w:eastAsia="Calibri" w:hAnsi="Times New Roman" w:cs="Times New Roman"/>
          <w:color w:val="000000" w:themeColor="text1"/>
          <w:szCs w:val="22"/>
        </w:rPr>
        <w:t xml:space="preserve"> eight port groups </w:t>
      </w:r>
      <w:r w:rsidR="00FA26F3">
        <w:rPr>
          <w:rFonts w:ascii="Times New Roman" w:eastAsia="Calibri" w:hAnsi="Times New Roman" w:cs="Times New Roman"/>
          <w:color w:val="000000" w:themeColor="text1"/>
          <w:szCs w:val="22"/>
        </w:rPr>
        <w:t>between</w:t>
      </w:r>
      <w:r w:rsidR="00844B73">
        <w:rPr>
          <w:rFonts w:ascii="Times New Roman" w:eastAsia="Calibri" w:hAnsi="Times New Roman" w:cs="Times New Roman"/>
          <w:color w:val="000000" w:themeColor="text1"/>
          <w:szCs w:val="22"/>
        </w:rPr>
        <w:t xml:space="preserve"> 2009 </w:t>
      </w:r>
      <w:r w:rsidR="00FA26F3">
        <w:rPr>
          <w:rFonts w:ascii="Times New Roman" w:eastAsia="Calibri" w:hAnsi="Times New Roman" w:cs="Times New Roman"/>
          <w:color w:val="000000" w:themeColor="text1"/>
          <w:szCs w:val="22"/>
        </w:rPr>
        <w:t>and</w:t>
      </w:r>
      <w:r w:rsidR="00844B73">
        <w:rPr>
          <w:rFonts w:ascii="Times New Roman" w:eastAsia="Calibri" w:hAnsi="Times New Roman" w:cs="Times New Roman"/>
          <w:color w:val="000000" w:themeColor="text1"/>
          <w:szCs w:val="22"/>
        </w:rPr>
        <w:t xml:space="preserve"> 2013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_Ref440532125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B20EC7" w:rsidRPr="00272F40">
        <w:rPr>
          <w:rFonts w:ascii="Times New Roman" w:hAnsi="Times New Roman" w:cs="Times New Roman"/>
          <w:color w:val="000000" w:themeColor="text1"/>
          <w:szCs w:val="22"/>
        </w:rPr>
        <w:t xml:space="preserve">Table </w:t>
      </w:r>
      <w:r w:rsidR="00B20EC7">
        <w:rPr>
          <w:rFonts w:ascii="Times New Roman"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sidR="006E7A53">
        <w:rPr>
          <w:rFonts w:ascii="Times New Roman" w:eastAsia="Calibri" w:hAnsi="Times New Roman" w:cs="Times New Roman"/>
          <w:color w:val="000000" w:themeColor="text1"/>
          <w:szCs w:val="22"/>
        </w:rPr>
        <w:t xml:space="preserve">; </w:t>
      </w:r>
      <w:r w:rsidR="006E7A53">
        <w:rPr>
          <w:rFonts w:ascii="Times New Roman" w:eastAsia="Calibri" w:hAnsi="Times New Roman" w:cs="Times New Roman"/>
          <w:color w:val="000000" w:themeColor="text1"/>
          <w:szCs w:val="22"/>
        </w:rPr>
        <w:fldChar w:fldCharType="begin"/>
      </w:r>
      <w:r w:rsidR="006E7A53">
        <w:rPr>
          <w:rFonts w:ascii="Times New Roman" w:eastAsia="Calibri" w:hAnsi="Times New Roman" w:cs="Times New Roman"/>
          <w:color w:val="000000" w:themeColor="text1"/>
          <w:szCs w:val="22"/>
        </w:rPr>
        <w:instrText xml:space="preserve"> REF _Ref441647075 \h </w:instrText>
      </w:r>
      <w:r w:rsidR="006E7A53">
        <w:rPr>
          <w:rFonts w:ascii="Times New Roman" w:eastAsia="Calibri" w:hAnsi="Times New Roman" w:cs="Times New Roman"/>
          <w:color w:val="000000" w:themeColor="text1"/>
          <w:szCs w:val="22"/>
        </w:rPr>
      </w:r>
      <w:r w:rsidR="006E7A53">
        <w:rPr>
          <w:rFonts w:ascii="Times New Roman" w:eastAsia="Calibri" w:hAnsi="Times New Roman" w:cs="Times New Roman"/>
          <w:color w:val="000000" w:themeColor="text1"/>
          <w:szCs w:val="22"/>
        </w:rPr>
        <w:fldChar w:fldCharType="separate"/>
      </w:r>
      <w:r w:rsidR="00B20EC7">
        <w:rPr>
          <w:rFonts w:ascii="Times New Roman" w:hAnsi="Times New Roman" w:cs="Times New Roman"/>
          <w:iCs/>
          <w:color w:val="000000" w:themeColor="text1"/>
          <w:szCs w:val="18"/>
        </w:rPr>
        <w:t xml:space="preserve">Figure </w:t>
      </w:r>
      <w:r w:rsidR="00B20EC7">
        <w:rPr>
          <w:rFonts w:ascii="Times New Roman" w:hAnsi="Times New Roman" w:cs="Times New Roman"/>
          <w:iCs/>
          <w:noProof/>
          <w:color w:val="000000" w:themeColor="text1"/>
          <w:szCs w:val="18"/>
        </w:rPr>
        <w:t>7</w:t>
      </w:r>
      <w:r w:rsidR="006E7A53">
        <w:rPr>
          <w:rFonts w:ascii="Times New Roman" w:eastAsia="Calibri" w:hAnsi="Times New Roman" w:cs="Times New Roman"/>
          <w:color w:val="000000" w:themeColor="text1"/>
          <w:szCs w:val="22"/>
        </w:rPr>
        <w:fldChar w:fldCharType="end"/>
      </w:r>
      <w:r w:rsidR="00844B73">
        <w:rPr>
          <w:rFonts w:ascii="Times New Roman" w:eastAsia="Calibri" w:hAnsi="Times New Roman" w:cs="Times New Roman"/>
          <w:color w:val="000000" w:themeColor="text1"/>
          <w:szCs w:val="22"/>
        </w:rPr>
        <w:t xml:space="preserve">). </w:t>
      </w:r>
      <w:r w:rsidR="0063382B">
        <w:rPr>
          <w:rFonts w:ascii="Times New Roman" w:eastAsia="Calibri" w:hAnsi="Times New Roman" w:cs="Times New Roman"/>
          <w:color w:val="000000" w:themeColor="text1"/>
          <w:szCs w:val="22"/>
        </w:rPr>
        <w:t>All port groups reported landings of sablefish caught within the US West Coast LE trawl sector using trawl gear during this time but o</w:t>
      </w:r>
      <w:r>
        <w:rPr>
          <w:rFonts w:ascii="Times New Roman" w:eastAsia="Calibri" w:hAnsi="Times New Roman" w:cs="Times New Roman"/>
          <w:color w:val="000000" w:themeColor="text1"/>
          <w:szCs w:val="22"/>
        </w:rPr>
        <w:t xml:space="preserve">nly two port groups, Astoria and Tillamook and </w:t>
      </w:r>
      <w:r w:rsidRPr="00272F40">
        <w:rPr>
          <w:rFonts w:ascii="Times New Roman" w:hAnsi="Times New Roman" w:cs="Times New Roman"/>
          <w:szCs w:val="22"/>
        </w:rPr>
        <w:t xml:space="preserve">Brookings </w:t>
      </w:r>
      <w:r>
        <w:rPr>
          <w:rFonts w:ascii="Times New Roman" w:hAnsi="Times New Roman" w:cs="Times New Roman"/>
          <w:szCs w:val="22"/>
        </w:rPr>
        <w:t>and</w:t>
      </w:r>
      <w:r w:rsidRPr="00272F40">
        <w:rPr>
          <w:rFonts w:ascii="Times New Roman" w:hAnsi="Times New Roman" w:cs="Times New Roman"/>
          <w:szCs w:val="22"/>
        </w:rPr>
        <w:t xml:space="preserve"> Crescent City</w:t>
      </w:r>
      <w:r>
        <w:rPr>
          <w:rFonts w:ascii="Times New Roman" w:hAnsi="Times New Roman" w:cs="Times New Roman"/>
          <w:szCs w:val="22"/>
        </w:rPr>
        <w:t xml:space="preserve">, </w:t>
      </w:r>
      <w:r w:rsidR="0063382B">
        <w:rPr>
          <w:rFonts w:ascii="Times New Roman" w:hAnsi="Times New Roman" w:cs="Times New Roman"/>
          <w:szCs w:val="22"/>
        </w:rPr>
        <w:t>provided</w:t>
      </w:r>
      <w:r>
        <w:rPr>
          <w:rFonts w:ascii="Times New Roman" w:hAnsi="Times New Roman" w:cs="Times New Roman"/>
          <w:szCs w:val="22"/>
        </w:rPr>
        <w:t xml:space="preserve"> data for all five years. </w:t>
      </w:r>
      <w:r w:rsidR="0063382B">
        <w:rPr>
          <w:rFonts w:ascii="Times New Roman" w:hAnsi="Times New Roman" w:cs="Times New Roman"/>
          <w:szCs w:val="22"/>
        </w:rPr>
        <w:t xml:space="preserve">Additionally, all port groups reported landings of sablefish caught within the US West Coast LE trawl sector using fixed gear after the implementation of catch shares (2011), but only one port group, Astoria and Tillamook, provided data for all three years. </w:t>
      </w:r>
      <w:r w:rsidR="006E7A53">
        <w:rPr>
          <w:rFonts w:ascii="Times New Roman" w:hAnsi="Times New Roman" w:cs="Times New Roman"/>
          <w:szCs w:val="22"/>
        </w:rPr>
        <w:t xml:space="preserve">Data were available from the port group Monterey and Morro Bay for every year </w:t>
      </w:r>
      <w:r w:rsidR="00896C6E">
        <w:rPr>
          <w:rFonts w:ascii="Times New Roman" w:hAnsi="Times New Roman" w:cs="Times New Roman"/>
          <w:szCs w:val="22"/>
        </w:rPr>
        <w:t>by</w:t>
      </w:r>
      <w:r w:rsidR="006E7A53">
        <w:rPr>
          <w:rFonts w:ascii="Times New Roman" w:hAnsi="Times New Roman" w:cs="Times New Roman"/>
          <w:szCs w:val="22"/>
        </w:rPr>
        <w:t xml:space="preserve"> gear combination except for trawl gear in 2010</w:t>
      </w:r>
      <w:r w:rsidR="00896C6E">
        <w:rPr>
          <w:rFonts w:ascii="Times New Roman" w:hAnsi="Times New Roman" w:cs="Times New Roman"/>
          <w:szCs w:val="22"/>
        </w:rPr>
        <w:t>,</w:t>
      </w:r>
      <w:r w:rsidR="006E7A53">
        <w:rPr>
          <w:rFonts w:ascii="Times New Roman" w:hAnsi="Times New Roman" w:cs="Times New Roman"/>
          <w:szCs w:val="22"/>
        </w:rPr>
        <w:t xml:space="preserve"> but the</w:t>
      </w:r>
      <w:r w:rsidR="00896C6E">
        <w:rPr>
          <w:rFonts w:ascii="Times New Roman" w:hAnsi="Times New Roman" w:cs="Times New Roman"/>
          <w:szCs w:val="22"/>
        </w:rPr>
        <w:t xml:space="preserve"> port group was </w:t>
      </w:r>
      <w:r w:rsidR="006E7A53">
        <w:rPr>
          <w:rFonts w:ascii="Times New Roman" w:hAnsi="Times New Roman" w:cs="Times New Roman"/>
          <w:szCs w:val="22"/>
        </w:rPr>
        <w:t xml:space="preserve">not included in the analysis because the ports </w:t>
      </w:r>
      <w:r w:rsidR="00896C6E">
        <w:rPr>
          <w:rFonts w:ascii="Times New Roman" w:hAnsi="Times New Roman" w:cs="Times New Roman"/>
          <w:szCs w:val="22"/>
        </w:rPr>
        <w:t xml:space="preserve">included in the group </w:t>
      </w:r>
      <w:r w:rsidR="006E7A53">
        <w:rPr>
          <w:rFonts w:ascii="Times New Roman" w:hAnsi="Times New Roman" w:cs="Times New Roman"/>
          <w:szCs w:val="22"/>
        </w:rPr>
        <w:t xml:space="preserve">span the north south management line </w:t>
      </w:r>
      <w:r w:rsidR="00896C6E">
        <w:rPr>
          <w:rFonts w:ascii="Times New Roman" w:hAnsi="Times New Roman" w:cs="Times New Roman"/>
          <w:szCs w:val="22"/>
        </w:rPr>
        <w:t xml:space="preserve">(36°N latitude) </w:t>
      </w:r>
      <w:r w:rsidR="006E7A53">
        <w:rPr>
          <w:rFonts w:ascii="Times New Roman" w:hAnsi="Times New Roman" w:cs="Times New Roman"/>
          <w:szCs w:val="22"/>
        </w:rPr>
        <w:t>used for sablefish.</w:t>
      </w:r>
    </w:p>
    <w:p w14:paraId="6060D88F" w14:textId="5875C5CD" w:rsidR="0061208B" w:rsidRDefault="00BF5369" w:rsidP="00C61400">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Eighteen</w:t>
      </w:r>
      <w:r w:rsidR="0020013B">
        <w:rPr>
          <w:rFonts w:ascii="Times New Roman" w:eastAsia="Calibri" w:hAnsi="Times New Roman" w:cs="Times New Roman"/>
          <w:color w:val="000000" w:themeColor="text1"/>
          <w:szCs w:val="22"/>
        </w:rPr>
        <w:t xml:space="preserve"> fixed effect </w:t>
      </w:r>
      <w:r w:rsidR="0023266C">
        <w:rPr>
          <w:rFonts w:ascii="Times New Roman" w:eastAsia="Calibri" w:hAnsi="Times New Roman" w:cs="Times New Roman"/>
          <w:color w:val="000000" w:themeColor="text1"/>
          <w:szCs w:val="22"/>
        </w:rPr>
        <w:t xml:space="preserve">variables </w:t>
      </w:r>
      <w:r w:rsidR="0020013B">
        <w:rPr>
          <w:rFonts w:ascii="Times New Roman" w:eastAsia="Calibri" w:hAnsi="Times New Roman" w:cs="Times New Roman"/>
          <w:color w:val="000000" w:themeColor="text1"/>
          <w:szCs w:val="22"/>
        </w:rPr>
        <w:t>(</w:t>
      </w:r>
      <w:r w:rsidR="0020013B">
        <w:rPr>
          <w:rFonts w:ascii="Times New Roman" w:eastAsia="Calibri" w:hAnsi="Times New Roman" w:cs="Times New Roman"/>
          <w:color w:val="000000" w:themeColor="text1"/>
          <w:szCs w:val="22"/>
        </w:rPr>
        <w:fldChar w:fldCharType="begin"/>
      </w:r>
      <w:r w:rsidR="0020013B">
        <w:rPr>
          <w:rFonts w:ascii="Times New Roman" w:eastAsia="Calibri" w:hAnsi="Times New Roman" w:cs="Times New Roman"/>
          <w:color w:val="000000" w:themeColor="text1"/>
          <w:szCs w:val="22"/>
        </w:rPr>
        <w:instrText xml:space="preserve"> REF _Ref439230428 \h </w:instrText>
      </w:r>
      <w:r w:rsidR="00145B28">
        <w:rPr>
          <w:rFonts w:ascii="Times New Roman" w:eastAsia="Calibri" w:hAnsi="Times New Roman" w:cs="Times New Roman"/>
          <w:color w:val="000000" w:themeColor="text1"/>
          <w:szCs w:val="22"/>
        </w:rPr>
        <w:instrText xml:space="preserve"> \* MERGEFORMAT </w:instrText>
      </w:r>
      <w:r w:rsidR="0020013B">
        <w:rPr>
          <w:rFonts w:ascii="Times New Roman" w:eastAsia="Calibri" w:hAnsi="Times New Roman" w:cs="Times New Roman"/>
          <w:color w:val="000000" w:themeColor="text1"/>
          <w:szCs w:val="22"/>
        </w:rPr>
      </w:r>
      <w:r w:rsidR="0020013B">
        <w:rPr>
          <w:rFonts w:ascii="Times New Roman" w:eastAsia="Calibri" w:hAnsi="Times New Roman" w:cs="Times New Roman"/>
          <w:color w:val="000000" w:themeColor="text1"/>
          <w:szCs w:val="22"/>
        </w:rPr>
        <w:fldChar w:fldCharType="separate"/>
      </w:r>
      <w:r w:rsidR="00B20EC7" w:rsidRPr="00A90939">
        <w:rPr>
          <w:rFonts w:ascii="Times New Roman" w:hAnsi="Times New Roman" w:cs="Times New Roman"/>
          <w:color w:val="000000" w:themeColor="text1"/>
          <w:szCs w:val="22"/>
        </w:rPr>
        <w:t xml:space="preserve">Table </w:t>
      </w:r>
      <w:r w:rsidR="00B20EC7">
        <w:rPr>
          <w:rFonts w:ascii="Times New Roman" w:hAnsi="Times New Roman" w:cs="Times New Roman"/>
          <w:noProof/>
          <w:color w:val="000000" w:themeColor="text1"/>
          <w:szCs w:val="22"/>
        </w:rPr>
        <w:t>2</w:t>
      </w:r>
      <w:r w:rsidR="0020013B">
        <w:rPr>
          <w:rFonts w:ascii="Times New Roman" w:eastAsia="Calibri" w:hAnsi="Times New Roman" w:cs="Times New Roman"/>
          <w:color w:val="000000" w:themeColor="text1"/>
          <w:szCs w:val="22"/>
        </w:rPr>
        <w:fldChar w:fldCharType="end"/>
      </w:r>
      <w:r w:rsidR="0020013B">
        <w:rPr>
          <w:rFonts w:ascii="Times New Roman" w:eastAsia="Calibri" w:hAnsi="Times New Roman" w:cs="Times New Roman"/>
          <w:color w:val="000000" w:themeColor="text1"/>
          <w:szCs w:val="22"/>
        </w:rPr>
        <w:t>) and one random effect variable (year)</w:t>
      </w:r>
      <w:r w:rsidR="00B320AF">
        <w:rPr>
          <w:rFonts w:ascii="Times New Roman" w:eastAsia="Calibri" w:hAnsi="Times New Roman" w:cs="Times New Roman"/>
          <w:color w:val="000000" w:themeColor="text1"/>
          <w:szCs w:val="22"/>
        </w:rPr>
        <w:t xml:space="preserve"> were tested for their ability to predict trends in attainment</w:t>
      </w:r>
      <w:r w:rsidR="0020013B">
        <w:rPr>
          <w:rFonts w:ascii="Times New Roman" w:eastAsia="Calibri" w:hAnsi="Times New Roman" w:cs="Times New Roman"/>
          <w:color w:val="000000" w:themeColor="text1"/>
          <w:szCs w:val="22"/>
        </w:rPr>
        <w:t xml:space="preserve">. </w:t>
      </w:r>
      <w:r w:rsidR="00B320AF">
        <w:rPr>
          <w:rFonts w:ascii="Times New Roman" w:eastAsia="Calibri" w:hAnsi="Times New Roman" w:cs="Times New Roman"/>
          <w:color w:val="000000" w:themeColor="text1"/>
          <w:szCs w:val="22"/>
        </w:rPr>
        <w:t xml:space="preserve">Variable selection was performed during the model fitting process, eliminating the need to run multiple models and perform model selection. </w:t>
      </w:r>
      <w:r w:rsidR="00C61400">
        <w:rPr>
          <w:rFonts w:ascii="Times New Roman" w:eastAsia="Calibri" w:hAnsi="Times New Roman" w:cs="Times New Roman"/>
          <w:color w:val="000000" w:themeColor="text1"/>
          <w:szCs w:val="22"/>
        </w:rPr>
        <w:t>Two</w:t>
      </w:r>
      <w:r w:rsidR="005B7A37">
        <w:rPr>
          <w:rFonts w:ascii="Times New Roman" w:eastAsia="Calibri" w:hAnsi="Times New Roman" w:cs="Times New Roman"/>
          <w:color w:val="000000" w:themeColor="text1"/>
          <w:szCs w:val="22"/>
        </w:rPr>
        <w:t xml:space="preserve"> fixed effects were selected</w:t>
      </w:r>
      <w:r w:rsidR="00B320AF">
        <w:rPr>
          <w:rFonts w:ascii="Times New Roman" w:eastAsia="Calibri" w:hAnsi="Times New Roman" w:cs="Times New Roman"/>
          <w:color w:val="000000" w:themeColor="text1"/>
          <w:szCs w:val="22"/>
        </w:rPr>
        <w:t xml:space="preserve"> for the relationship between the mean and predictor variables</w:t>
      </w:r>
      <w:r w:rsidR="00C61400">
        <w:rPr>
          <w:rFonts w:ascii="Times New Roman" w:eastAsia="Calibri" w:hAnsi="Times New Roman" w:cs="Times New Roman"/>
          <w:color w:val="000000" w:themeColor="text1"/>
          <w:szCs w:val="22"/>
        </w:rPr>
        <w:t>: port group and</w:t>
      </w:r>
      <w:r w:rsidR="005B7A37">
        <w:rPr>
          <w:rFonts w:ascii="Times New Roman" w:eastAsia="Calibri" w:hAnsi="Times New Roman" w:cs="Times New Roman"/>
          <w:color w:val="000000" w:themeColor="text1"/>
          <w:szCs w:val="22"/>
        </w:rPr>
        <w:t xml:space="preserve"> </w:t>
      </w:r>
      <w:r w:rsidR="00B320AF">
        <w:rPr>
          <w:rFonts w:ascii="Times New Roman" w:eastAsia="Calibri" w:hAnsi="Times New Roman" w:cs="Times New Roman"/>
          <w:color w:val="000000" w:themeColor="text1"/>
          <w:szCs w:val="22"/>
        </w:rPr>
        <w:t>number of vessels</w:t>
      </w:r>
      <w:r w:rsidR="005B7A37">
        <w:rPr>
          <w:rFonts w:ascii="Times New Roman" w:eastAsia="Calibri" w:hAnsi="Times New Roman" w:cs="Times New Roman"/>
          <w:color w:val="000000" w:themeColor="text1"/>
          <w:szCs w:val="22"/>
        </w:rPr>
        <w:t xml:space="preserve">. </w:t>
      </w:r>
      <w:r w:rsidR="00C61400">
        <w:rPr>
          <w:rFonts w:ascii="Times New Roman" w:eastAsia="Calibri" w:hAnsi="Times New Roman" w:cs="Times New Roman"/>
          <w:color w:val="000000" w:themeColor="text1"/>
          <w:szCs w:val="22"/>
        </w:rPr>
        <w:t>A l</w:t>
      </w:r>
      <w:r w:rsidR="0023266C">
        <w:rPr>
          <w:rFonts w:ascii="Times New Roman" w:eastAsia="Calibri" w:hAnsi="Times New Roman" w:cs="Times New Roman"/>
          <w:color w:val="000000" w:themeColor="text1"/>
          <w:szCs w:val="22"/>
        </w:rPr>
        <w:t>inear r</w:t>
      </w:r>
      <w:r w:rsidR="005B7A37">
        <w:rPr>
          <w:rFonts w:ascii="Times New Roman" w:eastAsia="Calibri" w:hAnsi="Times New Roman" w:cs="Times New Roman"/>
          <w:color w:val="000000" w:themeColor="text1"/>
          <w:szCs w:val="22"/>
        </w:rPr>
        <w:t>elation</w:t>
      </w:r>
      <w:r w:rsidR="00FC24A8">
        <w:rPr>
          <w:rFonts w:ascii="Times New Roman" w:eastAsia="Calibri" w:hAnsi="Times New Roman" w:cs="Times New Roman"/>
          <w:color w:val="000000" w:themeColor="text1"/>
          <w:szCs w:val="22"/>
        </w:rPr>
        <w:t xml:space="preserve">ship </w:t>
      </w:r>
      <w:r w:rsidR="0023266C">
        <w:rPr>
          <w:rFonts w:ascii="Times New Roman" w:eastAsia="Calibri" w:hAnsi="Times New Roman" w:cs="Times New Roman"/>
          <w:color w:val="000000" w:themeColor="text1"/>
          <w:szCs w:val="22"/>
        </w:rPr>
        <w:t>w</w:t>
      </w:r>
      <w:r w:rsidR="00C61400">
        <w:rPr>
          <w:rFonts w:ascii="Times New Roman" w:eastAsia="Calibri" w:hAnsi="Times New Roman" w:cs="Times New Roman"/>
          <w:color w:val="000000" w:themeColor="text1"/>
          <w:szCs w:val="22"/>
        </w:rPr>
        <w:t>as</w:t>
      </w:r>
      <w:r w:rsidR="0023266C">
        <w:rPr>
          <w:rFonts w:ascii="Times New Roman" w:eastAsia="Calibri" w:hAnsi="Times New Roman" w:cs="Times New Roman"/>
          <w:color w:val="000000" w:themeColor="text1"/>
          <w:szCs w:val="22"/>
        </w:rPr>
        <w:t xml:space="preserve"> estimated </w:t>
      </w:r>
      <w:r w:rsidR="00FC24A8">
        <w:rPr>
          <w:rFonts w:ascii="Times New Roman" w:eastAsia="Calibri" w:hAnsi="Times New Roman" w:cs="Times New Roman"/>
          <w:color w:val="000000" w:themeColor="text1"/>
          <w:szCs w:val="22"/>
        </w:rPr>
        <w:t xml:space="preserve">for </w:t>
      </w:r>
      <w:r w:rsidR="00B320AF">
        <w:rPr>
          <w:rFonts w:ascii="Times New Roman" w:eastAsia="Calibri" w:hAnsi="Times New Roman" w:cs="Times New Roman"/>
          <w:color w:val="000000" w:themeColor="text1"/>
          <w:szCs w:val="22"/>
        </w:rPr>
        <w:t xml:space="preserve">the </w:t>
      </w:r>
      <w:r w:rsidR="00BA12FD">
        <w:rPr>
          <w:rFonts w:ascii="Times New Roman" w:eastAsia="Calibri" w:hAnsi="Times New Roman" w:cs="Times New Roman"/>
          <w:color w:val="000000" w:themeColor="text1"/>
          <w:szCs w:val="22"/>
        </w:rPr>
        <w:t xml:space="preserve">relationship between attainment and </w:t>
      </w:r>
      <w:r w:rsidR="00B320AF">
        <w:rPr>
          <w:rFonts w:ascii="Times New Roman" w:eastAsia="Calibri" w:hAnsi="Times New Roman" w:cs="Times New Roman"/>
          <w:color w:val="000000" w:themeColor="text1"/>
          <w:szCs w:val="22"/>
        </w:rPr>
        <w:t>number of vessels (slope = 0.03)</w:t>
      </w:r>
      <w:r w:rsidR="00FC24A8">
        <w:rPr>
          <w:rFonts w:ascii="Times New Roman" w:eastAsia="Calibri" w:hAnsi="Times New Roman" w:cs="Times New Roman"/>
          <w:color w:val="000000" w:themeColor="text1"/>
          <w:szCs w:val="22"/>
        </w:rPr>
        <w:t>.</w:t>
      </w:r>
      <w:r w:rsidR="005B7A37">
        <w:rPr>
          <w:rFonts w:ascii="Times New Roman" w:eastAsia="Calibri" w:hAnsi="Times New Roman" w:cs="Times New Roman"/>
          <w:color w:val="000000" w:themeColor="text1"/>
          <w:szCs w:val="22"/>
        </w:rPr>
        <w:t xml:space="preserve"> </w:t>
      </w:r>
      <w:r w:rsidR="001F5E9D">
        <w:rPr>
          <w:rFonts w:ascii="Times New Roman" w:eastAsia="Calibri" w:hAnsi="Times New Roman" w:cs="Times New Roman"/>
          <w:color w:val="000000" w:themeColor="text1"/>
          <w:szCs w:val="22"/>
        </w:rPr>
        <w:t xml:space="preserve">San Francisco and Bodega Bay </w:t>
      </w:r>
      <w:r w:rsidR="00381DC0">
        <w:rPr>
          <w:rFonts w:ascii="Times New Roman" w:eastAsia="Calibri" w:hAnsi="Times New Roman" w:cs="Times New Roman"/>
          <w:color w:val="000000" w:themeColor="text1"/>
          <w:szCs w:val="22"/>
        </w:rPr>
        <w:t xml:space="preserve">had </w:t>
      </w:r>
      <w:r w:rsidR="00C61400">
        <w:rPr>
          <w:rFonts w:ascii="Times New Roman" w:eastAsia="Calibri" w:hAnsi="Times New Roman" w:cs="Times New Roman"/>
          <w:color w:val="000000" w:themeColor="text1"/>
          <w:szCs w:val="22"/>
        </w:rPr>
        <w:t xml:space="preserve">an estimated </w:t>
      </w:r>
      <w:r w:rsidR="00381DC0">
        <w:rPr>
          <w:rFonts w:ascii="Times New Roman" w:eastAsia="Calibri" w:hAnsi="Times New Roman" w:cs="Times New Roman"/>
          <w:color w:val="000000" w:themeColor="text1"/>
          <w:szCs w:val="22"/>
        </w:rPr>
        <w:t>mean</w:t>
      </w:r>
      <w:r w:rsidR="0023266C">
        <w:rPr>
          <w:rFonts w:ascii="Times New Roman" w:eastAsia="Calibri" w:hAnsi="Times New Roman" w:cs="Times New Roman"/>
          <w:color w:val="000000" w:themeColor="text1"/>
          <w:szCs w:val="22"/>
        </w:rPr>
        <w:t xml:space="preserve"> </w:t>
      </w:r>
      <w:r w:rsidR="00BA12FD">
        <w:rPr>
          <w:rFonts w:ascii="Times New Roman" w:eastAsia="Calibri" w:hAnsi="Times New Roman" w:cs="Times New Roman"/>
          <w:color w:val="000000" w:themeColor="text1"/>
          <w:szCs w:val="22"/>
        </w:rPr>
        <w:t xml:space="preserve">attainment </w:t>
      </w:r>
      <w:r w:rsidR="001F5E9D">
        <w:rPr>
          <w:rFonts w:ascii="Times New Roman" w:eastAsia="Calibri" w:hAnsi="Times New Roman" w:cs="Times New Roman"/>
          <w:color w:val="000000" w:themeColor="text1"/>
          <w:szCs w:val="22"/>
        </w:rPr>
        <w:t xml:space="preserve">lower </w:t>
      </w:r>
      <w:r w:rsidR="00381DC0">
        <w:rPr>
          <w:rFonts w:ascii="Times New Roman" w:eastAsia="Calibri" w:hAnsi="Times New Roman" w:cs="Times New Roman"/>
          <w:color w:val="000000" w:themeColor="text1"/>
          <w:szCs w:val="22"/>
        </w:rPr>
        <w:t xml:space="preserve">all </w:t>
      </w:r>
      <w:r w:rsidR="001F5E9D">
        <w:rPr>
          <w:rFonts w:ascii="Times New Roman" w:eastAsia="Calibri" w:hAnsi="Times New Roman" w:cs="Times New Roman"/>
          <w:color w:val="000000" w:themeColor="text1"/>
          <w:szCs w:val="22"/>
        </w:rPr>
        <w:t xml:space="preserve">than other port groups </w:t>
      </w:r>
      <w:r w:rsidR="00381DC0">
        <w:rPr>
          <w:rFonts w:ascii="Times New Roman" w:eastAsia="Calibri" w:hAnsi="Times New Roman" w:cs="Times New Roman"/>
          <w:color w:val="000000" w:themeColor="text1"/>
          <w:szCs w:val="22"/>
        </w:rPr>
        <w:t xml:space="preserve">and Astoria and Tillamook had the highest estimate </w:t>
      </w:r>
      <w:r w:rsidR="001F5E9D">
        <w:rPr>
          <w:rFonts w:ascii="Times New Roman" w:eastAsia="Calibri" w:hAnsi="Times New Roman" w:cs="Times New Roman"/>
          <w:color w:val="000000" w:themeColor="text1"/>
          <w:szCs w:val="22"/>
        </w:rPr>
        <w:t>(</w:t>
      </w:r>
      <w:r w:rsidR="00A17B8D">
        <w:rPr>
          <w:rFonts w:ascii="Times New Roman" w:eastAsia="Calibri" w:hAnsi="Times New Roman" w:cs="Times New Roman"/>
          <w:color w:val="000000" w:themeColor="text1"/>
          <w:szCs w:val="22"/>
        </w:rPr>
        <w:fldChar w:fldCharType="begin"/>
      </w:r>
      <w:r w:rsidR="00A17B8D">
        <w:rPr>
          <w:rFonts w:ascii="Times New Roman" w:eastAsia="Calibri" w:hAnsi="Times New Roman" w:cs="Times New Roman"/>
          <w:color w:val="000000" w:themeColor="text1"/>
          <w:szCs w:val="22"/>
        </w:rPr>
        <w:instrText xml:space="preserve"> REF _Ref440553392 \h </w:instrText>
      </w:r>
      <w:r w:rsidR="00145B28">
        <w:rPr>
          <w:rFonts w:ascii="Times New Roman" w:eastAsia="Calibri" w:hAnsi="Times New Roman" w:cs="Times New Roman"/>
          <w:color w:val="000000" w:themeColor="text1"/>
          <w:szCs w:val="22"/>
        </w:rPr>
        <w:instrText xml:space="preserve"> \* MERGEFORMAT </w:instrText>
      </w:r>
      <w:r w:rsidR="00A17B8D">
        <w:rPr>
          <w:rFonts w:ascii="Times New Roman" w:eastAsia="Calibri" w:hAnsi="Times New Roman" w:cs="Times New Roman"/>
          <w:color w:val="000000" w:themeColor="text1"/>
          <w:szCs w:val="22"/>
        </w:rPr>
      </w:r>
      <w:r w:rsidR="00A17B8D">
        <w:rPr>
          <w:rFonts w:ascii="Times New Roman" w:eastAsia="Calibri" w:hAnsi="Times New Roman" w:cs="Times New Roman"/>
          <w:color w:val="000000" w:themeColor="text1"/>
          <w:szCs w:val="22"/>
        </w:rPr>
        <w:fldChar w:fldCharType="separate"/>
      </w:r>
      <w:r w:rsidR="00B20EC7">
        <w:rPr>
          <w:rFonts w:ascii="Times New Roman" w:hAnsi="Times New Roman" w:cs="Times New Roman"/>
          <w:color w:val="000000" w:themeColor="text1"/>
          <w:szCs w:val="22"/>
        </w:rPr>
        <w:t xml:space="preserve">Table </w:t>
      </w:r>
      <w:r w:rsidR="00B20EC7">
        <w:rPr>
          <w:rFonts w:ascii="Times New Roman" w:hAnsi="Times New Roman" w:cs="Times New Roman"/>
          <w:noProof/>
          <w:color w:val="000000" w:themeColor="text1"/>
          <w:szCs w:val="22"/>
        </w:rPr>
        <w:t>4</w:t>
      </w:r>
      <w:r w:rsidR="00A17B8D">
        <w:rPr>
          <w:rFonts w:ascii="Times New Roman" w:eastAsia="Calibri" w:hAnsi="Times New Roman" w:cs="Times New Roman"/>
          <w:color w:val="000000" w:themeColor="text1"/>
          <w:szCs w:val="22"/>
        </w:rPr>
        <w:fldChar w:fldCharType="end"/>
      </w:r>
      <w:r w:rsidR="001F5E9D">
        <w:rPr>
          <w:rFonts w:ascii="Times New Roman" w:eastAsia="Calibri" w:hAnsi="Times New Roman" w:cs="Times New Roman"/>
          <w:color w:val="000000" w:themeColor="text1"/>
          <w:szCs w:val="22"/>
        </w:rPr>
        <w:t>)</w:t>
      </w:r>
      <w:r w:rsidR="00381DC0">
        <w:rPr>
          <w:rFonts w:ascii="Times New Roman" w:eastAsia="Calibri" w:hAnsi="Times New Roman" w:cs="Times New Roman"/>
          <w:color w:val="000000" w:themeColor="text1"/>
          <w:szCs w:val="22"/>
        </w:rPr>
        <w:t xml:space="preserve">. Port group </w:t>
      </w:r>
      <w:r w:rsidR="00C61400">
        <w:rPr>
          <w:rFonts w:ascii="Times New Roman" w:eastAsia="Calibri" w:hAnsi="Times New Roman" w:cs="Times New Roman"/>
          <w:color w:val="000000" w:themeColor="text1"/>
          <w:szCs w:val="22"/>
        </w:rPr>
        <w:t xml:space="preserve">and crew size (non-linear with 3 </w:t>
      </w:r>
      <w:r w:rsidR="00C61400">
        <w:rPr>
          <w:rFonts w:ascii="Times New Roman" w:eastAsia="Calibri" w:hAnsi="Times New Roman" w:cs="Times New Roman"/>
          <w:color w:val="000000" w:themeColor="text1"/>
          <w:szCs w:val="22"/>
        </w:rPr>
        <w:lastRenderedPageBreak/>
        <w:t>degrees of freedom) were cho</w:t>
      </w:r>
      <w:r w:rsidR="00381DC0">
        <w:rPr>
          <w:rFonts w:ascii="Times New Roman" w:eastAsia="Calibri" w:hAnsi="Times New Roman" w:cs="Times New Roman"/>
          <w:color w:val="000000" w:themeColor="text1"/>
          <w:szCs w:val="22"/>
        </w:rPr>
        <w:t>sen for the relationship between predictors and</w:t>
      </w:r>
      <w:r w:rsidR="00BA12FD">
        <w:rPr>
          <w:rFonts w:ascii="Times New Roman" w:eastAsia="Calibri" w:hAnsi="Times New Roman" w:cs="Times New Roman"/>
          <w:color w:val="000000" w:themeColor="text1"/>
          <w:szCs w:val="22"/>
        </w:rPr>
        <w:t xml:space="preserve"> the </w:t>
      </w:r>
      <w:r w:rsidR="00381DC0">
        <w:rPr>
          <w:rFonts w:ascii="Times New Roman" w:eastAsia="Calibri" w:hAnsi="Times New Roman" w:cs="Times New Roman"/>
          <w:color w:val="000000" w:themeColor="text1"/>
          <w:szCs w:val="22"/>
        </w:rPr>
        <w:t xml:space="preserve">precision </w:t>
      </w:r>
      <w:r w:rsidR="00BA12FD">
        <w:rPr>
          <w:rFonts w:ascii="Times New Roman" w:eastAsia="Calibri" w:hAnsi="Times New Roman" w:cs="Times New Roman"/>
          <w:color w:val="000000" w:themeColor="text1"/>
          <w:szCs w:val="22"/>
        </w:rPr>
        <w:t xml:space="preserve">parameter </w:t>
      </w:r>
      <w:r w:rsidR="00381DC0">
        <w:rPr>
          <w:rFonts w:ascii="Times New Roman" w:eastAsia="Calibri" w:hAnsi="Times New Roman" w:cs="Times New Roman"/>
          <w:color w:val="000000" w:themeColor="text1"/>
          <w:szCs w:val="22"/>
        </w:rPr>
        <w:t>(</w:t>
      </w:r>
      <w:r w:rsidR="00381DC0">
        <w:rPr>
          <w:rFonts w:ascii="Times New Roman" w:eastAsia="Calibri" w:hAnsi="Times New Roman" w:cs="Times New Roman"/>
          <w:color w:val="000000" w:themeColor="text1"/>
          <w:szCs w:val="22"/>
        </w:rPr>
        <w:fldChar w:fldCharType="begin"/>
      </w:r>
      <w:r w:rsidR="00381DC0">
        <w:rPr>
          <w:rFonts w:ascii="Times New Roman" w:eastAsia="Calibri" w:hAnsi="Times New Roman" w:cs="Times New Roman"/>
          <w:color w:val="000000" w:themeColor="text1"/>
          <w:szCs w:val="22"/>
        </w:rPr>
        <w:instrText xml:space="preserve"> REF _Ref440553392 \h </w:instrText>
      </w:r>
      <w:r w:rsidR="00145B28">
        <w:rPr>
          <w:rFonts w:ascii="Times New Roman" w:eastAsia="Calibri" w:hAnsi="Times New Roman" w:cs="Times New Roman"/>
          <w:color w:val="000000" w:themeColor="text1"/>
          <w:szCs w:val="22"/>
        </w:rPr>
        <w:instrText xml:space="preserve"> \* MERGEFORMAT </w:instrText>
      </w:r>
      <w:r w:rsidR="00381DC0">
        <w:rPr>
          <w:rFonts w:ascii="Times New Roman" w:eastAsia="Calibri" w:hAnsi="Times New Roman" w:cs="Times New Roman"/>
          <w:color w:val="000000" w:themeColor="text1"/>
          <w:szCs w:val="22"/>
        </w:rPr>
      </w:r>
      <w:r w:rsidR="00381DC0">
        <w:rPr>
          <w:rFonts w:ascii="Times New Roman" w:eastAsia="Calibri" w:hAnsi="Times New Roman" w:cs="Times New Roman"/>
          <w:color w:val="000000" w:themeColor="text1"/>
          <w:szCs w:val="22"/>
        </w:rPr>
        <w:fldChar w:fldCharType="separate"/>
      </w:r>
      <w:r w:rsidR="00B20EC7">
        <w:rPr>
          <w:rFonts w:ascii="Times New Roman" w:hAnsi="Times New Roman" w:cs="Times New Roman"/>
          <w:color w:val="000000" w:themeColor="text1"/>
          <w:szCs w:val="22"/>
        </w:rPr>
        <w:t xml:space="preserve">Table </w:t>
      </w:r>
      <w:r w:rsidR="00B20EC7">
        <w:rPr>
          <w:rFonts w:ascii="Times New Roman" w:hAnsi="Times New Roman" w:cs="Times New Roman"/>
          <w:noProof/>
          <w:color w:val="000000" w:themeColor="text1"/>
          <w:szCs w:val="22"/>
        </w:rPr>
        <w:t>4</w:t>
      </w:r>
      <w:r w:rsidR="00381DC0">
        <w:rPr>
          <w:rFonts w:ascii="Times New Roman" w:eastAsia="Calibri" w:hAnsi="Times New Roman" w:cs="Times New Roman"/>
          <w:color w:val="000000" w:themeColor="text1"/>
          <w:szCs w:val="22"/>
        </w:rPr>
        <w:fldChar w:fldCharType="end"/>
      </w:r>
      <w:r w:rsidR="00C61400">
        <w:rPr>
          <w:rFonts w:ascii="Times New Roman" w:eastAsia="Calibri" w:hAnsi="Times New Roman" w:cs="Times New Roman"/>
          <w:color w:val="000000" w:themeColor="text1"/>
          <w:szCs w:val="22"/>
        </w:rPr>
        <w:t xml:space="preserve">; </w:t>
      </w:r>
      <w:r w:rsidR="00C61400">
        <w:rPr>
          <w:rFonts w:ascii="Times New Roman" w:eastAsia="Calibri" w:hAnsi="Times New Roman" w:cs="Times New Roman"/>
          <w:color w:val="000000" w:themeColor="text1"/>
          <w:szCs w:val="22"/>
        </w:rPr>
        <w:fldChar w:fldCharType="begin"/>
      </w:r>
      <w:r w:rsidR="00C61400">
        <w:rPr>
          <w:rFonts w:ascii="Times New Roman" w:eastAsia="Calibri" w:hAnsi="Times New Roman" w:cs="Times New Roman"/>
          <w:color w:val="000000" w:themeColor="text1"/>
          <w:szCs w:val="22"/>
        </w:rPr>
        <w:instrText xml:space="preserve"> REF _Ref440555738 \h </w:instrText>
      </w:r>
      <w:r w:rsidR="00C61400">
        <w:rPr>
          <w:rFonts w:ascii="Times New Roman" w:eastAsia="Calibri" w:hAnsi="Times New Roman" w:cs="Times New Roman"/>
          <w:color w:val="000000" w:themeColor="text1"/>
          <w:szCs w:val="22"/>
        </w:rPr>
      </w:r>
      <w:r w:rsidR="00C61400">
        <w:rPr>
          <w:rFonts w:ascii="Times New Roman" w:eastAsia="Calibri" w:hAnsi="Times New Roman" w:cs="Times New Roman"/>
          <w:color w:val="000000" w:themeColor="text1"/>
          <w:szCs w:val="22"/>
        </w:rPr>
        <w:fldChar w:fldCharType="separate"/>
      </w:r>
      <w:r w:rsidR="00B20EC7" w:rsidRPr="00543854">
        <w:rPr>
          <w:rFonts w:ascii="Times New Roman" w:hAnsi="Times New Roman" w:cs="Times New Roman"/>
        </w:rPr>
        <w:t xml:space="preserve">Figure </w:t>
      </w:r>
      <w:r w:rsidR="00B20EC7">
        <w:rPr>
          <w:rFonts w:ascii="Times New Roman" w:hAnsi="Times New Roman" w:cs="Times New Roman"/>
          <w:noProof/>
        </w:rPr>
        <w:t>9</w:t>
      </w:r>
      <w:r w:rsidR="00C61400">
        <w:rPr>
          <w:rFonts w:ascii="Times New Roman" w:eastAsia="Calibri" w:hAnsi="Times New Roman" w:cs="Times New Roman"/>
          <w:color w:val="000000" w:themeColor="text1"/>
          <w:szCs w:val="22"/>
        </w:rPr>
        <w:fldChar w:fldCharType="end"/>
      </w:r>
      <w:r w:rsidR="00381DC0">
        <w:rPr>
          <w:rFonts w:ascii="Times New Roman" w:eastAsia="Calibri" w:hAnsi="Times New Roman" w:cs="Times New Roman"/>
          <w:color w:val="000000" w:themeColor="text1"/>
          <w:szCs w:val="22"/>
        </w:rPr>
        <w:t>).</w:t>
      </w:r>
      <w:r w:rsidR="00C61400">
        <w:rPr>
          <w:rFonts w:ascii="Times New Roman" w:eastAsia="Calibri" w:hAnsi="Times New Roman" w:cs="Times New Roman"/>
          <w:color w:val="000000" w:themeColor="text1"/>
          <w:szCs w:val="22"/>
        </w:rPr>
        <w:t xml:space="preserve"> Random effects were not included in the model.</w:t>
      </w:r>
      <w:r w:rsidR="00CC7F45">
        <w:rPr>
          <w:rFonts w:ascii="Times New Roman" w:eastAsia="Calibri" w:hAnsi="Times New Roman" w:cs="Times New Roman"/>
          <w:color w:val="000000" w:themeColor="text1"/>
          <w:szCs w:val="22"/>
        </w:rPr>
        <w:t xml:space="preserve"> </w:t>
      </w:r>
    </w:p>
    <w:p w14:paraId="4575B651" w14:textId="77777777" w:rsidR="00EA0AFC" w:rsidRDefault="00EA0AFC" w:rsidP="00145B28">
      <w:pPr>
        <w:spacing w:line="240" w:lineRule="auto"/>
        <w:jc w:val="both"/>
        <w:rPr>
          <w:rFonts w:ascii="Times New Roman" w:eastAsia="Calibri" w:hAnsi="Times New Roman" w:cs="Times New Roman"/>
          <w:color w:val="000000" w:themeColor="text1"/>
          <w:szCs w:val="22"/>
        </w:rPr>
      </w:pPr>
    </w:p>
    <w:bookmarkStart w:id="8" w:name="Discussion"/>
    <w:p w14:paraId="673A038D"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bookmarkEnd w:id="8"/>
      <w:r>
        <w:rPr>
          <w:rFonts w:ascii="Times New Roman" w:eastAsia="Calibri" w:hAnsi="Times New Roman" w:cs="Times New Roman"/>
          <w:color w:val="000000" w:themeColor="text1"/>
          <w:szCs w:val="22"/>
        </w:rPr>
        <w:t xml:space="preserve"> Discussion</w:t>
      </w:r>
    </w:p>
    <w:p w14:paraId="1A595955" w14:textId="73BB0173" w:rsidR="00A5458F" w:rsidRDefault="0060306A" w:rsidP="00A5458F">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w:t>
      </w:r>
      <w:r w:rsidR="00A5458F">
        <w:rPr>
          <w:rFonts w:ascii="Times New Roman" w:eastAsia="Calibri" w:hAnsi="Times New Roman" w:cs="Times New Roman"/>
          <w:color w:val="000000" w:themeColor="text1"/>
          <w:szCs w:val="22"/>
        </w:rPr>
        <w:t xml:space="preserve">anagement </w:t>
      </w:r>
      <w:r>
        <w:rPr>
          <w:rFonts w:ascii="Times New Roman" w:eastAsia="Calibri" w:hAnsi="Times New Roman" w:cs="Times New Roman"/>
          <w:color w:val="000000" w:themeColor="text1"/>
          <w:szCs w:val="22"/>
        </w:rPr>
        <w:t xml:space="preserve">success </w:t>
      </w:r>
      <w:r w:rsidR="00A5458F">
        <w:rPr>
          <w:rFonts w:ascii="Times New Roman" w:eastAsia="Calibri" w:hAnsi="Times New Roman" w:cs="Times New Roman"/>
          <w:color w:val="000000" w:themeColor="text1"/>
          <w:szCs w:val="22"/>
        </w:rPr>
        <w:t xml:space="preserve">depends on </w:t>
      </w:r>
      <w:r w:rsidR="00554337">
        <w:rPr>
          <w:rFonts w:ascii="Times New Roman" w:eastAsia="Calibri" w:hAnsi="Times New Roman" w:cs="Times New Roman"/>
          <w:color w:val="000000" w:themeColor="text1"/>
          <w:szCs w:val="22"/>
        </w:rPr>
        <w:t xml:space="preserve">reducing </w:t>
      </w:r>
      <w:r w:rsidR="00A5458F">
        <w:rPr>
          <w:rFonts w:ascii="Times New Roman" w:eastAsia="Calibri" w:hAnsi="Times New Roman" w:cs="Times New Roman"/>
          <w:color w:val="000000" w:themeColor="text1"/>
          <w:szCs w:val="22"/>
        </w:rPr>
        <w:t>man</w:t>
      </w:r>
      <w:r w:rsidR="00554337">
        <w:rPr>
          <w:rFonts w:ascii="Times New Roman" w:eastAsia="Calibri" w:hAnsi="Times New Roman" w:cs="Times New Roman"/>
          <w:color w:val="000000" w:themeColor="text1"/>
          <w:szCs w:val="22"/>
        </w:rPr>
        <w:t>agement uncertainty and thereby increasing</w:t>
      </w:r>
      <w:r w:rsidR="00A5458F">
        <w:rPr>
          <w:rFonts w:ascii="Times New Roman" w:eastAsia="Calibri" w:hAnsi="Times New Roman" w:cs="Times New Roman"/>
          <w:color w:val="000000" w:themeColor="text1"/>
          <w:szCs w:val="22"/>
        </w:rPr>
        <w:t xml:space="preserve"> the likelihood that predicted management outcomes are realized. Fishers are subject to a number of drivers that can </w:t>
      </w:r>
      <w:r w:rsidR="008D3E53">
        <w:rPr>
          <w:rFonts w:ascii="Times New Roman" w:eastAsia="Calibri" w:hAnsi="Times New Roman" w:cs="Times New Roman"/>
          <w:color w:val="000000" w:themeColor="text1"/>
          <w:szCs w:val="22"/>
        </w:rPr>
        <w:t xml:space="preserve">and </w:t>
      </w:r>
      <w:r w:rsidR="00A5458F">
        <w:rPr>
          <w:rFonts w:ascii="Times New Roman" w:eastAsia="Calibri" w:hAnsi="Times New Roman" w:cs="Times New Roman"/>
          <w:color w:val="000000" w:themeColor="text1"/>
          <w:szCs w:val="22"/>
        </w:rPr>
        <w:t>do affect their behaviour, and knowledge of these drivers are important when devising future incentives hoped to change their behaviour. This case study of the LE trawl sector of the US West Coast groundfish fishery serves as an example of how retrospective analyses of fisher behaviour can be used to inform future fisheries management. Of the eighteen potential variables included in the modelling framework</w:t>
      </w:r>
      <w:r w:rsidR="00554337">
        <w:rPr>
          <w:rFonts w:ascii="Times New Roman" w:eastAsia="Calibri" w:hAnsi="Times New Roman" w:cs="Times New Roman"/>
          <w:color w:val="000000" w:themeColor="text1"/>
          <w:szCs w:val="22"/>
        </w:rPr>
        <w:t>,</w:t>
      </w:r>
      <w:r w:rsidR="00A5458F">
        <w:rPr>
          <w:rFonts w:ascii="Times New Roman" w:eastAsia="Calibri" w:hAnsi="Times New Roman" w:cs="Times New Roman"/>
          <w:color w:val="000000" w:themeColor="text1"/>
          <w:szCs w:val="22"/>
        </w:rPr>
        <w:t xml:space="preserve"> </w:t>
      </w:r>
      <w:r w:rsidR="00554337">
        <w:rPr>
          <w:rFonts w:ascii="Times New Roman" w:eastAsia="Calibri" w:hAnsi="Times New Roman" w:cs="Times New Roman"/>
          <w:color w:val="000000" w:themeColor="text1"/>
          <w:szCs w:val="22"/>
        </w:rPr>
        <w:t xml:space="preserve">the variable “port group” explained the most variation in both the mean and precision parameters related to the attainment of sablefish north of 36°N latitude. We found that </w:t>
      </w:r>
      <w:r w:rsidR="00A5458F">
        <w:rPr>
          <w:rFonts w:ascii="Times New Roman" w:eastAsia="Calibri" w:hAnsi="Times New Roman" w:cs="Times New Roman"/>
          <w:color w:val="000000" w:themeColor="text1"/>
          <w:szCs w:val="22"/>
        </w:rPr>
        <w:t>fisher ch</w:t>
      </w:r>
      <w:r w:rsidR="00554337">
        <w:rPr>
          <w:rFonts w:ascii="Times New Roman" w:eastAsia="Calibri" w:hAnsi="Times New Roman" w:cs="Times New Roman"/>
          <w:color w:val="000000" w:themeColor="text1"/>
          <w:szCs w:val="22"/>
        </w:rPr>
        <w:t>oice differs between port groups. U</w:t>
      </w:r>
      <w:r w:rsidR="00A5458F">
        <w:rPr>
          <w:rFonts w:ascii="Times New Roman" w:eastAsia="Calibri" w:hAnsi="Times New Roman" w:cs="Times New Roman"/>
          <w:color w:val="000000" w:themeColor="text1"/>
          <w:szCs w:val="22"/>
        </w:rPr>
        <w:t>nfortunately</w:t>
      </w:r>
      <w:r w:rsidR="00554337">
        <w:rPr>
          <w:rFonts w:ascii="Times New Roman" w:eastAsia="Calibri" w:hAnsi="Times New Roman" w:cs="Times New Roman"/>
          <w:color w:val="000000" w:themeColor="text1"/>
          <w:szCs w:val="22"/>
        </w:rPr>
        <w:t>,</w:t>
      </w:r>
      <w:r w:rsidR="00A5458F">
        <w:rPr>
          <w:rFonts w:ascii="Times New Roman" w:eastAsia="Calibri" w:hAnsi="Times New Roman" w:cs="Times New Roman"/>
          <w:color w:val="000000" w:themeColor="text1"/>
          <w:szCs w:val="22"/>
        </w:rPr>
        <w:t xml:space="preserve"> this </w:t>
      </w:r>
      <w:r w:rsidR="00554337">
        <w:rPr>
          <w:rFonts w:ascii="Times New Roman" w:eastAsia="Calibri" w:hAnsi="Times New Roman" w:cs="Times New Roman"/>
          <w:color w:val="000000" w:themeColor="text1"/>
          <w:szCs w:val="22"/>
        </w:rPr>
        <w:t>analysis could not tell us why fisher behaviour differs between port groups, only that additional variables related to resource units, resource users, governance system, and the resource system should be investigated</w:t>
      </w:r>
      <w:r w:rsidR="008D3E53">
        <w:rPr>
          <w:rFonts w:ascii="Times New Roman" w:eastAsia="Calibri" w:hAnsi="Times New Roman" w:cs="Times New Roman"/>
          <w:color w:val="000000" w:themeColor="text1"/>
          <w:szCs w:val="22"/>
        </w:rPr>
        <w:t xml:space="preserve"> and that incentives based on variables th</w:t>
      </w:r>
      <w:r w:rsidR="00C27E5E">
        <w:rPr>
          <w:rFonts w:ascii="Times New Roman" w:eastAsia="Calibri" w:hAnsi="Times New Roman" w:cs="Times New Roman"/>
          <w:color w:val="000000" w:themeColor="text1"/>
          <w:szCs w:val="22"/>
        </w:rPr>
        <w:t>at were investigated may fail to change fisher behaviour</w:t>
      </w:r>
      <w:r w:rsidR="00554337">
        <w:rPr>
          <w:rFonts w:ascii="Times New Roman" w:eastAsia="Calibri" w:hAnsi="Times New Roman" w:cs="Times New Roman"/>
          <w:color w:val="000000" w:themeColor="text1"/>
          <w:szCs w:val="22"/>
        </w:rPr>
        <w:t>.</w:t>
      </w:r>
      <w:r w:rsidR="00C27E5E" w:rsidRPr="00C27E5E">
        <w:rPr>
          <w:rFonts w:ascii="Times New Roman" w:eastAsia="Calibri" w:hAnsi="Times New Roman" w:cs="Times New Roman"/>
          <w:color w:val="000000" w:themeColor="text1"/>
          <w:szCs w:val="22"/>
        </w:rPr>
        <w:t xml:space="preserve"> </w:t>
      </w:r>
      <w:r w:rsidR="00C27E5E">
        <w:rPr>
          <w:rFonts w:ascii="Times New Roman" w:eastAsia="Calibri" w:hAnsi="Times New Roman" w:cs="Times New Roman"/>
          <w:color w:val="000000" w:themeColor="text1"/>
          <w:szCs w:val="22"/>
        </w:rPr>
        <w:t>Multiple additional variables related to any one of Ostrom’s (2009) driver categories could be included in the modelling framework, a major benefit of using GAMLSS coupled with the boosting algorithm, which simultaneously performs model fitting and model selection, additional d</w:t>
      </w:r>
      <w:r w:rsidR="00C27E5E">
        <w:rPr>
          <w:rFonts w:ascii="Times New Roman" w:eastAsia="Calibri" w:hAnsi="Times New Roman" w:cs="Times New Roman"/>
          <w:color w:val="000000" w:themeColor="text1"/>
          <w:szCs w:val="22"/>
        </w:rPr>
        <w:t>ata</w:t>
      </w:r>
      <w:r w:rsidR="00C27E5E">
        <w:rPr>
          <w:rFonts w:ascii="Times New Roman" w:eastAsia="Calibri" w:hAnsi="Times New Roman" w:cs="Times New Roman"/>
          <w:color w:val="000000" w:themeColor="text1"/>
          <w:szCs w:val="22"/>
        </w:rPr>
        <w:t xml:space="preserve"> w</w:t>
      </w:r>
      <w:r w:rsidR="00C27E5E">
        <w:rPr>
          <w:rFonts w:ascii="Times New Roman" w:eastAsia="Calibri" w:hAnsi="Times New Roman" w:cs="Times New Roman"/>
          <w:color w:val="000000" w:themeColor="text1"/>
          <w:szCs w:val="22"/>
        </w:rPr>
        <w:t xml:space="preserve">ere </w:t>
      </w:r>
      <w:r w:rsidR="00C27E5E">
        <w:rPr>
          <w:rFonts w:ascii="Times New Roman" w:eastAsia="Calibri" w:hAnsi="Times New Roman" w:cs="Times New Roman"/>
          <w:color w:val="000000" w:themeColor="text1"/>
          <w:szCs w:val="22"/>
        </w:rPr>
        <w:t>not available.</w:t>
      </w:r>
    </w:p>
    <w:p w14:paraId="66F39707" w14:textId="4AA6C405" w:rsidR="00BC6AB9" w:rsidRDefault="00A5458F" w:rsidP="00C27E5E">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 </w:t>
      </w:r>
      <w:r w:rsidRPr="00C16441">
        <w:rPr>
          <w:rFonts w:ascii="Times New Roman" w:eastAsia="Calibri" w:hAnsi="Times New Roman" w:cs="Times New Roman"/>
          <w:color w:val="000000" w:themeColor="text1"/>
          <w:szCs w:val="22"/>
        </w:rPr>
        <w:t xml:space="preserve">A number of factors </w:t>
      </w:r>
      <w:r>
        <w:rPr>
          <w:rFonts w:ascii="Times New Roman" w:eastAsia="Calibri" w:hAnsi="Times New Roman" w:cs="Times New Roman"/>
          <w:color w:val="000000" w:themeColor="text1"/>
          <w:szCs w:val="22"/>
        </w:rPr>
        <w:t xml:space="preserve">potentially </w:t>
      </w:r>
      <w:r w:rsidRPr="00C16441">
        <w:rPr>
          <w:rFonts w:ascii="Times New Roman" w:eastAsia="Calibri" w:hAnsi="Times New Roman" w:cs="Times New Roman"/>
          <w:color w:val="000000" w:themeColor="text1"/>
          <w:szCs w:val="22"/>
        </w:rPr>
        <w:t xml:space="preserve">limit </w:t>
      </w:r>
      <w:r>
        <w:rPr>
          <w:rFonts w:ascii="Times New Roman" w:eastAsia="Calibri" w:hAnsi="Times New Roman" w:cs="Times New Roman"/>
          <w:color w:val="000000" w:themeColor="text1"/>
          <w:szCs w:val="22"/>
        </w:rPr>
        <w:t>fisher</w:t>
      </w:r>
      <w:r w:rsidRPr="00C16441">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w:t>
      </w:r>
      <w:r w:rsidRPr="00C16441">
        <w:rPr>
          <w:rFonts w:ascii="Times New Roman" w:eastAsia="Calibri" w:hAnsi="Times New Roman" w:cs="Times New Roman"/>
          <w:color w:val="000000" w:themeColor="text1"/>
          <w:szCs w:val="22"/>
        </w:rPr>
        <w:t xml:space="preserve"> ability to switch gears: resistance to change, lack of economic incentives, incompatibility between vessels and gear, operator experience, and safety of the vessel and crew (Jenkins and Garrison, 201</w:t>
      </w:r>
      <w:r w:rsidR="000F6042">
        <w:rPr>
          <w:rFonts w:ascii="Times New Roman" w:eastAsia="Calibri" w:hAnsi="Times New Roman" w:cs="Times New Roman"/>
          <w:color w:val="000000" w:themeColor="text1"/>
          <w:szCs w:val="22"/>
        </w:rPr>
        <w:t>2</w:t>
      </w:r>
      <w:r w:rsidRPr="00C16441">
        <w:rPr>
          <w:rFonts w:ascii="Times New Roman" w:eastAsia="Calibri" w:hAnsi="Times New Roman" w:cs="Times New Roman"/>
          <w:color w:val="000000" w:themeColor="text1"/>
          <w:szCs w:val="22"/>
        </w:rPr>
        <w:t xml:space="preserve">). Thus, when given a choice (i.e., allowed to within the management framework) not all </w:t>
      </w:r>
      <w:r>
        <w:rPr>
          <w:rFonts w:ascii="Times New Roman" w:eastAsia="Calibri" w:hAnsi="Times New Roman" w:cs="Times New Roman"/>
          <w:color w:val="000000" w:themeColor="text1"/>
          <w:szCs w:val="22"/>
        </w:rPr>
        <w:t>fishers</w:t>
      </w:r>
      <w:r w:rsidRPr="00C16441">
        <w:rPr>
          <w:rFonts w:ascii="Times New Roman" w:eastAsia="Calibri" w:hAnsi="Times New Roman" w:cs="Times New Roman"/>
          <w:color w:val="000000" w:themeColor="text1"/>
          <w:szCs w:val="22"/>
        </w:rPr>
        <w:t xml:space="preserve"> will choose to switch gears even if it makes sense economically. </w:t>
      </w:r>
      <w:r w:rsidR="002868A2">
        <w:rPr>
          <w:rFonts w:ascii="Times New Roman" w:eastAsia="Calibri" w:hAnsi="Times New Roman" w:cs="Times New Roman"/>
          <w:color w:val="000000" w:themeColor="text1"/>
          <w:szCs w:val="22"/>
        </w:rPr>
        <w:t xml:space="preserve">Variables for fixed and variable costs were included in the modelling framework but neither could explain variation in attainment, nor </w:t>
      </w:r>
      <w:r w:rsidR="00C27E5E">
        <w:rPr>
          <w:rFonts w:ascii="Times New Roman" w:eastAsia="Calibri" w:hAnsi="Times New Roman" w:cs="Times New Roman"/>
          <w:color w:val="000000" w:themeColor="text1"/>
          <w:szCs w:val="22"/>
        </w:rPr>
        <w:t>did</w:t>
      </w:r>
      <w:r w:rsidR="002868A2">
        <w:rPr>
          <w:rFonts w:ascii="Times New Roman" w:eastAsia="Calibri" w:hAnsi="Times New Roman" w:cs="Times New Roman"/>
          <w:color w:val="000000" w:themeColor="text1"/>
          <w:szCs w:val="22"/>
        </w:rPr>
        <w:t xml:space="preserve"> economic variables adjusted for net revenue (results not shown). </w:t>
      </w:r>
      <w:r w:rsidR="00E06D88" w:rsidRPr="00C16441">
        <w:rPr>
          <w:rFonts w:ascii="Times New Roman" w:eastAsia="Calibri" w:hAnsi="Times New Roman" w:cs="Times New Roman"/>
          <w:color w:val="000000" w:themeColor="text1"/>
          <w:szCs w:val="22"/>
        </w:rPr>
        <w:t xml:space="preserve">Although bycatch reduction is best for sustainable fisheries, avoidance costs or reduced catches of target species suggest that </w:t>
      </w:r>
      <w:r w:rsidR="00C27E5E">
        <w:rPr>
          <w:rFonts w:ascii="Times New Roman" w:eastAsia="Calibri" w:hAnsi="Times New Roman" w:cs="Times New Roman"/>
          <w:color w:val="000000" w:themeColor="text1"/>
          <w:szCs w:val="22"/>
        </w:rPr>
        <w:t xml:space="preserve">bycatch </w:t>
      </w:r>
      <w:r w:rsidR="00E06D88" w:rsidRPr="00C16441">
        <w:rPr>
          <w:rFonts w:ascii="Times New Roman" w:eastAsia="Calibri" w:hAnsi="Times New Roman" w:cs="Times New Roman"/>
          <w:color w:val="000000" w:themeColor="text1"/>
          <w:szCs w:val="22"/>
        </w:rPr>
        <w:t xml:space="preserve">reductions may not be internally consistent with facilitating profit maximization for individual </w:t>
      </w:r>
      <w:r w:rsidR="00E06D88">
        <w:rPr>
          <w:rFonts w:ascii="Times New Roman" w:eastAsia="Calibri" w:hAnsi="Times New Roman" w:cs="Times New Roman"/>
          <w:color w:val="000000" w:themeColor="text1"/>
          <w:szCs w:val="22"/>
        </w:rPr>
        <w:t>fishers</w:t>
      </w:r>
      <w:r w:rsidR="00E06D88" w:rsidRPr="00C16441">
        <w:rPr>
          <w:rFonts w:ascii="Times New Roman" w:eastAsia="Calibri" w:hAnsi="Times New Roman" w:cs="Times New Roman"/>
          <w:color w:val="000000" w:themeColor="text1"/>
          <w:szCs w:val="22"/>
        </w:rPr>
        <w:t xml:space="preserve"> (Abbott and Wilen, 2009; Singh and Weninger, 2009). </w:t>
      </w:r>
      <w:r w:rsidRPr="00C16441">
        <w:rPr>
          <w:rFonts w:ascii="Times New Roman" w:eastAsia="Calibri" w:hAnsi="Times New Roman" w:cs="Times New Roman"/>
          <w:color w:val="000000" w:themeColor="text1"/>
          <w:szCs w:val="22"/>
        </w:rPr>
        <w:t xml:space="preserve">Results should be interpreted in light of several considerations, and not that economics fail to play a role in gear choice. </w:t>
      </w:r>
      <w:r w:rsidR="00C27E5E">
        <w:rPr>
          <w:rFonts w:ascii="Times New Roman" w:eastAsia="Calibri" w:hAnsi="Times New Roman" w:cs="Times New Roman"/>
          <w:color w:val="000000" w:themeColor="text1"/>
          <w:szCs w:val="22"/>
        </w:rPr>
        <w:t>I</w:t>
      </w:r>
      <w:r w:rsidR="00C27E5E" w:rsidRPr="00C16441">
        <w:rPr>
          <w:rFonts w:ascii="Times New Roman" w:eastAsia="Calibri" w:hAnsi="Times New Roman" w:cs="Times New Roman"/>
          <w:color w:val="000000" w:themeColor="text1"/>
          <w:szCs w:val="22"/>
        </w:rPr>
        <w:t>t is possible that we have yet to see the economics of gear switching play out given that selling ones quota shares was only recently allowed.</w:t>
      </w:r>
    </w:p>
    <w:p w14:paraId="4CD3151F" w14:textId="77777777" w:rsidR="00622360" w:rsidRDefault="00BC6AB9" w:rsidP="00622360">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The framework developed here should not be thought of as an end but a beginning to understanding drivers of fisher behaviour</w:t>
      </w:r>
      <w:r w:rsidR="00622360">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in this case study and others. Future work could use more complex index standardization tools, such as geostatistical models that remove the need to </w:t>
      </w:r>
      <w:r>
        <w:rPr>
          <w:rFonts w:ascii="Times New Roman" w:eastAsia="Calibri" w:hAnsi="Times New Roman" w:cs="Times New Roman"/>
          <w:i/>
          <w:color w:val="000000" w:themeColor="text1"/>
          <w:szCs w:val="22"/>
        </w:rPr>
        <w:t>a priori</w:t>
      </w:r>
      <w:r>
        <w:rPr>
          <w:rFonts w:ascii="Times New Roman" w:eastAsia="Calibri" w:hAnsi="Times New Roman" w:cs="Times New Roman"/>
          <w:color w:val="000000" w:themeColor="text1"/>
          <w:szCs w:val="22"/>
        </w:rPr>
        <w:t xml:space="preserve"> specify area and depth stratums by modelling the entire spatial field using Gaussian Markov Random Fields (Thorson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2015). Gaussian Markov Random Fields are computationally expensive, but are consistently gaining use in the field of fisheries research. Results from geostatistical models could </w:t>
      </w:r>
      <w:r w:rsidR="00622360">
        <w:rPr>
          <w:rFonts w:ascii="Times New Roman" w:eastAsia="Calibri" w:hAnsi="Times New Roman" w:cs="Times New Roman"/>
          <w:color w:val="000000" w:themeColor="text1"/>
          <w:szCs w:val="22"/>
        </w:rPr>
        <w:t>potentially</w:t>
      </w:r>
      <w:r>
        <w:rPr>
          <w:rFonts w:ascii="Times New Roman" w:eastAsia="Calibri" w:hAnsi="Times New Roman" w:cs="Times New Roman"/>
          <w:color w:val="000000" w:themeColor="text1"/>
          <w:szCs w:val="22"/>
        </w:rPr>
        <w:t xml:space="preserve"> be linked to data from individual vessels, should that be available or modelled by someone who has access to </w:t>
      </w:r>
      <w:r w:rsidR="00622360">
        <w:rPr>
          <w:rFonts w:ascii="Times New Roman" w:eastAsia="Calibri" w:hAnsi="Times New Roman" w:cs="Times New Roman"/>
          <w:color w:val="000000" w:themeColor="text1"/>
          <w:szCs w:val="22"/>
        </w:rPr>
        <w:t xml:space="preserve">the </w:t>
      </w:r>
      <w:r>
        <w:rPr>
          <w:rFonts w:ascii="Times New Roman" w:eastAsia="Calibri" w:hAnsi="Times New Roman" w:cs="Times New Roman"/>
          <w:color w:val="000000" w:themeColor="text1"/>
          <w:szCs w:val="22"/>
        </w:rPr>
        <w:t xml:space="preserve">confidential data, </w:t>
      </w:r>
      <w:r w:rsidR="00622360">
        <w:rPr>
          <w:rFonts w:ascii="Times New Roman" w:eastAsia="Calibri" w:hAnsi="Times New Roman" w:cs="Times New Roman"/>
          <w:color w:val="000000" w:themeColor="text1"/>
          <w:szCs w:val="22"/>
        </w:rPr>
        <w:t>generating local indexes of abundances specific to visited fishing locations in a given  year. Which leads into the perhaps more important issue of a</w:t>
      </w:r>
      <w:r w:rsidR="00A5458F" w:rsidRPr="00C16441">
        <w:rPr>
          <w:rFonts w:ascii="Times New Roman" w:eastAsia="Calibri" w:hAnsi="Times New Roman" w:cs="Times New Roman"/>
          <w:color w:val="000000" w:themeColor="text1"/>
          <w:szCs w:val="22"/>
        </w:rPr>
        <w:t xml:space="preserve">ssigning vessel characteristics to port group based on the port of highest ex-vessel revenue may not coincide with port of landing and vessel specific data should be investigated in future models. </w:t>
      </w:r>
    </w:p>
    <w:p w14:paraId="59F3F05C" w14:textId="40EDE762" w:rsidR="00622360" w:rsidRDefault="00622360" w:rsidP="000F6042">
      <w:pPr>
        <w:spacing w:line="240" w:lineRule="auto"/>
        <w:ind w:firstLine="720"/>
        <w:jc w:val="both"/>
        <w:rPr>
          <w:rFonts w:ascii="Times New Roman" w:eastAsia="Calibri" w:hAnsi="Times New Roman" w:cs="Times New Roman"/>
          <w:color w:val="000000" w:themeColor="text1"/>
          <w:szCs w:val="22"/>
        </w:rPr>
      </w:pPr>
      <w:r w:rsidRPr="00C16441">
        <w:rPr>
          <w:rFonts w:ascii="Times New Roman" w:eastAsia="Calibri" w:hAnsi="Times New Roman" w:cs="Times New Roman"/>
          <w:color w:val="000000" w:themeColor="text1"/>
          <w:szCs w:val="22"/>
        </w:rPr>
        <w:t xml:space="preserve">Future methods </w:t>
      </w:r>
      <w:r w:rsidR="00C27E5E">
        <w:rPr>
          <w:rFonts w:ascii="Times New Roman" w:eastAsia="Calibri" w:hAnsi="Times New Roman" w:cs="Times New Roman"/>
          <w:color w:val="000000" w:themeColor="text1"/>
          <w:szCs w:val="22"/>
        </w:rPr>
        <w:t>c</w:t>
      </w:r>
      <w:r w:rsidRPr="00C16441">
        <w:rPr>
          <w:rFonts w:ascii="Times New Roman" w:eastAsia="Calibri" w:hAnsi="Times New Roman" w:cs="Times New Roman"/>
          <w:color w:val="000000" w:themeColor="text1"/>
          <w:szCs w:val="22"/>
        </w:rPr>
        <w:t xml:space="preserve">ould account for seasonal changes in bycatch rates, as </w:t>
      </w:r>
      <w:r>
        <w:rPr>
          <w:rFonts w:ascii="Times New Roman" w:eastAsia="Calibri" w:hAnsi="Times New Roman" w:cs="Times New Roman"/>
          <w:color w:val="000000" w:themeColor="text1"/>
          <w:szCs w:val="22"/>
        </w:rPr>
        <w:t>fishers</w:t>
      </w:r>
      <w:r w:rsidRPr="00C16441">
        <w:rPr>
          <w:rFonts w:ascii="Times New Roman" w:eastAsia="Calibri" w:hAnsi="Times New Roman" w:cs="Times New Roman"/>
          <w:color w:val="000000" w:themeColor="text1"/>
          <w:szCs w:val="22"/>
        </w:rPr>
        <w:t xml:space="preserve"> may alter their location when the risk of bycatch is higher for species like darkblotched rockfish</w:t>
      </w:r>
      <w:r>
        <w:rPr>
          <w:rFonts w:ascii="Times New Roman" w:eastAsia="Calibri" w:hAnsi="Times New Roman" w:cs="Times New Roman"/>
          <w:color w:val="000000" w:themeColor="text1"/>
          <w:szCs w:val="22"/>
        </w:rPr>
        <w:t>,</w:t>
      </w:r>
      <w:r w:rsidRPr="00C16441">
        <w:rPr>
          <w:rFonts w:ascii="Times New Roman" w:eastAsia="Calibri" w:hAnsi="Times New Roman" w:cs="Times New Roman"/>
          <w:color w:val="000000" w:themeColor="text1"/>
          <w:szCs w:val="22"/>
        </w:rPr>
        <w:t xml:space="preserve"> which exhibit quarterly differences in both survey and fishery bycatch ra</w:t>
      </w:r>
      <w:r w:rsidR="000F6042">
        <w:rPr>
          <w:rFonts w:ascii="Times New Roman" w:eastAsia="Calibri" w:hAnsi="Times New Roman" w:cs="Times New Roman"/>
          <w:color w:val="000000" w:themeColor="text1"/>
          <w:szCs w:val="22"/>
        </w:rPr>
        <w:t xml:space="preserve">tes (Jannot and Holland, 2013). </w:t>
      </w:r>
      <w:r w:rsidRPr="00C16441">
        <w:rPr>
          <w:rFonts w:ascii="Times New Roman" w:eastAsia="Calibri" w:hAnsi="Times New Roman" w:cs="Times New Roman"/>
          <w:color w:val="000000" w:themeColor="text1"/>
          <w:szCs w:val="22"/>
        </w:rPr>
        <w:t>For species like bocaccio</w:t>
      </w:r>
      <w:r>
        <w:rPr>
          <w:rFonts w:ascii="Times New Roman" w:eastAsia="Calibri" w:hAnsi="Times New Roman" w:cs="Times New Roman"/>
          <w:color w:val="000000" w:themeColor="text1"/>
          <w:szCs w:val="22"/>
        </w:rPr>
        <w:t xml:space="preserve"> rockfish</w:t>
      </w:r>
      <w:r w:rsidRPr="00C16441">
        <w:rPr>
          <w:rFonts w:ascii="Times New Roman" w:eastAsia="Calibri" w:hAnsi="Times New Roman" w:cs="Times New Roman"/>
          <w:color w:val="000000" w:themeColor="text1"/>
          <w:szCs w:val="22"/>
        </w:rPr>
        <w:t xml:space="preserve">, where bycatch rates are constant among gear types and estimated covariates are not </w:t>
      </w:r>
      <w:r w:rsidR="000F6042">
        <w:rPr>
          <w:rFonts w:ascii="Times New Roman" w:eastAsia="Calibri" w:hAnsi="Times New Roman" w:cs="Times New Roman"/>
          <w:color w:val="000000" w:themeColor="text1"/>
          <w:szCs w:val="22"/>
        </w:rPr>
        <w:t xml:space="preserve">significant, it is likely that developing management based incentives to limit their bycatch will be more difficult than </w:t>
      </w:r>
      <w:r w:rsidR="00C27E5E">
        <w:rPr>
          <w:rFonts w:ascii="Times New Roman" w:eastAsia="Calibri" w:hAnsi="Times New Roman" w:cs="Times New Roman"/>
          <w:color w:val="000000" w:themeColor="text1"/>
          <w:szCs w:val="22"/>
        </w:rPr>
        <w:t xml:space="preserve">for </w:t>
      </w:r>
      <w:r w:rsidR="000F6042">
        <w:rPr>
          <w:rFonts w:ascii="Times New Roman" w:eastAsia="Calibri" w:hAnsi="Times New Roman" w:cs="Times New Roman"/>
          <w:color w:val="000000" w:themeColor="text1"/>
          <w:szCs w:val="22"/>
        </w:rPr>
        <w:t xml:space="preserve">species with variable bycatch rates among gear types. </w:t>
      </w:r>
      <w:r w:rsidRPr="00C16441">
        <w:rPr>
          <w:rFonts w:ascii="Times New Roman" w:eastAsia="Calibri" w:hAnsi="Times New Roman" w:cs="Times New Roman"/>
          <w:color w:val="000000" w:themeColor="text1"/>
          <w:szCs w:val="22"/>
        </w:rPr>
        <w:t xml:space="preserve">We hypothesize that results would be similar for cowcod, given that spatial closures have been successful in decreasing their bycatch rates. Although one should note that those spatial closures came at some cost to </w:t>
      </w:r>
      <w:r>
        <w:rPr>
          <w:rFonts w:ascii="Times New Roman" w:eastAsia="Calibri" w:hAnsi="Times New Roman" w:cs="Times New Roman"/>
          <w:color w:val="000000" w:themeColor="text1"/>
          <w:szCs w:val="22"/>
        </w:rPr>
        <w:t>fishers</w:t>
      </w:r>
      <w:r w:rsidRPr="00C16441">
        <w:rPr>
          <w:rFonts w:ascii="Times New Roman" w:eastAsia="Calibri" w:hAnsi="Times New Roman" w:cs="Times New Roman"/>
          <w:color w:val="000000" w:themeColor="text1"/>
          <w:szCs w:val="22"/>
        </w:rPr>
        <w:t xml:space="preserve">, i.e., increased distances from ports to offshore areas where sablefish are typically targeted and increased fishery exit rates in some areas (Manson </w:t>
      </w:r>
      <w:r w:rsidRPr="00C16441">
        <w:rPr>
          <w:rFonts w:ascii="Times New Roman" w:eastAsia="Calibri" w:hAnsi="Times New Roman" w:cs="Times New Roman"/>
          <w:color w:val="000000" w:themeColor="text1"/>
          <w:szCs w:val="22"/>
        </w:rPr>
        <w:lastRenderedPageBreak/>
        <w:t xml:space="preserve">et al., 2012). As the time series lengthens it may be feasible to test interactions between shifts in policy and ecological covariates, providing further information on potential reasons for changes in </w:t>
      </w:r>
      <w:r>
        <w:rPr>
          <w:rFonts w:ascii="Times New Roman" w:eastAsia="Calibri" w:hAnsi="Times New Roman" w:cs="Times New Roman"/>
          <w:color w:val="000000" w:themeColor="text1"/>
          <w:szCs w:val="22"/>
        </w:rPr>
        <w:t>fisher</w:t>
      </w:r>
      <w:r w:rsidRPr="00C16441">
        <w:rPr>
          <w:rFonts w:ascii="Times New Roman" w:eastAsia="Calibri" w:hAnsi="Times New Roman" w:cs="Times New Roman"/>
          <w:color w:val="000000" w:themeColor="text1"/>
          <w:szCs w:val="22"/>
        </w:rPr>
        <w:t xml:space="preserve"> behaviour or lack thereof.</w:t>
      </w:r>
    </w:p>
    <w:p w14:paraId="65BCCD69" w14:textId="77777777" w:rsidR="00163E01" w:rsidRPr="00C16441" w:rsidRDefault="00163E01" w:rsidP="00163E01">
      <w:pPr>
        <w:spacing w:line="240" w:lineRule="auto"/>
        <w:ind w:firstLine="720"/>
        <w:jc w:val="both"/>
        <w:rPr>
          <w:rFonts w:ascii="Times New Roman" w:eastAsia="Calibri" w:hAnsi="Times New Roman" w:cs="Times New Roman"/>
          <w:color w:val="000000" w:themeColor="text1"/>
          <w:szCs w:val="22"/>
        </w:rPr>
      </w:pPr>
      <w:r w:rsidRPr="00C16441">
        <w:rPr>
          <w:rFonts w:ascii="Times New Roman" w:eastAsia="Calibri" w:hAnsi="Times New Roman" w:cs="Times New Roman"/>
          <w:color w:val="000000" w:themeColor="text1"/>
          <w:szCs w:val="22"/>
        </w:rPr>
        <w:t xml:space="preserve">Quota share allocations for each overfished species were assigned based on bycatch rates applied to allocated quota shares of targeted species. Thus a fisherman who historically targeted sablefish using trawl gear would have received a very small quota share of yelloweye. With the moratorium on selling quota shares and binding TACs for overfished species, this fisherman could potentially be limited in his/her ability to switch to using longlines, which has a higher bycatch rate for yelloweye than trawl gear, unless he or she could find additional quota pounds for purchase. It appears as though </w:t>
      </w:r>
      <w:r>
        <w:rPr>
          <w:rFonts w:ascii="Times New Roman" w:eastAsia="Calibri" w:hAnsi="Times New Roman" w:cs="Times New Roman"/>
          <w:color w:val="000000" w:themeColor="text1"/>
          <w:szCs w:val="22"/>
        </w:rPr>
        <w:t>fishers</w:t>
      </w:r>
      <w:r w:rsidRPr="00C16441">
        <w:rPr>
          <w:rFonts w:ascii="Times New Roman" w:eastAsia="Calibri" w:hAnsi="Times New Roman" w:cs="Times New Roman"/>
          <w:color w:val="000000" w:themeColor="text1"/>
          <w:szCs w:val="22"/>
        </w:rPr>
        <w:t xml:space="preserve"> are risk averse now that TACs are binding, as correlation between allocated quota pounds of bycatch species and catch are low (Holland 2012). Risk pools may mitigate the risk of </w:t>
      </w:r>
      <w:r>
        <w:rPr>
          <w:rFonts w:ascii="Times New Roman" w:eastAsia="Calibri" w:hAnsi="Times New Roman" w:cs="Times New Roman"/>
          <w:color w:val="000000" w:themeColor="text1"/>
          <w:szCs w:val="22"/>
        </w:rPr>
        <w:t>fishers</w:t>
      </w:r>
      <w:r w:rsidRPr="00C16441">
        <w:rPr>
          <w:rFonts w:ascii="Times New Roman" w:eastAsia="Calibri" w:hAnsi="Times New Roman" w:cs="Times New Roman"/>
          <w:color w:val="000000" w:themeColor="text1"/>
          <w:szCs w:val="22"/>
        </w:rPr>
        <w:t xml:space="preserve"> not being able to find additional quota pounds, and their existence and/or membership rules may be a significant driver of gear choice (Fehr and Leibbrandt, 2010). Unfortunately, within the US West Coast groundfish fishery, risk pools are not required to publicly disclose information on rules, membership, or outcomes and thus it was not feasible to include the number of risk pool participants per port group in this analysis. </w:t>
      </w:r>
    </w:p>
    <w:p w14:paraId="3774B892" w14:textId="77777777" w:rsidR="00C27E5E" w:rsidRPr="00C16441" w:rsidRDefault="00C27E5E" w:rsidP="00C27E5E">
      <w:pPr>
        <w:spacing w:line="240" w:lineRule="auto"/>
        <w:ind w:firstLine="720"/>
        <w:jc w:val="both"/>
        <w:rPr>
          <w:rFonts w:ascii="Times New Roman" w:eastAsia="Calibri" w:hAnsi="Times New Roman" w:cs="Times New Roman"/>
          <w:color w:val="000000" w:themeColor="text1"/>
          <w:szCs w:val="22"/>
        </w:rPr>
      </w:pPr>
      <w:r w:rsidRPr="00C16441">
        <w:rPr>
          <w:rFonts w:ascii="Times New Roman" w:eastAsia="Calibri" w:hAnsi="Times New Roman" w:cs="Times New Roman"/>
          <w:color w:val="000000" w:themeColor="text1"/>
          <w:szCs w:val="22"/>
        </w:rPr>
        <w:t>Currently, The Nature Conservancy (TNC) owns quota shares within the US West Coast groundfish fishery and leases quota pounds to members of the California risk pool, in return for having a say in how fishing occurs. In turn TNC has helped implement a geographic information system combining scien</w:t>
      </w:r>
      <w:r>
        <w:rPr>
          <w:rFonts w:ascii="Times New Roman" w:eastAsia="Calibri" w:hAnsi="Times New Roman" w:cs="Times New Roman"/>
          <w:color w:val="000000" w:themeColor="text1"/>
          <w:szCs w:val="22"/>
        </w:rPr>
        <w:t>ce and technology with fisher</w:t>
      </w:r>
      <w:r w:rsidRPr="00C16441">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w:t>
      </w:r>
      <w:r w:rsidRPr="00C16441">
        <w:rPr>
          <w:rFonts w:ascii="Times New Roman" w:eastAsia="Calibri" w:hAnsi="Times New Roman" w:cs="Times New Roman"/>
          <w:color w:val="000000" w:themeColor="text1"/>
          <w:szCs w:val="22"/>
        </w:rPr>
        <w:t xml:space="preserve"> knowledge, historical data, and habitat information to identify zones that contain overfished species in near real-time as well as implemented voluntary spatial closures of high risk areas when combined quota for overfished species becomes limited (Bjorkland et al., 2015). According to TNC, since initiating the California Risk Pool, members have experienced reduced bycatch of overfished species, increased harvest of target species, and improved the tracking and sharing of fishing information (TNC, 2014).</w:t>
      </w:r>
    </w:p>
    <w:p w14:paraId="1B3832AE" w14:textId="0F66C840" w:rsidR="00C27E5E" w:rsidRPr="00C16441" w:rsidRDefault="00C27E5E" w:rsidP="00C27E5E">
      <w:pPr>
        <w:spacing w:line="240" w:lineRule="auto"/>
        <w:ind w:firstLine="720"/>
        <w:jc w:val="both"/>
        <w:rPr>
          <w:rFonts w:ascii="Times New Roman" w:eastAsia="Calibri" w:hAnsi="Times New Roman" w:cs="Times New Roman"/>
          <w:color w:val="000000" w:themeColor="text1"/>
          <w:szCs w:val="22"/>
        </w:rPr>
      </w:pPr>
      <w:r w:rsidRPr="00C16441">
        <w:rPr>
          <w:rFonts w:ascii="Times New Roman" w:eastAsia="Calibri" w:hAnsi="Times New Roman" w:cs="Times New Roman"/>
          <w:color w:val="000000" w:themeColor="text1"/>
          <w:szCs w:val="22"/>
        </w:rPr>
        <w:t xml:space="preserve">While risk pools might reduce bycatch and discards for its members, they pose multiple challenges for fisheries including: the assignment of each individual’s risk of overfishing into a single pool and implementing spatial-temporal closures that are focused on reducing bycatch and may not be optimized for all target species in a multispecies fishery or for </w:t>
      </w:r>
      <w:r>
        <w:rPr>
          <w:rFonts w:ascii="Times New Roman" w:eastAsia="Calibri" w:hAnsi="Times New Roman" w:cs="Times New Roman"/>
          <w:color w:val="000000" w:themeColor="text1"/>
          <w:szCs w:val="22"/>
        </w:rPr>
        <w:t>fisher</w:t>
      </w:r>
      <w:r w:rsidRPr="00C16441">
        <w:rPr>
          <w:rFonts w:ascii="Times New Roman" w:eastAsia="Calibri" w:hAnsi="Times New Roman" w:cs="Times New Roman"/>
          <w:color w:val="000000" w:themeColor="text1"/>
          <w:szCs w:val="22"/>
        </w:rPr>
        <w:t xml:space="preserve"> equity among sectors (Bjorkland et al., 2015). Additionally, risk pools can potentially result in unequal social and economic impacts through inclusion/exclusion policies potentially creating an imbalance in the fishery in terms of access to social networks, information, and income potential between members and non-members. So far, it remains unknown if risk pools are socially just or create a kind of elite group (Deacon, 2012) and if their formation motivates the “race to fish” thereby undermining the ITQ system (Holland and Jannot, 2012). Unfortunately, we were not able to determine if participation in risk pools led to changes in </w:t>
      </w:r>
      <w:r>
        <w:rPr>
          <w:rFonts w:ascii="Times New Roman" w:eastAsia="Calibri" w:hAnsi="Times New Roman" w:cs="Times New Roman"/>
          <w:color w:val="000000" w:themeColor="text1"/>
          <w:szCs w:val="22"/>
        </w:rPr>
        <w:t>fisher</w:t>
      </w:r>
      <w:r w:rsidRPr="00C16441">
        <w:rPr>
          <w:rFonts w:ascii="Times New Roman" w:eastAsia="Calibri" w:hAnsi="Times New Roman" w:cs="Times New Roman"/>
          <w:color w:val="000000" w:themeColor="text1"/>
          <w:szCs w:val="22"/>
        </w:rPr>
        <w:t xml:space="preserve"> behaviour and consequently bycatch of overfished species because of the lack of data.</w:t>
      </w:r>
    </w:p>
    <w:p w14:paraId="54E8FFFB" w14:textId="5E14A090" w:rsidR="000F6042" w:rsidRPr="00C16441" w:rsidRDefault="00E06D88" w:rsidP="000F6042">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w:t>
      </w:r>
      <w:r w:rsidRPr="00C16441">
        <w:rPr>
          <w:rFonts w:ascii="Times New Roman" w:eastAsia="Calibri" w:hAnsi="Times New Roman" w:cs="Times New Roman"/>
          <w:color w:val="000000" w:themeColor="text1"/>
          <w:szCs w:val="22"/>
        </w:rPr>
        <w:t>n the absence of complete and perfect information, quantitative models could be supplemented with qualitative information obtained from fisheries and industry reports on adaptive responses to the bycatch problem.</w:t>
      </w:r>
      <w:r>
        <w:rPr>
          <w:rFonts w:ascii="Times New Roman" w:eastAsia="Calibri" w:hAnsi="Times New Roman" w:cs="Times New Roman"/>
          <w:color w:val="000000" w:themeColor="text1"/>
          <w:szCs w:val="22"/>
        </w:rPr>
        <w:t xml:space="preserve"> </w:t>
      </w:r>
      <w:r w:rsidR="000F6042" w:rsidRPr="00C16441">
        <w:rPr>
          <w:rFonts w:ascii="Times New Roman" w:eastAsia="Calibri" w:hAnsi="Times New Roman" w:cs="Times New Roman"/>
          <w:color w:val="000000" w:themeColor="text1"/>
          <w:szCs w:val="22"/>
        </w:rPr>
        <w:t xml:space="preserve">Future work could focus on validating the framework through port specific </w:t>
      </w:r>
      <w:r w:rsidR="000F6042">
        <w:rPr>
          <w:rFonts w:ascii="Times New Roman" w:eastAsia="Calibri" w:hAnsi="Times New Roman" w:cs="Times New Roman"/>
          <w:color w:val="000000" w:themeColor="text1"/>
          <w:szCs w:val="22"/>
        </w:rPr>
        <w:t>fisher</w:t>
      </w:r>
      <w:r w:rsidR="000F6042" w:rsidRPr="00C16441">
        <w:rPr>
          <w:rFonts w:ascii="Times New Roman" w:eastAsia="Calibri" w:hAnsi="Times New Roman" w:cs="Times New Roman"/>
          <w:color w:val="000000" w:themeColor="text1"/>
          <w:szCs w:val="22"/>
        </w:rPr>
        <w:t xml:space="preserve"> surveys, with questions specifically related to decision-making processes that could then be related to the findings of the model. Once decision-making strategies were identified, a subset of the surveyed </w:t>
      </w:r>
      <w:r w:rsidR="000F6042">
        <w:rPr>
          <w:rFonts w:ascii="Times New Roman" w:eastAsia="Calibri" w:hAnsi="Times New Roman" w:cs="Times New Roman"/>
          <w:color w:val="000000" w:themeColor="text1"/>
          <w:szCs w:val="22"/>
        </w:rPr>
        <w:t>fishers</w:t>
      </w:r>
      <w:r w:rsidR="000F6042" w:rsidRPr="00C16441">
        <w:rPr>
          <w:rFonts w:ascii="Times New Roman" w:eastAsia="Calibri" w:hAnsi="Times New Roman" w:cs="Times New Roman"/>
          <w:color w:val="000000" w:themeColor="text1"/>
          <w:szCs w:val="22"/>
        </w:rPr>
        <w:t xml:space="preserve"> could be interviewed to gain in-depth understanding of the various adaptive strategies they use to improve their economic gains (recognizing it is dependent on the existence of a sustainable fishery). Additionally, now that </w:t>
      </w:r>
      <w:r w:rsidR="000F6042">
        <w:rPr>
          <w:rFonts w:ascii="Times New Roman" w:eastAsia="Calibri" w:hAnsi="Times New Roman" w:cs="Times New Roman"/>
          <w:color w:val="000000" w:themeColor="text1"/>
          <w:szCs w:val="22"/>
        </w:rPr>
        <w:t>fishers</w:t>
      </w:r>
      <w:r w:rsidR="000F6042" w:rsidRPr="00C16441">
        <w:rPr>
          <w:rFonts w:ascii="Times New Roman" w:eastAsia="Calibri" w:hAnsi="Times New Roman" w:cs="Times New Roman"/>
          <w:color w:val="000000" w:themeColor="text1"/>
          <w:szCs w:val="22"/>
        </w:rPr>
        <w:t xml:space="preserve"> are allowed to switch gears, a more informed scenario analysis could be conducted. While this would likely add an unnecessary amount of information to an already complex, federally-mandated, fisheries management policy, it could contribute to an informal system of information sharing of best practices aimed at supporting and improving social and ecological fisheries sustainability. Furthermore, refining the methods defined in Jenkins and Garrison (201</w:t>
      </w:r>
      <w:r w:rsidR="000F6042">
        <w:rPr>
          <w:rFonts w:ascii="Times New Roman" w:eastAsia="Calibri" w:hAnsi="Times New Roman" w:cs="Times New Roman"/>
          <w:color w:val="000000" w:themeColor="text1"/>
          <w:szCs w:val="22"/>
        </w:rPr>
        <w:t>2</w:t>
      </w:r>
      <w:r w:rsidR="000F6042" w:rsidRPr="00C16441">
        <w:rPr>
          <w:rFonts w:ascii="Times New Roman" w:eastAsia="Calibri" w:hAnsi="Times New Roman" w:cs="Times New Roman"/>
          <w:color w:val="000000" w:themeColor="text1"/>
          <w:szCs w:val="22"/>
        </w:rPr>
        <w:t>) may increase their applicability to other fisheries.</w:t>
      </w:r>
      <w:r>
        <w:rPr>
          <w:rFonts w:ascii="Times New Roman" w:eastAsia="Calibri" w:hAnsi="Times New Roman" w:cs="Times New Roman"/>
          <w:color w:val="000000" w:themeColor="text1"/>
          <w:szCs w:val="22"/>
        </w:rPr>
        <w:t xml:space="preserve"> </w:t>
      </w:r>
    </w:p>
    <w:p w14:paraId="1F43D044" w14:textId="5890AB8D" w:rsidR="00351247" w:rsidRDefault="00351247" w:rsidP="00351247">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 literature review guided by the cluster analysis indicated that in general market factors and access regulations played the biggest roles in determining the dominant gear type used to land sablefish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_Ref439236896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B20EC7">
        <w:rPr>
          <w:rFonts w:ascii="Times New Roman" w:hAnsi="Times New Roman" w:cs="Times New Roman"/>
          <w:color w:val="000000" w:themeColor="text1"/>
          <w:szCs w:val="22"/>
        </w:rPr>
        <w:t xml:space="preserve">Table </w:t>
      </w:r>
      <w:r w:rsidR="00B20EC7">
        <w:rPr>
          <w:rFonts w:ascii="Times New Roman"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In 1987, the PFMC implemented separate sablefish allocations and t</w:t>
      </w:r>
      <w:commentRangeStart w:id="9"/>
      <w:r>
        <w:rPr>
          <w:rFonts w:ascii="Times New Roman" w:eastAsia="Calibri" w:hAnsi="Times New Roman" w:cs="Times New Roman"/>
          <w:color w:val="000000" w:themeColor="text1"/>
          <w:szCs w:val="22"/>
        </w:rPr>
        <w:t>rip limits</w:t>
      </w:r>
      <w:commentRangeEnd w:id="9"/>
      <w:r>
        <w:rPr>
          <w:rStyle w:val="CommentReference"/>
        </w:rPr>
        <w:commentReference w:id="9"/>
      </w:r>
      <w:r>
        <w:rPr>
          <w:rFonts w:ascii="Times New Roman" w:eastAsia="Calibri" w:hAnsi="Times New Roman" w:cs="Times New Roman"/>
          <w:color w:val="000000" w:themeColor="text1"/>
          <w:szCs w:val="22"/>
        </w:rPr>
        <w:t xml:space="preserve"> for trawl and non-trawl gears </w:t>
      </w:r>
      <w:r>
        <w:rPr>
          <w:rFonts w:ascii="Times New Roman" w:eastAsia="Calibri" w:hAnsi="Times New Roman" w:cs="Times New Roman"/>
          <w:color w:val="000000" w:themeColor="text1"/>
          <w:szCs w:val="22"/>
        </w:rPr>
        <w:lastRenderedPageBreak/>
        <w:t>at 52 and 48 % and 8,000 and 5,000 lbs, respectively. In 1991, trip limits were implemented for rockfish at 25,000 lb, where no more than 5,000 of the total could be from bocaccio</w:t>
      </w:r>
      <w:r w:rsidR="00C27E5E">
        <w:rPr>
          <w:rFonts w:ascii="Times New Roman" w:eastAsia="Calibri" w:hAnsi="Times New Roman" w:cs="Times New Roman"/>
          <w:color w:val="000000" w:themeColor="text1"/>
          <w:szCs w:val="22"/>
        </w:rPr>
        <w:t xml:space="preserve"> rockfish</w:t>
      </w:r>
      <w:r>
        <w:rPr>
          <w:rFonts w:ascii="Times New Roman" w:eastAsia="Calibri" w:hAnsi="Times New Roman" w:cs="Times New Roman"/>
          <w:color w:val="000000" w:themeColor="text1"/>
          <w:szCs w:val="22"/>
        </w:rPr>
        <w:t>. Furthermore, 1991 marked the year in which the allowable biological catch of bocaccio</w:t>
      </w:r>
      <w:r w:rsidR="00C27E5E">
        <w:rPr>
          <w:rFonts w:ascii="Times New Roman" w:eastAsia="Calibri" w:hAnsi="Times New Roman" w:cs="Times New Roman"/>
          <w:color w:val="000000" w:themeColor="text1"/>
          <w:szCs w:val="22"/>
        </w:rPr>
        <w:t xml:space="preserve"> rockfish</w:t>
      </w:r>
      <w:r>
        <w:rPr>
          <w:rFonts w:ascii="Times New Roman" w:eastAsia="Calibri" w:hAnsi="Times New Roman" w:cs="Times New Roman"/>
          <w:color w:val="000000" w:themeColor="text1"/>
          <w:szCs w:val="22"/>
        </w:rPr>
        <w:t xml:space="preserve"> decreased for the first time (from 6,100 to 1,100 mt) and continued to decrease until 2002 (</w:t>
      </w:r>
      <w:r w:rsidRPr="00E13DD8">
        <w:rPr>
          <w:rFonts w:ascii="Times New Roman" w:eastAsia="Calibri" w:hAnsi="Times New Roman" w:cs="Times New Roman"/>
          <w:color w:val="000000" w:themeColor="text1"/>
          <w:szCs w:val="22"/>
        </w:rPr>
        <w:t>Field, 2013</w:t>
      </w:r>
      <w:r>
        <w:rPr>
          <w:rFonts w:ascii="Times New Roman" w:eastAsia="Calibri" w:hAnsi="Times New Roman" w:cs="Times New Roman"/>
          <w:color w:val="000000" w:themeColor="text1"/>
          <w:szCs w:val="22"/>
        </w:rPr>
        <w:t xml:space="preserve">). The sablefish endorsement was created in 1997, limiting the LE fixed gear sablefish fishery to those fishers with a history of sablefish landings using fixed gear. The LE fixed gear sablefish fishery was constrained to waters north of 36° N latitude. Fishers who did not qualify for the endorsement were only allowed to fish in the open access daily trip limit fishery, where limits were specific to areas north and south of 36° N latitude. From 1997 to 2004, landings for live sablefish increased linearly almost every year. </w:t>
      </w:r>
    </w:p>
    <w:p w14:paraId="557174AD" w14:textId="7792DA1C" w:rsidR="00C16441" w:rsidRPr="00C16441" w:rsidRDefault="00C16441" w:rsidP="000F6042">
      <w:pPr>
        <w:spacing w:line="240" w:lineRule="auto"/>
        <w:ind w:firstLine="720"/>
        <w:jc w:val="both"/>
        <w:rPr>
          <w:rFonts w:ascii="Times New Roman" w:eastAsia="Calibri" w:hAnsi="Times New Roman" w:cs="Times New Roman"/>
          <w:color w:val="000000" w:themeColor="text1"/>
          <w:szCs w:val="22"/>
        </w:rPr>
      </w:pPr>
      <w:r w:rsidRPr="00C16441">
        <w:rPr>
          <w:rFonts w:ascii="Times New Roman" w:eastAsia="Calibri" w:hAnsi="Times New Roman" w:cs="Times New Roman"/>
          <w:color w:val="000000" w:themeColor="text1"/>
          <w:szCs w:val="22"/>
        </w:rPr>
        <w:t xml:space="preserve">ITQ systems are consistently promoted for their ability to increase resource stewardship by transferring ownership to individual </w:t>
      </w:r>
      <w:r w:rsidR="001A51D8">
        <w:rPr>
          <w:rFonts w:ascii="Times New Roman" w:eastAsia="Calibri" w:hAnsi="Times New Roman" w:cs="Times New Roman"/>
          <w:color w:val="000000" w:themeColor="text1"/>
          <w:szCs w:val="22"/>
        </w:rPr>
        <w:t>fishers</w:t>
      </w:r>
      <w:r w:rsidRPr="00C16441">
        <w:rPr>
          <w:rFonts w:ascii="Times New Roman" w:eastAsia="Calibri" w:hAnsi="Times New Roman" w:cs="Times New Roman"/>
          <w:color w:val="000000" w:themeColor="text1"/>
          <w:szCs w:val="22"/>
        </w:rPr>
        <w:t xml:space="preserve">. Results </w:t>
      </w:r>
      <w:r w:rsidR="00E06D88">
        <w:rPr>
          <w:rFonts w:ascii="Times New Roman" w:eastAsia="Calibri" w:hAnsi="Times New Roman" w:cs="Times New Roman"/>
          <w:color w:val="000000" w:themeColor="text1"/>
          <w:szCs w:val="22"/>
        </w:rPr>
        <w:t>did not indicate a dominant shift in gear choice a</w:t>
      </w:r>
      <w:r w:rsidRPr="00C16441">
        <w:rPr>
          <w:rFonts w:ascii="Times New Roman" w:eastAsia="Calibri" w:hAnsi="Times New Roman" w:cs="Times New Roman"/>
          <w:color w:val="000000" w:themeColor="text1"/>
          <w:szCs w:val="22"/>
        </w:rPr>
        <w:t>fter the implementation of catch shares in 2011</w:t>
      </w:r>
      <w:r w:rsidR="00E06D88">
        <w:rPr>
          <w:rFonts w:ascii="Times New Roman" w:eastAsia="Calibri" w:hAnsi="Times New Roman" w:cs="Times New Roman"/>
          <w:color w:val="000000" w:themeColor="text1"/>
          <w:szCs w:val="22"/>
        </w:rPr>
        <w:t xml:space="preserve">. The reason for this lack of change remains unknown but could have occurred because </w:t>
      </w:r>
      <w:r w:rsidRPr="00C16441">
        <w:rPr>
          <w:rFonts w:ascii="Times New Roman" w:eastAsia="Calibri" w:hAnsi="Times New Roman" w:cs="Times New Roman"/>
          <w:color w:val="000000" w:themeColor="text1"/>
          <w:szCs w:val="22"/>
        </w:rPr>
        <w:t>of bycatch constraints</w:t>
      </w:r>
      <w:r w:rsidR="00E06D88">
        <w:rPr>
          <w:rFonts w:ascii="Times New Roman" w:eastAsia="Calibri" w:hAnsi="Times New Roman" w:cs="Times New Roman"/>
          <w:color w:val="000000" w:themeColor="text1"/>
          <w:szCs w:val="22"/>
        </w:rPr>
        <w:t xml:space="preserve"> (i.e., bycatch rates are gear specific and fishers may be constrained by species for which they do not have quota if they switch gears), a flooded market and decreasing price per pound, a lack of knowledge about where to fish with a new gear type as catch rates of sablefish will more than likely be both gear- and location-specific, </w:t>
      </w:r>
      <w:r w:rsidRPr="00C16441">
        <w:rPr>
          <w:rFonts w:ascii="Times New Roman" w:eastAsia="Calibri" w:hAnsi="Times New Roman" w:cs="Times New Roman"/>
          <w:color w:val="000000" w:themeColor="text1"/>
          <w:szCs w:val="22"/>
        </w:rPr>
        <w:t>or some other factor. Economic data were available on vessels using fixed gear, which could have helped tease apart some of the hypotheses, but they were not included in the analysis because of limited sample sizes given confidentiality constraints. Nevertheless, the framework presented here offers those with access to the full data set to model changes at the vessel level which would perhaps provide increased insight on the drivers of gear switching beyond the fact the political environment allowed for it.</w:t>
      </w:r>
    </w:p>
    <w:p w14:paraId="714C5433" w14:textId="0E9F7889" w:rsidR="00EA0AFC" w:rsidRDefault="00E06D88" w:rsidP="0060306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w:t>
      </w:r>
      <w:r w:rsidR="00C16441" w:rsidRPr="00C16441">
        <w:rPr>
          <w:rFonts w:ascii="Times New Roman" w:eastAsia="Calibri" w:hAnsi="Times New Roman" w:cs="Times New Roman"/>
          <w:color w:val="000000" w:themeColor="text1"/>
          <w:szCs w:val="22"/>
        </w:rPr>
        <w:t xml:space="preserve">esults demonstrate that </w:t>
      </w:r>
      <w:r w:rsidR="001A51D8">
        <w:rPr>
          <w:rFonts w:ascii="Times New Roman" w:eastAsia="Calibri" w:hAnsi="Times New Roman" w:cs="Times New Roman"/>
          <w:color w:val="000000" w:themeColor="text1"/>
          <w:szCs w:val="22"/>
        </w:rPr>
        <w:t>fishers</w:t>
      </w:r>
      <w:r w:rsidR="00C16441" w:rsidRPr="00C16441">
        <w:rPr>
          <w:rFonts w:ascii="Times New Roman" w:eastAsia="Calibri" w:hAnsi="Times New Roman" w:cs="Times New Roman"/>
          <w:color w:val="000000" w:themeColor="text1"/>
          <w:szCs w:val="22"/>
        </w:rPr>
        <w:t xml:space="preserve"> can adapt their behaviour, within certain constraints. As outlined above, additional information is needed to determine the extent to which </w:t>
      </w:r>
      <w:r w:rsidR="001A51D8">
        <w:rPr>
          <w:rFonts w:ascii="Times New Roman" w:eastAsia="Calibri" w:hAnsi="Times New Roman" w:cs="Times New Roman"/>
          <w:color w:val="000000" w:themeColor="text1"/>
          <w:szCs w:val="22"/>
        </w:rPr>
        <w:t>fishers</w:t>
      </w:r>
      <w:r w:rsidR="00C16441" w:rsidRPr="00C16441">
        <w:rPr>
          <w:rFonts w:ascii="Times New Roman" w:eastAsia="Calibri" w:hAnsi="Times New Roman" w:cs="Times New Roman"/>
          <w:color w:val="000000" w:themeColor="text1"/>
          <w:szCs w:val="22"/>
        </w:rPr>
        <w:t xml:space="preserve"> are willing to form associations or adopt alternative (federally allowed) governance structures. However, it is clear that incorporating information beyond traditional e</w:t>
      </w:r>
      <w:r w:rsidR="000F6042">
        <w:rPr>
          <w:rFonts w:ascii="Times New Roman" w:eastAsia="Calibri" w:hAnsi="Times New Roman" w:cs="Times New Roman"/>
          <w:color w:val="000000" w:themeColor="text1"/>
          <w:szCs w:val="22"/>
        </w:rPr>
        <w:t>cological data (e.g., crew size</w:t>
      </w:r>
      <w:r w:rsidR="00C16441" w:rsidRPr="00C16441">
        <w:rPr>
          <w:rFonts w:ascii="Times New Roman" w:eastAsia="Calibri" w:hAnsi="Times New Roman" w:cs="Times New Roman"/>
          <w:color w:val="000000" w:themeColor="text1"/>
          <w:szCs w:val="22"/>
        </w:rPr>
        <w:t xml:space="preserve">) can help managers elicit the drivers of </w:t>
      </w:r>
      <w:r w:rsidR="001A51D8">
        <w:rPr>
          <w:rFonts w:ascii="Times New Roman" w:eastAsia="Calibri" w:hAnsi="Times New Roman" w:cs="Times New Roman"/>
          <w:color w:val="000000" w:themeColor="text1"/>
          <w:szCs w:val="22"/>
        </w:rPr>
        <w:t>fisher</w:t>
      </w:r>
      <w:r w:rsidR="00C16441" w:rsidRPr="00C16441">
        <w:rPr>
          <w:rFonts w:ascii="Times New Roman" w:eastAsia="Calibri" w:hAnsi="Times New Roman" w:cs="Times New Roman"/>
          <w:color w:val="000000" w:themeColor="text1"/>
          <w:szCs w:val="22"/>
        </w:rPr>
        <w:t xml:space="preserve"> </w:t>
      </w:r>
      <w:r w:rsidRPr="00C16441">
        <w:rPr>
          <w:rFonts w:ascii="Times New Roman" w:eastAsia="Calibri" w:hAnsi="Times New Roman" w:cs="Times New Roman"/>
          <w:color w:val="000000" w:themeColor="text1"/>
          <w:szCs w:val="22"/>
        </w:rPr>
        <w:t>behaviour</w:t>
      </w:r>
      <w:r w:rsidR="00C16441" w:rsidRPr="00C16441">
        <w:rPr>
          <w:rFonts w:ascii="Times New Roman" w:eastAsia="Calibri" w:hAnsi="Times New Roman" w:cs="Times New Roman"/>
          <w:color w:val="000000" w:themeColor="text1"/>
          <w:szCs w:val="22"/>
        </w:rPr>
        <w:t xml:space="preserve">. </w:t>
      </w:r>
      <w:r w:rsidR="0060306A">
        <w:rPr>
          <w:rFonts w:ascii="Times New Roman" w:eastAsia="Calibri" w:hAnsi="Times New Roman" w:cs="Times New Roman"/>
          <w:color w:val="000000" w:themeColor="text1"/>
          <w:szCs w:val="22"/>
        </w:rPr>
        <w:t>M</w:t>
      </w:r>
      <w:r w:rsidR="0060306A" w:rsidRPr="00C16441">
        <w:rPr>
          <w:rFonts w:ascii="Times New Roman" w:eastAsia="Calibri" w:hAnsi="Times New Roman" w:cs="Times New Roman"/>
          <w:color w:val="000000" w:themeColor="text1"/>
          <w:szCs w:val="22"/>
        </w:rPr>
        <w:t xml:space="preserve">ethods that integrate knowledge from multiple disciplines into a single study build on traditional disciplinary research </w:t>
      </w:r>
      <w:r w:rsidR="0060306A">
        <w:rPr>
          <w:rFonts w:ascii="Times New Roman" w:eastAsia="Calibri" w:hAnsi="Times New Roman" w:cs="Times New Roman"/>
          <w:color w:val="000000" w:themeColor="text1"/>
          <w:szCs w:val="22"/>
        </w:rPr>
        <w:t xml:space="preserve">and </w:t>
      </w:r>
      <w:r w:rsidR="0060306A" w:rsidRPr="00C16441">
        <w:rPr>
          <w:rFonts w:ascii="Times New Roman" w:eastAsia="Calibri" w:hAnsi="Times New Roman" w:cs="Times New Roman"/>
          <w:color w:val="000000" w:themeColor="text1"/>
          <w:szCs w:val="22"/>
        </w:rPr>
        <w:t xml:space="preserve">highlight the need to account for socio-cultural and –economic factors inherent in fishery management issues (Komoroske and Lewison, 2015). </w:t>
      </w:r>
      <w:r w:rsidR="00C16441" w:rsidRPr="00C16441">
        <w:rPr>
          <w:rFonts w:ascii="Times New Roman" w:eastAsia="Calibri" w:hAnsi="Times New Roman" w:cs="Times New Roman"/>
          <w:color w:val="000000" w:themeColor="text1"/>
          <w:szCs w:val="22"/>
        </w:rPr>
        <w:t xml:space="preserve">Models, such as that presented here, contribute to a more complete and in-depth understanding of fisherman </w:t>
      </w:r>
      <w:r w:rsidRPr="00C16441">
        <w:rPr>
          <w:rFonts w:ascii="Times New Roman" w:eastAsia="Calibri" w:hAnsi="Times New Roman" w:cs="Times New Roman"/>
          <w:color w:val="000000" w:themeColor="text1"/>
          <w:szCs w:val="22"/>
        </w:rPr>
        <w:t>behaviour</w:t>
      </w:r>
      <w:r w:rsidR="00C16441" w:rsidRPr="00C16441">
        <w:rPr>
          <w:rFonts w:ascii="Times New Roman" w:eastAsia="Calibri" w:hAnsi="Times New Roman" w:cs="Times New Roman"/>
          <w:color w:val="000000" w:themeColor="text1"/>
          <w:szCs w:val="22"/>
        </w:rPr>
        <w:t xml:space="preserve"> and response to management, offering a framework to assess changes in </w:t>
      </w:r>
      <w:r w:rsidR="001A51D8">
        <w:rPr>
          <w:rFonts w:ascii="Times New Roman" w:eastAsia="Calibri" w:hAnsi="Times New Roman" w:cs="Times New Roman"/>
          <w:color w:val="000000" w:themeColor="text1"/>
          <w:szCs w:val="22"/>
        </w:rPr>
        <w:t>fisher</w:t>
      </w:r>
      <w:r w:rsidR="00C16441" w:rsidRPr="00C16441">
        <w:rPr>
          <w:rFonts w:ascii="Times New Roman" w:eastAsia="Calibri" w:hAnsi="Times New Roman" w:cs="Times New Roman"/>
          <w:color w:val="000000" w:themeColor="text1"/>
          <w:szCs w:val="22"/>
        </w:rPr>
        <w:t xml:space="preserve"> </w:t>
      </w:r>
      <w:r w:rsidRPr="00C16441">
        <w:rPr>
          <w:rFonts w:ascii="Times New Roman" w:eastAsia="Calibri" w:hAnsi="Times New Roman" w:cs="Times New Roman"/>
          <w:color w:val="000000" w:themeColor="text1"/>
          <w:szCs w:val="22"/>
        </w:rPr>
        <w:t>behaviour</w:t>
      </w:r>
      <w:r w:rsidR="00C16441" w:rsidRPr="00C16441">
        <w:rPr>
          <w:rFonts w:ascii="Times New Roman" w:eastAsia="Calibri" w:hAnsi="Times New Roman" w:cs="Times New Roman"/>
          <w:color w:val="000000" w:themeColor="text1"/>
          <w:szCs w:val="22"/>
        </w:rPr>
        <w:t xml:space="preserve"> and their potential impact on bycatch within other fisheries.</w:t>
      </w:r>
    </w:p>
    <w:p w14:paraId="68694E61" w14:textId="77777777" w:rsidR="00C16441" w:rsidRDefault="00C16441" w:rsidP="00C16441">
      <w:pPr>
        <w:spacing w:line="240" w:lineRule="auto"/>
        <w:jc w:val="both"/>
        <w:rPr>
          <w:rFonts w:ascii="Times New Roman" w:eastAsia="Calibri" w:hAnsi="Times New Roman" w:cs="Times New Roman"/>
          <w:color w:val="000000" w:themeColor="text1"/>
          <w:szCs w:val="22"/>
        </w:rPr>
      </w:pPr>
    </w:p>
    <w:p w14:paraId="22DB64C2" w14:textId="65AE05ED" w:rsidR="0048082C" w:rsidRDefault="004D44DA"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r w:rsidR="0048082C" w:rsidRPr="002955AA">
        <w:rPr>
          <w:rFonts w:ascii="Times New Roman" w:eastAsia="Calibri" w:hAnsi="Times New Roman" w:cs="Times New Roman"/>
          <w:color w:val="000000" w:themeColor="text1"/>
          <w:szCs w:val="22"/>
        </w:rPr>
        <w:t>Acknowledgements</w:t>
      </w:r>
    </w:p>
    <w:p w14:paraId="55B51F7F" w14:textId="38978B61" w:rsidR="0048082C" w:rsidRPr="003E70ED" w:rsidRDefault="00E960D8" w:rsidP="00145B28">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This publication was partially funded by the Joint Institute for the Study of the Atmosphere and Ocean (JISAO) under NOAA </w:t>
      </w:r>
      <w:r w:rsidRPr="004229B6">
        <w:rPr>
          <w:rFonts w:ascii="Times New Roman" w:eastAsia="Calibri" w:hAnsi="Times New Roman" w:cs="Times New Roman"/>
          <w:color w:val="000000" w:themeColor="text1"/>
          <w:szCs w:val="22"/>
        </w:rPr>
        <w:t xml:space="preserve">Cooperative Agreement No. ??, Contribution No. ?? and The National Science Foundation </w:t>
      </w:r>
      <w:r w:rsidR="00B2325D" w:rsidRPr="004229B6">
        <w:rPr>
          <w:rFonts w:ascii="Times New Roman" w:eastAsia="Calibri" w:hAnsi="Times New Roman" w:cs="Times New Roman"/>
          <w:color w:val="000000" w:themeColor="text1"/>
          <w:szCs w:val="22"/>
        </w:rPr>
        <w:t xml:space="preserve">(NSF) </w:t>
      </w:r>
      <w:r w:rsidRPr="004229B6">
        <w:rPr>
          <w:rFonts w:ascii="Times New Roman" w:eastAsia="Calibri" w:hAnsi="Times New Roman" w:cs="Times New Roman"/>
          <w:color w:val="000000" w:themeColor="text1"/>
          <w:szCs w:val="22"/>
        </w:rPr>
        <w:t xml:space="preserve">under ??. KFJ was partially supported for this work by </w:t>
      </w:r>
      <w:r w:rsidR="00B2325D" w:rsidRPr="004229B6">
        <w:rPr>
          <w:rFonts w:ascii="Times New Roman" w:eastAsia="Calibri" w:hAnsi="Times New Roman" w:cs="Times New Roman"/>
          <w:color w:val="000000" w:themeColor="text1"/>
          <w:szCs w:val="22"/>
        </w:rPr>
        <w:t>a grant from Washington Sea Grant, University of Washington</w:t>
      </w:r>
      <w:r w:rsidR="00B2325D">
        <w:rPr>
          <w:rFonts w:ascii="Times New Roman" w:eastAsia="Calibri" w:hAnsi="Times New Roman" w:cs="Times New Roman"/>
          <w:color w:val="000000" w:themeColor="text1"/>
          <w:szCs w:val="22"/>
        </w:rPr>
        <w:t xml:space="preserve">, pursuant to National Ocean and Atmospheric Administration Award No. NA14OAR4170078. </w:t>
      </w:r>
      <w:r w:rsidRPr="003E70ED">
        <w:rPr>
          <w:rFonts w:ascii="Times New Roman" w:eastAsia="Calibri" w:hAnsi="Times New Roman" w:cs="Times New Roman"/>
          <w:color w:val="000000" w:themeColor="text1"/>
          <w:szCs w:val="22"/>
        </w:rPr>
        <w:t>SK was partially supported for this work by</w:t>
      </w:r>
      <w:r w:rsidR="00FD2318">
        <w:rPr>
          <w:rFonts w:ascii="Times New Roman" w:eastAsia="Calibri" w:hAnsi="Times New Roman" w:cs="Times New Roman"/>
          <w:color w:val="000000" w:themeColor="text1"/>
          <w:szCs w:val="22"/>
        </w:rPr>
        <w:t xml:space="preserve"> the Social Sciences and Humanities Research Council of Canada Grant F12-04439</w:t>
      </w:r>
      <w:r w:rsidRPr="003E70ED">
        <w:rPr>
          <w:rFonts w:ascii="Times New Roman" w:eastAsia="Calibri" w:hAnsi="Times New Roman" w:cs="Times New Roman"/>
          <w:color w:val="000000" w:themeColor="text1"/>
          <w:szCs w:val="22"/>
        </w:rPr>
        <w:t>. AKS was partially supported for this work by</w:t>
      </w:r>
      <w:r w:rsidR="00BF254F">
        <w:rPr>
          <w:rFonts w:ascii="Times New Roman" w:eastAsia="Calibri" w:hAnsi="Times New Roman" w:cs="Times New Roman"/>
          <w:color w:val="000000" w:themeColor="text1"/>
          <w:szCs w:val="22"/>
        </w:rPr>
        <w:t xml:space="preserve"> the Smithsonian Tropical Research Institute and the Panamanian National Secretariat for Science, Technology and Innovation</w:t>
      </w:r>
      <w:r w:rsidRPr="003E70ED">
        <w:rPr>
          <w:rFonts w:ascii="Times New Roman" w:eastAsia="Calibri" w:hAnsi="Times New Roman" w:cs="Times New Roman"/>
          <w:color w:val="000000" w:themeColor="text1"/>
          <w:szCs w:val="22"/>
        </w:rPr>
        <w:t>. NH was partially supported for this work by</w:t>
      </w:r>
      <w:r w:rsidR="00B2325D">
        <w:rPr>
          <w:rFonts w:ascii="Times New Roman" w:eastAsia="Calibri" w:hAnsi="Times New Roman" w:cs="Times New Roman"/>
          <w:color w:val="000000" w:themeColor="text1"/>
          <w:szCs w:val="22"/>
        </w:rPr>
        <w:t xml:space="preserve"> a Coastal SEES NSF grant</w:t>
      </w:r>
      <w:r w:rsidRPr="003E70ED">
        <w:rPr>
          <w:rFonts w:ascii="Times New Roman" w:eastAsia="Calibri" w:hAnsi="Times New Roman" w:cs="Times New Roman"/>
          <w:color w:val="000000" w:themeColor="text1"/>
          <w:szCs w:val="22"/>
        </w:rPr>
        <w:t xml:space="preserve">. The authors thank </w:t>
      </w:r>
      <w:r w:rsidR="005B7E23">
        <w:rPr>
          <w:rFonts w:ascii="Times New Roman" w:eastAsia="Calibri" w:hAnsi="Times New Roman" w:cs="Times New Roman"/>
          <w:color w:val="000000" w:themeColor="text1"/>
          <w:szCs w:val="22"/>
        </w:rPr>
        <w:t>Erin Steiner and Beth Horness for providing data,</w:t>
      </w:r>
      <w:r w:rsidRPr="003E70ED">
        <w:rPr>
          <w:rFonts w:ascii="Times New Roman" w:eastAsia="Calibri" w:hAnsi="Times New Roman" w:cs="Times New Roman"/>
          <w:color w:val="000000" w:themeColor="text1"/>
          <w:szCs w:val="22"/>
        </w:rPr>
        <w:t xml:space="preserve"> </w:t>
      </w:r>
      <w:r w:rsidR="005B7E23">
        <w:rPr>
          <w:rFonts w:ascii="Times New Roman" w:eastAsia="Calibri" w:hAnsi="Times New Roman" w:cs="Times New Roman"/>
          <w:color w:val="000000" w:themeColor="text1"/>
          <w:szCs w:val="22"/>
        </w:rPr>
        <w:t>Todd Lee for his initial insights,</w:t>
      </w:r>
      <w:r w:rsidRPr="003E70ED">
        <w:rPr>
          <w:rFonts w:ascii="Times New Roman" w:eastAsia="Calibri" w:hAnsi="Times New Roman" w:cs="Times New Roman"/>
          <w:color w:val="000000" w:themeColor="text1"/>
          <w:szCs w:val="22"/>
        </w:rPr>
        <w:t xml:space="preserve"> and </w:t>
      </w:r>
      <w:r w:rsidR="002B1893" w:rsidRPr="003E70ED">
        <w:rPr>
          <w:rFonts w:ascii="Times New Roman" w:eastAsia="Calibri" w:hAnsi="Times New Roman" w:cs="Times New Roman"/>
          <w:color w:val="000000" w:themeColor="text1"/>
          <w:szCs w:val="22"/>
        </w:rPr>
        <w:t xml:space="preserve">the organizers and </w:t>
      </w:r>
      <w:r w:rsidRPr="003E70ED">
        <w:rPr>
          <w:rFonts w:ascii="Times New Roman" w:eastAsia="Calibri" w:hAnsi="Times New Roman" w:cs="Times New Roman"/>
          <w:color w:val="000000" w:themeColor="text1"/>
          <w:szCs w:val="22"/>
        </w:rPr>
        <w:t>participants of the 2014 Transdisciplinary Academy in Marine Resource Sustainability</w:t>
      </w:r>
      <w:r w:rsidR="002B1893" w:rsidRPr="003E70ED">
        <w:rPr>
          <w:rFonts w:ascii="Times New Roman" w:eastAsia="Calibri" w:hAnsi="Times New Roman" w:cs="Times New Roman"/>
          <w:color w:val="000000" w:themeColor="text1"/>
          <w:szCs w:val="22"/>
        </w:rPr>
        <w:t xml:space="preserve"> for discussions and advice prior to the completion of this manuscript.</w:t>
      </w:r>
      <w:r w:rsidR="00B2325D" w:rsidRPr="00B2325D">
        <w:rPr>
          <w:rFonts w:ascii="Times New Roman" w:eastAsia="Calibri" w:hAnsi="Times New Roman" w:cs="Times New Roman"/>
          <w:color w:val="000000" w:themeColor="text1"/>
          <w:szCs w:val="22"/>
        </w:rPr>
        <w:t xml:space="preserve"> </w:t>
      </w:r>
      <w:r w:rsidR="00B2325D">
        <w:rPr>
          <w:rFonts w:ascii="Times New Roman" w:eastAsia="Calibri" w:hAnsi="Times New Roman" w:cs="Times New Roman"/>
          <w:color w:val="000000" w:themeColor="text1"/>
          <w:szCs w:val="22"/>
        </w:rPr>
        <w:t>The views expressed herein are those of the authors and do not necessarily reflect the views of NOAA or any of its sub-agencies.</w:t>
      </w:r>
    </w:p>
    <w:p w14:paraId="20862DBF" w14:textId="77777777" w:rsidR="0048082C" w:rsidRPr="003E70ED" w:rsidRDefault="0048082C" w:rsidP="00145B28">
      <w:pPr>
        <w:spacing w:line="240" w:lineRule="auto"/>
        <w:jc w:val="both"/>
        <w:rPr>
          <w:rFonts w:ascii="Times New Roman" w:hAnsi="Times New Roman" w:cs="Times New Roman"/>
          <w:color w:val="000000" w:themeColor="text1"/>
          <w:szCs w:val="22"/>
        </w:rPr>
      </w:pPr>
    </w:p>
    <w:p w14:paraId="5695AD5C" w14:textId="0E269E32" w:rsidR="006774D2" w:rsidRDefault="004D44DA"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6</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commentRangeStart w:id="10"/>
      <w:r w:rsidR="00821574" w:rsidRPr="002955AA">
        <w:rPr>
          <w:rFonts w:ascii="Times New Roman" w:eastAsia="Calibri" w:hAnsi="Times New Roman" w:cs="Times New Roman"/>
          <w:color w:val="000000" w:themeColor="text1"/>
          <w:szCs w:val="22"/>
        </w:rPr>
        <w:t>References</w:t>
      </w:r>
      <w:commentRangeEnd w:id="10"/>
      <w:r w:rsidR="00F732F0">
        <w:rPr>
          <w:rStyle w:val="CommentReference"/>
        </w:rPr>
        <w:commentReference w:id="10"/>
      </w:r>
    </w:p>
    <w:p w14:paraId="47288C5F" w14:textId="2705684B"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Abbott, J. K., </w:t>
      </w:r>
      <w:r w:rsidR="005A1957"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Wilen, J. E. 2009. Regulation of fisheries bycatch with common-pool output quotas. Journal of Environmental Economics and Management</w:t>
      </w:r>
      <w:r w:rsidR="00DF4D8C" w:rsidRPr="00825A32">
        <w:rPr>
          <w:rFonts w:ascii="Times New Roman" w:eastAsia="Calibri" w:hAnsi="Times New Roman" w:cs="Times New Roman"/>
          <w:color w:val="000000" w:themeColor="text1"/>
          <w:szCs w:val="22"/>
        </w:rPr>
        <w:t>, 57</w:t>
      </w:r>
      <w:r w:rsidR="00446D20" w:rsidRPr="00825A32">
        <w:rPr>
          <w:rFonts w:ascii="Times New Roman" w:eastAsia="Calibri" w:hAnsi="Times New Roman" w:cs="Times New Roman"/>
          <w:color w:val="000000" w:themeColor="text1"/>
          <w:szCs w:val="22"/>
        </w:rPr>
        <w:t>:195-204</w:t>
      </w:r>
      <w:r w:rsidRPr="00825A32">
        <w:rPr>
          <w:rFonts w:ascii="Times New Roman" w:eastAsia="Calibri" w:hAnsi="Times New Roman" w:cs="Times New Roman"/>
          <w:color w:val="000000" w:themeColor="text1"/>
          <w:szCs w:val="22"/>
        </w:rPr>
        <w:t>.</w:t>
      </w:r>
    </w:p>
    <w:p w14:paraId="286C136F" w14:textId="5DCDC3D1" w:rsidR="00D13B80" w:rsidRDefault="00D13B80"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Allen, P. M., and McGlade, J. M. 1987. Modelling complex human systems: a fisheries example. European Journal of Operational Research, 30: 147-167.</w:t>
      </w:r>
    </w:p>
    <w:p w14:paraId="5F310423" w14:textId="2BF805BB" w:rsidR="00380029" w:rsidRPr="00825A32" w:rsidRDefault="00380029"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Andrew, N. L., and Pepperell, J. G. 1992. The by-catch of shrimp trawl fisheries. Oceanography and Marine Biology: An Annual Review, 30: 527-565.</w:t>
      </w:r>
    </w:p>
    <w:p w14:paraId="3A7B82F9" w14:textId="735A6EDE" w:rsidR="006774D2"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Androkovich, R. A., </w:t>
      </w:r>
      <w:r w:rsidR="005A1957"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Stollery, K. R. 1994. A stochastic dynamic programming model of bycatch in fisheries. Mari</w:t>
      </w:r>
      <w:r w:rsidR="00DF4D8C" w:rsidRPr="00825A32">
        <w:rPr>
          <w:rFonts w:ascii="Times New Roman" w:eastAsia="Calibri" w:hAnsi="Times New Roman" w:cs="Times New Roman"/>
          <w:color w:val="000000" w:themeColor="text1"/>
          <w:szCs w:val="22"/>
        </w:rPr>
        <w:t>ne Resource Economics, 9: 19-30.</w:t>
      </w:r>
    </w:p>
    <w:p w14:paraId="603FFF39" w14:textId="6B40AD13" w:rsidR="00D141EC" w:rsidRDefault="00D141EC"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Bellman, M. A., and Heery, E. 2013. Discarding and fishing mortality trends in the U.S. west coast groundfish demersal trawl fishery. Fisheries research, `147: 115-126.</w:t>
      </w:r>
    </w:p>
    <w:p w14:paraId="2F5C5C81" w14:textId="348DAC1B" w:rsidR="00E422D3" w:rsidRPr="00825A32" w:rsidRDefault="00E422D3"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Beverton, R. J. H., </w:t>
      </w:r>
      <w:r w:rsidR="005A1957"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Holt, S. J. 1957. On the dynamics of exploited fish populations. Fisheries Investigations Series II, Ministry of Agriculture, Fisheries, and Food, 19: 1-5</w:t>
      </w:r>
      <w:r w:rsidR="002A2FC1" w:rsidRPr="00825A32">
        <w:rPr>
          <w:rFonts w:ascii="Times New Roman" w:eastAsia="Calibri" w:hAnsi="Times New Roman" w:cs="Times New Roman"/>
          <w:color w:val="000000" w:themeColor="text1"/>
          <w:szCs w:val="22"/>
        </w:rPr>
        <w:t>3</w:t>
      </w:r>
      <w:r w:rsidR="00742F9F" w:rsidRPr="00825A32">
        <w:rPr>
          <w:rFonts w:ascii="Times New Roman" w:eastAsia="Calibri" w:hAnsi="Times New Roman" w:cs="Times New Roman"/>
          <w:color w:val="000000" w:themeColor="text1"/>
          <w:szCs w:val="22"/>
        </w:rPr>
        <w:t>3.</w:t>
      </w:r>
    </w:p>
    <w:p w14:paraId="48EC83EB" w14:textId="0B1D8251" w:rsidR="00742F9F" w:rsidRPr="00825A32" w:rsidRDefault="00742F9F"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Bjorkland, R., Dunn, D. C., McClure, M.</w:t>
      </w:r>
      <w:r w:rsidR="001234B2" w:rsidRPr="00825A32">
        <w:rPr>
          <w:rFonts w:ascii="Times New Roman" w:eastAsia="Calibri" w:hAnsi="Times New Roman" w:cs="Times New Roman"/>
          <w:color w:val="000000" w:themeColor="text1"/>
          <w:szCs w:val="22"/>
        </w:rPr>
        <w:t xml:space="preserve"> M.</w:t>
      </w:r>
      <w:r w:rsidRPr="00825A32">
        <w:rPr>
          <w:rFonts w:ascii="Times New Roman" w:eastAsia="Calibri" w:hAnsi="Times New Roman" w:cs="Times New Roman"/>
          <w:color w:val="000000" w:themeColor="text1"/>
          <w:szCs w:val="22"/>
        </w:rPr>
        <w:t>, Jannot, J.</w:t>
      </w:r>
      <w:r w:rsidR="001234B2" w:rsidRPr="00825A32">
        <w:rPr>
          <w:rFonts w:ascii="Times New Roman" w:eastAsia="Calibri" w:hAnsi="Times New Roman" w:cs="Times New Roman"/>
          <w:color w:val="000000" w:themeColor="text1"/>
          <w:szCs w:val="22"/>
        </w:rPr>
        <w:t xml:space="preserve"> J.</w:t>
      </w:r>
      <w:r w:rsidRPr="00825A32">
        <w:rPr>
          <w:rFonts w:ascii="Times New Roman" w:eastAsia="Calibri" w:hAnsi="Times New Roman" w:cs="Times New Roman"/>
          <w:color w:val="000000" w:themeColor="text1"/>
          <w:szCs w:val="22"/>
        </w:rPr>
        <w:t>, Bellman, M. A., Gleason, M., and Schiffers, K. 2015. Spatiotemporal patterns of rockfish bycatch in US west coast groundfish fisheries: opportunities for reducing incidental catch of depleted species. Canadian Journa</w:t>
      </w:r>
      <w:r w:rsidR="001234B2" w:rsidRPr="00825A32">
        <w:rPr>
          <w:rFonts w:ascii="Times New Roman" w:eastAsia="Calibri" w:hAnsi="Times New Roman" w:cs="Times New Roman"/>
          <w:color w:val="000000" w:themeColor="text1"/>
          <w:szCs w:val="22"/>
        </w:rPr>
        <w:t>l of Fisheries and Aquatic Sciences, doi: 10.1139/cjfas-2014-0242.</w:t>
      </w:r>
    </w:p>
    <w:p w14:paraId="3F8463EB" w14:textId="5A4383DA"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Bradburn, M. J., Keller, A.,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Horness,  B. H. 2011. The 2003 to 2008 U.S. West Coast bottom trawl surveys of groundfish resources off Washington, Oregon, and California: estimates of distribution, abundance, length, and age composition. U.S. Dept. of Comm., NOAA Tech. Memo., NMFS-NWFSC-114, 323 p</w:t>
      </w:r>
      <w:r w:rsidR="00A96289" w:rsidRPr="00825A32">
        <w:rPr>
          <w:rFonts w:ascii="Times New Roman" w:eastAsia="Calibri" w:hAnsi="Times New Roman" w:cs="Times New Roman"/>
          <w:color w:val="000000" w:themeColor="text1"/>
          <w:szCs w:val="22"/>
        </w:rPr>
        <w:t>p</w:t>
      </w:r>
      <w:r w:rsidRPr="00825A32">
        <w:rPr>
          <w:rFonts w:ascii="Times New Roman" w:eastAsia="Calibri" w:hAnsi="Times New Roman" w:cs="Times New Roman"/>
          <w:color w:val="000000" w:themeColor="text1"/>
          <w:szCs w:val="22"/>
        </w:rPr>
        <w:t>.</w:t>
      </w:r>
    </w:p>
    <w:p w14:paraId="7403D12C" w14:textId="73663A76" w:rsidR="00E61FC7" w:rsidRPr="00825A32" w:rsidRDefault="002A2FC1"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Branch, T. A., Hilborn, R., Haynie, A. C., Fay, G., Flynn, L., Griffiths, J., Marshall, K. N.,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2006. Fleet dynamics and fishermen behaviour: lessons for fisheries managers. Canadian Journal of Fisheries and Aquatic Sciences, 63: 1647-1668.</w:t>
      </w:r>
    </w:p>
    <w:p w14:paraId="1DA97119" w14:textId="63A1744B"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Burnham, K. P., </w:t>
      </w:r>
      <w:r w:rsidR="00EE654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Anderson, D. R. </w:t>
      </w:r>
      <w:r w:rsidR="00EE654E" w:rsidRPr="00825A32">
        <w:rPr>
          <w:rFonts w:ascii="Times New Roman" w:eastAsia="Calibri" w:hAnsi="Times New Roman" w:cs="Times New Roman"/>
          <w:color w:val="000000" w:themeColor="text1"/>
          <w:szCs w:val="22"/>
        </w:rPr>
        <w:t>2002. Model Selection and Multim</w:t>
      </w:r>
      <w:r w:rsidRPr="00825A32">
        <w:rPr>
          <w:rFonts w:ascii="Times New Roman" w:eastAsia="Calibri" w:hAnsi="Times New Roman" w:cs="Times New Roman"/>
          <w:color w:val="000000" w:themeColor="text1"/>
          <w:szCs w:val="22"/>
        </w:rPr>
        <w:t>odel Inference: A Practical Information-Theoretic Approach. Springer.</w:t>
      </w:r>
      <w:r w:rsidR="00E17EDA" w:rsidRPr="00825A32">
        <w:rPr>
          <w:rFonts w:ascii="Times New Roman" w:eastAsia="Calibri" w:hAnsi="Times New Roman" w:cs="Times New Roman"/>
          <w:color w:val="000000" w:themeColor="text1"/>
          <w:szCs w:val="22"/>
        </w:rPr>
        <w:t xml:space="preserve"> 488 pp.</w:t>
      </w:r>
    </w:p>
    <w:p w14:paraId="0864839C" w14:textId="213D82F7" w:rsidR="002A2FC1" w:rsidRPr="00825A32" w:rsidRDefault="002A2FC1"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Campbell, H. F.,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Nicholl, R. B. 1994. Can purse seiners target yell</w:t>
      </w:r>
      <w:r w:rsidR="0061171E" w:rsidRPr="00825A32">
        <w:rPr>
          <w:rFonts w:ascii="Times New Roman" w:eastAsia="Calibri" w:hAnsi="Times New Roman" w:cs="Times New Roman"/>
          <w:color w:val="000000" w:themeColor="text1"/>
          <w:szCs w:val="22"/>
        </w:rPr>
        <w:t xml:space="preserve">owfin tuna? Land Economics, 70: </w:t>
      </w:r>
      <w:r w:rsidRPr="00825A32">
        <w:rPr>
          <w:rFonts w:ascii="Times New Roman" w:eastAsia="Calibri" w:hAnsi="Times New Roman" w:cs="Times New Roman"/>
          <w:color w:val="000000" w:themeColor="text1"/>
          <w:szCs w:val="22"/>
        </w:rPr>
        <w:t>345-354.</w:t>
      </w:r>
    </w:p>
    <w:p w14:paraId="13199BA4" w14:textId="55D5B8E0" w:rsidR="00BA2977" w:rsidRPr="00825A32" w:rsidRDefault="00BA2977"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Casey, K. E., Dewees, C. M., Turris, B. R.,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Wilen, J. E. 1995. The effects of individual vessel quotas in the British Columbia Halibut Fishery. Marine Resource Economics, 110: 211-230.</w:t>
      </w:r>
    </w:p>
    <w:p w14:paraId="14BD5DCB" w14:textId="7A65470E" w:rsidR="008F556E" w:rsidRPr="00825A32" w:rsidRDefault="008F556E"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Crowder, M. J. 1978. Beta-binomial anova for proportions. Applied Statistics, 27: 34-37.</w:t>
      </w:r>
    </w:p>
    <w:p w14:paraId="0CC15C59" w14:textId="77777777" w:rsidR="006774D2" w:rsidRPr="00825A32" w:rsidRDefault="00DF4D8C"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Deacon, R.</w:t>
      </w:r>
      <w:r w:rsidR="00821574" w:rsidRPr="00825A32">
        <w:rPr>
          <w:rFonts w:ascii="Times New Roman" w:eastAsia="Calibri" w:hAnsi="Times New Roman" w:cs="Times New Roman"/>
          <w:color w:val="000000" w:themeColor="text1"/>
          <w:szCs w:val="22"/>
        </w:rPr>
        <w:t xml:space="preserve"> T. 2012. Fishery </w:t>
      </w:r>
      <w:r w:rsidR="0031172A" w:rsidRPr="00825A32">
        <w:rPr>
          <w:rFonts w:ascii="Times New Roman" w:eastAsia="Calibri" w:hAnsi="Times New Roman" w:cs="Times New Roman"/>
          <w:color w:val="000000" w:themeColor="text1"/>
          <w:szCs w:val="22"/>
        </w:rPr>
        <w:t>m</w:t>
      </w:r>
      <w:r w:rsidR="00821574" w:rsidRPr="00825A32">
        <w:rPr>
          <w:rFonts w:ascii="Times New Roman" w:eastAsia="Calibri" w:hAnsi="Times New Roman" w:cs="Times New Roman"/>
          <w:color w:val="000000" w:themeColor="text1"/>
          <w:szCs w:val="22"/>
        </w:rPr>
        <w:t>anage</w:t>
      </w:r>
      <w:r w:rsidRPr="00825A32">
        <w:rPr>
          <w:rFonts w:ascii="Times New Roman" w:eastAsia="Calibri" w:hAnsi="Times New Roman" w:cs="Times New Roman"/>
          <w:color w:val="000000" w:themeColor="text1"/>
          <w:szCs w:val="22"/>
        </w:rPr>
        <w:t xml:space="preserve">ment by </w:t>
      </w:r>
      <w:r w:rsidR="0031172A" w:rsidRPr="00825A32">
        <w:rPr>
          <w:rFonts w:ascii="Times New Roman" w:eastAsia="Calibri" w:hAnsi="Times New Roman" w:cs="Times New Roman"/>
          <w:color w:val="000000" w:themeColor="text1"/>
          <w:szCs w:val="22"/>
        </w:rPr>
        <w:t>h</w:t>
      </w:r>
      <w:r w:rsidRPr="00825A32">
        <w:rPr>
          <w:rFonts w:ascii="Times New Roman" w:eastAsia="Calibri" w:hAnsi="Times New Roman" w:cs="Times New Roman"/>
          <w:color w:val="000000" w:themeColor="text1"/>
          <w:szCs w:val="22"/>
        </w:rPr>
        <w:t xml:space="preserve">arvester </w:t>
      </w:r>
      <w:r w:rsidR="0031172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ooperatives.</w:t>
      </w:r>
      <w:r w:rsidR="00821574" w:rsidRPr="00825A32">
        <w:rPr>
          <w:rFonts w:ascii="Times New Roman" w:eastAsia="Calibri" w:hAnsi="Times New Roman" w:cs="Times New Roman"/>
          <w:color w:val="000000" w:themeColor="text1"/>
          <w:szCs w:val="22"/>
        </w:rPr>
        <w:t xml:space="preserve"> Review of Environmental Economics and Policy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 xml:space="preserve"> 6:</w:t>
      </w:r>
      <w:r w:rsidR="0031172A" w:rsidRPr="00825A32">
        <w:rPr>
          <w:rFonts w:ascii="Times New Roman" w:eastAsia="Calibri" w:hAnsi="Times New Roman" w:cs="Times New Roman"/>
          <w:color w:val="000000" w:themeColor="text1"/>
          <w:szCs w:val="22"/>
        </w:rPr>
        <w:t xml:space="preserve"> 258-277.</w:t>
      </w:r>
    </w:p>
    <w:p w14:paraId="4F3B1604" w14:textId="1AA4BAA5" w:rsidR="004B15E6" w:rsidRPr="00825A32" w:rsidRDefault="004B15E6"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Dick, E. J., and MacCall, A. D. 2014. Status and productivity of cowcod, </w:t>
      </w:r>
      <w:r w:rsidRPr="00825A32">
        <w:rPr>
          <w:rFonts w:ascii="Times New Roman" w:eastAsia="Calibri" w:hAnsi="Times New Roman" w:cs="Times New Roman"/>
          <w:i/>
          <w:color w:val="000000" w:themeColor="text1"/>
          <w:szCs w:val="22"/>
        </w:rPr>
        <w:t>Sebastes levis</w:t>
      </w:r>
      <w:r w:rsidRPr="00825A32">
        <w:rPr>
          <w:rFonts w:ascii="Times New Roman" w:eastAsia="Calibri" w:hAnsi="Times New Roman" w:cs="Times New Roman"/>
          <w:color w:val="000000" w:themeColor="text1"/>
          <w:szCs w:val="22"/>
        </w:rPr>
        <w:t>, in the Southern California Bight, 2013. Pacific Fishery Management Council, Portland, OR.</w:t>
      </w:r>
    </w:p>
    <w:p w14:paraId="0ECB9E11" w14:textId="43ADC17B" w:rsidR="000D28E3" w:rsidRDefault="000D28E3"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Dickey-Collas, M., Payne, M. R., Trenkel, V. M., and Nash, R. D. M. 2014. Hazard warning: model misuse ahead. ICES Journal of Marine Science, 71: 2300-2306.</w:t>
      </w:r>
    </w:p>
    <w:p w14:paraId="25F4DE79" w14:textId="40458B39" w:rsidR="006B7F30" w:rsidRDefault="006B7F30"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Eliasen, S. Q., Papadopoulou, K.-N., Vassilopoulou, V., and Catchpole, T. L. 2013. Socio-economic and institutional incentives influencing fishers’ behaviour in relation to fishing practices and discard. ICES Journal of Marine Science, 71: 1298-1307.</w:t>
      </w:r>
    </w:p>
    <w:p w14:paraId="027AFF87" w14:textId="6CC4DE46" w:rsidR="008B1410" w:rsidRPr="00825A32" w:rsidRDefault="008B1410"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FAO</w:t>
      </w:r>
      <w:r w:rsidR="008E0E76" w:rsidRPr="00825A32">
        <w:rPr>
          <w:rFonts w:ascii="Times New Roman" w:eastAsia="Calibri" w:hAnsi="Times New Roman" w:cs="Times New Roman"/>
          <w:color w:val="000000" w:themeColor="text1"/>
          <w:szCs w:val="22"/>
        </w:rPr>
        <w:t>. 1995. Code of conduct for responsible fisheries. Food and Agriculture Organization of the United Nations. Rome, Italy.</w:t>
      </w:r>
      <w:r w:rsidR="009B5D51">
        <w:rPr>
          <w:rFonts w:ascii="Times New Roman" w:eastAsia="Calibri" w:hAnsi="Times New Roman" w:cs="Times New Roman"/>
          <w:color w:val="000000" w:themeColor="text1"/>
          <w:szCs w:val="22"/>
        </w:rPr>
        <w:t xml:space="preserve"> 41 p.</w:t>
      </w:r>
    </w:p>
    <w:p w14:paraId="00CB7A26" w14:textId="67BDE691" w:rsidR="003678E5" w:rsidRDefault="003678E5"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FAO</w:t>
      </w:r>
      <w:r w:rsidR="00537D78">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2010. Report of the FAO/UNEP expert meeting on impacts of destructive fishing practices, unsustainable fishing, and illegal, unreported and unregulated (IUU) fishing on marine biodiversity and habitats. </w:t>
      </w:r>
      <w:r w:rsidR="00537D78" w:rsidRPr="00825A32">
        <w:rPr>
          <w:rFonts w:ascii="Times New Roman" w:eastAsia="Calibri" w:hAnsi="Times New Roman" w:cs="Times New Roman"/>
          <w:color w:val="000000" w:themeColor="text1"/>
          <w:szCs w:val="22"/>
        </w:rPr>
        <w:t xml:space="preserve">Food and Agriculture Organization of the United Nations. </w:t>
      </w:r>
      <w:r>
        <w:rPr>
          <w:rFonts w:ascii="Times New Roman" w:eastAsia="Calibri" w:hAnsi="Times New Roman" w:cs="Times New Roman"/>
          <w:color w:val="000000" w:themeColor="text1"/>
          <w:szCs w:val="22"/>
        </w:rPr>
        <w:t>Rome, Italy. 32 p.</w:t>
      </w:r>
    </w:p>
    <w:p w14:paraId="54F3358D" w14:textId="77777777" w:rsidR="00631F13" w:rsidRPr="00825A32" w:rsidRDefault="00631F13"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Fama, E. 1970. Efficient capital markets: a review of theory and empirical work. Journal of Finance, 25: 383-417.</w:t>
      </w:r>
    </w:p>
    <w:p w14:paraId="115A3EFD" w14:textId="74F29843" w:rsidR="00EF4F0A"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Fehr, 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Leibbrandt</w:t>
      </w:r>
      <w:r w:rsidR="00DF4D8C" w:rsidRPr="00825A32">
        <w:rPr>
          <w:rFonts w:ascii="Times New Roman" w:eastAsia="Calibri" w:hAnsi="Times New Roman" w:cs="Times New Roman"/>
          <w:color w:val="000000" w:themeColor="text1"/>
          <w:szCs w:val="22"/>
        </w:rPr>
        <w:t>, A</w:t>
      </w:r>
      <w:r w:rsidRPr="00825A32">
        <w:rPr>
          <w:rFonts w:ascii="Times New Roman" w:eastAsia="Calibri" w:hAnsi="Times New Roman" w:cs="Times New Roman"/>
          <w:color w:val="000000" w:themeColor="text1"/>
          <w:szCs w:val="22"/>
        </w:rPr>
        <w:t xml:space="preserve">. 2010. A </w:t>
      </w:r>
      <w:r w:rsidR="00EF4F0A" w:rsidRPr="00825A32">
        <w:rPr>
          <w:rFonts w:ascii="Times New Roman" w:eastAsia="Calibri" w:hAnsi="Times New Roman" w:cs="Times New Roman"/>
          <w:color w:val="000000" w:themeColor="text1"/>
          <w:szCs w:val="22"/>
        </w:rPr>
        <w:t>f</w:t>
      </w:r>
      <w:r w:rsidRPr="00825A32">
        <w:rPr>
          <w:rFonts w:ascii="Times New Roman" w:eastAsia="Calibri" w:hAnsi="Times New Roman" w:cs="Times New Roman"/>
          <w:color w:val="000000" w:themeColor="text1"/>
          <w:szCs w:val="22"/>
        </w:rPr>
        <w:t xml:space="preserve">ield </w:t>
      </w:r>
      <w:r w:rsidR="00EF4F0A" w:rsidRPr="00825A32">
        <w:rPr>
          <w:rFonts w:ascii="Times New Roman" w:eastAsia="Calibri" w:hAnsi="Times New Roman" w:cs="Times New Roman"/>
          <w:color w:val="000000" w:themeColor="text1"/>
          <w:szCs w:val="22"/>
        </w:rPr>
        <w:t>s</w:t>
      </w:r>
      <w:r w:rsidRPr="00825A32">
        <w:rPr>
          <w:rFonts w:ascii="Times New Roman" w:eastAsia="Calibri" w:hAnsi="Times New Roman" w:cs="Times New Roman"/>
          <w:color w:val="000000" w:themeColor="text1"/>
          <w:szCs w:val="22"/>
        </w:rPr>
        <w:t xml:space="preserve">tudy on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 xml:space="preserve">ooperativeness and </w:t>
      </w:r>
      <w:r w:rsidR="00EF4F0A" w:rsidRPr="00825A32">
        <w:rPr>
          <w:rFonts w:ascii="Times New Roman" w:eastAsia="Calibri" w:hAnsi="Times New Roman" w:cs="Times New Roman"/>
          <w:color w:val="000000" w:themeColor="text1"/>
          <w:szCs w:val="22"/>
        </w:rPr>
        <w:t>i</w:t>
      </w:r>
      <w:r w:rsidRPr="00825A32">
        <w:rPr>
          <w:rFonts w:ascii="Times New Roman" w:eastAsia="Calibri" w:hAnsi="Times New Roman" w:cs="Times New Roman"/>
          <w:color w:val="000000" w:themeColor="text1"/>
          <w:szCs w:val="22"/>
        </w:rPr>
        <w:t xml:space="preserve">mpatience in the </w:t>
      </w:r>
      <w:r w:rsidR="00EF4F0A" w:rsidRPr="00825A32">
        <w:rPr>
          <w:rFonts w:ascii="Times New Roman" w:eastAsia="Calibri" w:hAnsi="Times New Roman" w:cs="Times New Roman"/>
          <w:color w:val="000000" w:themeColor="text1"/>
          <w:szCs w:val="22"/>
        </w:rPr>
        <w:t>t</w:t>
      </w:r>
      <w:r w:rsidRPr="00825A32">
        <w:rPr>
          <w:rFonts w:ascii="Times New Roman" w:eastAsia="Calibri" w:hAnsi="Times New Roman" w:cs="Times New Roman"/>
          <w:color w:val="000000" w:themeColor="text1"/>
          <w:szCs w:val="22"/>
        </w:rPr>
        <w:t xml:space="preserve">ragedy of the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ommons.</w:t>
      </w:r>
      <w:r w:rsidR="00EF4F0A" w:rsidRPr="00825A32">
        <w:rPr>
          <w:rFonts w:ascii="Times New Roman" w:eastAsia="Calibri" w:hAnsi="Times New Roman" w:cs="Times New Roman"/>
          <w:color w:val="000000" w:themeColor="text1"/>
          <w:szCs w:val="22"/>
        </w:rPr>
        <w:t xml:space="preserve"> Journal of Public Economics, 95: 1144-1155.</w:t>
      </w:r>
    </w:p>
    <w:p w14:paraId="05BFD242" w14:textId="79207EEF" w:rsidR="00541C7A" w:rsidRPr="00825A32" w:rsidRDefault="00541C7A"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Ferrari, S. L. P. and Cribari-Neto. F. 2004. Beta regression for modelling rates and proportions. Journal of Applied Statistics, 31: 799-815.</w:t>
      </w:r>
    </w:p>
    <w:p w14:paraId="4E2F1E71" w14:textId="77777777" w:rsidR="00434F8C" w:rsidRPr="00825A32" w:rsidRDefault="00434F8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Field, J. C. 2013. Status of bocaccio, </w:t>
      </w:r>
      <w:r w:rsidRPr="00825A32">
        <w:rPr>
          <w:rFonts w:ascii="Times New Roman" w:eastAsia="Calibri" w:hAnsi="Times New Roman" w:cs="Times New Roman"/>
          <w:i/>
          <w:color w:val="000000" w:themeColor="text1"/>
          <w:szCs w:val="22"/>
        </w:rPr>
        <w:t>Sebastes paucispinis</w:t>
      </w:r>
      <w:r w:rsidRPr="00825A32">
        <w:rPr>
          <w:rFonts w:ascii="Times New Roman" w:eastAsia="Calibri" w:hAnsi="Times New Roman" w:cs="Times New Roman"/>
          <w:color w:val="000000" w:themeColor="text1"/>
          <w:szCs w:val="22"/>
        </w:rPr>
        <w:t>, in the Conception</w:t>
      </w:r>
      <w:r w:rsidR="00E801AF" w:rsidRPr="00825A32">
        <w:rPr>
          <w:rFonts w:ascii="Times New Roman" w:eastAsia="Calibri" w:hAnsi="Times New Roman" w:cs="Times New Roman"/>
          <w:color w:val="000000" w:themeColor="text1"/>
          <w:szCs w:val="22"/>
        </w:rPr>
        <w:t>, Monterey and Eureka INPFC areas as evaluated for 2013. Pacific Fishery Management Council, Portland, OR.</w:t>
      </w:r>
    </w:p>
    <w:p w14:paraId="6CF5099C" w14:textId="258223DB" w:rsidR="00AE34F8" w:rsidRDefault="00AE34F8"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Fulton, E. A., Link, J. S., Kaplan, I. C., Savina-Rolland, M., Johnson, P., Ainsworth, C., Horne, P., Gorton, R., Gamble, R. J., Smith, A. D. M., and Smith, D. C. 2011a. Lessons in modelling and management of marine ecosystems: the Atlantis experience. Fish and Fisheries, 12: 171-188.</w:t>
      </w:r>
    </w:p>
    <w:p w14:paraId="1114AFA0" w14:textId="45A57350" w:rsidR="00535598" w:rsidRDefault="00535598"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Fulton, E. A., Smith, A. D. M, Smith, D. C., and van Putten, I. E. 2011</w:t>
      </w:r>
      <w:r w:rsidR="00AE34F8">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Human behaviour: the key source of uncertainty in fisheries management. Fish and Fisheries, 12: 2-17.</w:t>
      </w:r>
    </w:p>
    <w:p w14:paraId="6DAD1FD1" w14:textId="5B773688" w:rsidR="00E801AF" w:rsidRPr="00825A32" w:rsidRDefault="00E801AF"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Gertseva, V. V.</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Thorson, J. T. 2013. Status of the darkblotched rockfish resources off the continental U.S. Pacific Coast in 2013. Pacific Fishery Management Council, Portland, OR.</w:t>
      </w:r>
    </w:p>
    <w:p w14:paraId="6A4E733E" w14:textId="64767088" w:rsidR="00760619" w:rsidRPr="00825A32" w:rsidRDefault="00760619"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Hall, M. A., Alverson, D. L., and Metuzals, K. I. 2000. By-catch: problems and solutions. Marine Pollution Bulletin, 41: 204-219.</w:t>
      </w:r>
    </w:p>
    <w:p w14:paraId="64A3D7EA" w14:textId="2105853C" w:rsidR="00B52963" w:rsidRPr="00825A32" w:rsidRDefault="00B52963"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Hall, S. J.,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Mainprize, B. M. 2005. Managing by-catch and discards: how much progress are we making and how can we do better. Fish and Fisheries, 6: 134-155.</w:t>
      </w:r>
    </w:p>
    <w:p w14:paraId="46AA58F5" w14:textId="14768D80" w:rsidR="009F04B3" w:rsidRPr="00825A32" w:rsidRDefault="00E801AF"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Hamel, O. 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Ono K. 2011. Stock assessment of Pacific Ocean Perch in waters off of the U.S. West Coast in 2011. Pacific Fishery M</w:t>
      </w:r>
      <w:r w:rsidR="009F04B3" w:rsidRPr="00825A32">
        <w:rPr>
          <w:rFonts w:ascii="Times New Roman" w:eastAsia="Calibri" w:hAnsi="Times New Roman" w:cs="Times New Roman"/>
          <w:color w:val="000000" w:themeColor="text1"/>
          <w:szCs w:val="22"/>
        </w:rPr>
        <w:t>anagement Council, Portland, OR.</w:t>
      </w:r>
    </w:p>
    <w:p w14:paraId="4272DEE5" w14:textId="41A1083F" w:rsidR="00D75A8B" w:rsidRDefault="00D75A8B" w:rsidP="00145B28">
      <w:pPr>
        <w:spacing w:line="240" w:lineRule="auto"/>
        <w:ind w:left="720" w:hanging="720"/>
        <w:jc w:val="both"/>
        <w:rPr>
          <w:rFonts w:ascii="Times New Roman" w:eastAsia="Calibri" w:hAnsi="Times New Roman" w:cs="Times New Roman"/>
          <w:color w:val="000000" w:themeColor="text1"/>
          <w:szCs w:val="22"/>
        </w:rPr>
      </w:pPr>
      <w:commentRangeStart w:id="11"/>
      <w:r>
        <w:rPr>
          <w:rFonts w:ascii="Times New Roman" w:eastAsia="Calibri" w:hAnsi="Times New Roman" w:cs="Times New Roman"/>
          <w:color w:val="000000" w:themeColor="text1"/>
          <w:szCs w:val="22"/>
        </w:rPr>
        <w:t>Hart, P. J. B., and Pitcher, T. J. 1998. Conflict, consent and cooperation: the utility of an evolutionary perspective on individual human behaviour in fisheries management.</w:t>
      </w:r>
      <w:r w:rsidR="005819AB">
        <w:rPr>
          <w:rFonts w:ascii="Times New Roman" w:eastAsia="Calibri" w:hAnsi="Times New Roman" w:cs="Times New Roman"/>
          <w:color w:val="000000" w:themeColor="text1"/>
          <w:szCs w:val="22"/>
        </w:rPr>
        <w:t xml:space="preserve"> Eds: Pitcher, T. J., Pauly, D., and Hart. P.</w:t>
      </w:r>
      <w:r>
        <w:rPr>
          <w:rFonts w:ascii="Times New Roman" w:eastAsia="Calibri" w:hAnsi="Times New Roman" w:cs="Times New Roman"/>
          <w:color w:val="000000" w:themeColor="text1"/>
          <w:szCs w:val="22"/>
        </w:rPr>
        <w:t xml:space="preserve"> In: R</w:t>
      </w:r>
      <w:r w:rsidR="005819AB">
        <w:rPr>
          <w:rFonts w:ascii="Times New Roman" w:eastAsia="Calibri" w:hAnsi="Times New Roman" w:cs="Times New Roman"/>
          <w:color w:val="000000" w:themeColor="text1"/>
          <w:szCs w:val="22"/>
        </w:rPr>
        <w:t>einventing Fisheries Management. Kluwer Academic Publishers, Dordrecht, Netherlands, 215-225.</w:t>
      </w:r>
      <w:commentRangeEnd w:id="11"/>
      <w:r w:rsidR="005819AB">
        <w:rPr>
          <w:rStyle w:val="CommentReference"/>
        </w:rPr>
        <w:commentReference w:id="11"/>
      </w:r>
    </w:p>
    <w:p w14:paraId="524425C6" w14:textId="0150B7C8" w:rsidR="00963D8F" w:rsidRDefault="00963D8F"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Heery, E., and Cope, J. M. 2014. Co-occurrence of bycatch and target species in the groundfish demersal trawl fishery of the U.S. west coast; with special consideration of rebuilding stocks. Fishery Bulletin, 112: 36-48.</w:t>
      </w:r>
    </w:p>
    <w:p w14:paraId="59E5FC84" w14:textId="4B7C7034" w:rsidR="00835FCE" w:rsidRDefault="00835FCE"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Herpigny, B., and Gosselin, F. 2015. Analyzing plant cover class data quantitatively: customized zero-inflated beta distributions show promising results. Ecological Informatics, 26: 18-26.</w:t>
      </w:r>
    </w:p>
    <w:p w14:paraId="417FEC4E" w14:textId="77777777" w:rsidR="00E17EDA"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Herrera, G. E. 2005. Stochastic bycatch, informational asymmetry, and discarding. Journal of Enviornmental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49: 463-483. </w:t>
      </w:r>
    </w:p>
    <w:p w14:paraId="18BDC17D" w14:textId="7BC90047" w:rsidR="00632960" w:rsidRDefault="00632960" w:rsidP="00632960">
      <w:pPr>
        <w:spacing w:line="240" w:lineRule="auto"/>
        <w:ind w:left="720" w:hanging="720"/>
        <w:jc w:val="both"/>
        <w:rPr>
          <w:rFonts w:ascii="Times New Roman" w:eastAsia="Calibri" w:hAnsi="Times New Roman" w:cs="Times New Roman"/>
          <w:color w:val="000000" w:themeColor="text1"/>
          <w:szCs w:val="22"/>
        </w:rPr>
      </w:pPr>
      <w:commentRangeStart w:id="12"/>
      <w:r w:rsidRPr="00632960">
        <w:rPr>
          <w:rFonts w:ascii="Times New Roman" w:eastAsia="Calibri" w:hAnsi="Times New Roman" w:cs="Times New Roman"/>
          <w:color w:val="000000" w:themeColor="text1"/>
          <w:szCs w:val="22"/>
        </w:rPr>
        <w:t xml:space="preserve">Hickey, B. M. 1998. Coastal oceanography of </w:t>
      </w:r>
      <w:r>
        <w:rPr>
          <w:rFonts w:ascii="Times New Roman" w:eastAsia="Calibri" w:hAnsi="Times New Roman" w:cs="Times New Roman"/>
          <w:color w:val="000000" w:themeColor="text1"/>
          <w:szCs w:val="22"/>
        </w:rPr>
        <w:t>W</w:t>
      </w:r>
      <w:r w:rsidRPr="00632960">
        <w:rPr>
          <w:rFonts w:ascii="Times New Roman" w:eastAsia="Calibri" w:hAnsi="Times New Roman" w:cs="Times New Roman"/>
          <w:color w:val="000000" w:themeColor="text1"/>
          <w:szCs w:val="22"/>
        </w:rPr>
        <w:t>estern North America from the tip of</w:t>
      </w:r>
      <w:r>
        <w:rPr>
          <w:rFonts w:ascii="Times New Roman" w:eastAsia="Calibri" w:hAnsi="Times New Roman" w:cs="Times New Roman"/>
          <w:color w:val="000000" w:themeColor="text1"/>
          <w:szCs w:val="22"/>
        </w:rPr>
        <w:t xml:space="preserve"> </w:t>
      </w:r>
      <w:r w:rsidRPr="00632960">
        <w:rPr>
          <w:rFonts w:ascii="Times New Roman" w:eastAsia="Calibri" w:hAnsi="Times New Roman" w:cs="Times New Roman"/>
          <w:color w:val="000000" w:themeColor="text1"/>
          <w:szCs w:val="22"/>
        </w:rPr>
        <w:t xml:space="preserve">Baja California to Vancouver </w:t>
      </w:r>
      <w:r>
        <w:rPr>
          <w:rFonts w:ascii="Times New Roman" w:eastAsia="Calibri" w:hAnsi="Times New Roman" w:cs="Times New Roman"/>
          <w:color w:val="000000" w:themeColor="text1"/>
          <w:szCs w:val="22"/>
        </w:rPr>
        <w:t>I</w:t>
      </w:r>
      <w:r w:rsidRPr="00632960">
        <w:rPr>
          <w:rFonts w:ascii="Times New Roman" w:eastAsia="Calibri" w:hAnsi="Times New Roman" w:cs="Times New Roman"/>
          <w:color w:val="000000" w:themeColor="text1"/>
          <w:szCs w:val="22"/>
        </w:rPr>
        <w:t xml:space="preserve">sland. </w:t>
      </w:r>
      <w:r>
        <w:rPr>
          <w:rFonts w:ascii="Times New Roman" w:eastAsia="Calibri" w:hAnsi="Times New Roman" w:cs="Times New Roman"/>
          <w:color w:val="000000" w:themeColor="text1"/>
          <w:szCs w:val="22"/>
        </w:rPr>
        <w:t>In</w:t>
      </w:r>
      <w:r w:rsidRPr="00632960">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Brink, K. H., and Robinson, A. R. (eds). </w:t>
      </w:r>
      <w:r w:rsidRPr="00632960">
        <w:rPr>
          <w:rFonts w:ascii="Times New Roman" w:eastAsia="Calibri" w:hAnsi="Times New Roman" w:cs="Times New Roman"/>
          <w:color w:val="000000" w:themeColor="text1"/>
          <w:szCs w:val="22"/>
        </w:rPr>
        <w:t xml:space="preserve">The </w:t>
      </w:r>
      <w:r>
        <w:rPr>
          <w:rFonts w:ascii="Times New Roman" w:eastAsia="Calibri" w:hAnsi="Times New Roman" w:cs="Times New Roman"/>
          <w:color w:val="000000" w:themeColor="text1"/>
          <w:szCs w:val="22"/>
        </w:rPr>
        <w:t>S</w:t>
      </w:r>
      <w:r w:rsidRPr="00632960">
        <w:rPr>
          <w:rFonts w:ascii="Times New Roman" w:eastAsia="Calibri" w:hAnsi="Times New Roman" w:cs="Times New Roman"/>
          <w:color w:val="000000" w:themeColor="text1"/>
          <w:szCs w:val="22"/>
        </w:rPr>
        <w:t>ea</w:t>
      </w:r>
      <w:r>
        <w:rPr>
          <w:rFonts w:ascii="Times New Roman" w:eastAsia="Calibri" w:hAnsi="Times New Roman" w:cs="Times New Roman"/>
          <w:color w:val="000000" w:themeColor="text1"/>
          <w:szCs w:val="22"/>
        </w:rPr>
        <w:t>,</w:t>
      </w:r>
      <w:r w:rsidRPr="00632960">
        <w:rPr>
          <w:rFonts w:ascii="Times New Roman" w:eastAsia="Calibri" w:hAnsi="Times New Roman" w:cs="Times New Roman"/>
          <w:color w:val="000000" w:themeColor="text1"/>
          <w:szCs w:val="22"/>
        </w:rPr>
        <w:t xml:space="preserve"> Vol. 11</w:t>
      </w:r>
      <w:r w:rsidR="008D1EAE">
        <w:rPr>
          <w:rFonts w:ascii="Times New Roman" w:eastAsia="Calibri" w:hAnsi="Times New Roman" w:cs="Times New Roman"/>
          <w:color w:val="000000" w:themeColor="text1"/>
          <w:szCs w:val="22"/>
        </w:rPr>
        <w:t xml:space="preserve">. </w:t>
      </w:r>
      <w:r w:rsidRPr="00632960">
        <w:rPr>
          <w:rFonts w:ascii="Times New Roman" w:eastAsia="Calibri" w:hAnsi="Times New Roman" w:cs="Times New Roman"/>
          <w:color w:val="000000" w:themeColor="text1"/>
          <w:szCs w:val="22"/>
        </w:rPr>
        <w:t>Wiley</w:t>
      </w:r>
      <w:r w:rsidR="008D1EAE">
        <w:rPr>
          <w:rFonts w:ascii="Times New Roman" w:eastAsia="Calibri" w:hAnsi="Times New Roman" w:cs="Times New Roman"/>
          <w:color w:val="000000" w:themeColor="text1"/>
          <w:szCs w:val="22"/>
        </w:rPr>
        <w:t xml:space="preserve"> and Sons, Inc.</w:t>
      </w:r>
      <w:r w:rsidRPr="00632960">
        <w:rPr>
          <w:rFonts w:ascii="Times New Roman" w:eastAsia="Calibri" w:hAnsi="Times New Roman" w:cs="Times New Roman"/>
          <w:color w:val="000000" w:themeColor="text1"/>
          <w:szCs w:val="22"/>
        </w:rPr>
        <w:t>, New York</w:t>
      </w:r>
      <w:r w:rsidR="008D1EAE">
        <w:rPr>
          <w:rFonts w:ascii="Times New Roman" w:eastAsia="Calibri" w:hAnsi="Times New Roman" w:cs="Times New Roman"/>
          <w:color w:val="000000" w:themeColor="text1"/>
          <w:szCs w:val="22"/>
        </w:rPr>
        <w:t>, pp 345-393</w:t>
      </w:r>
      <w:r w:rsidRPr="00632960">
        <w:rPr>
          <w:rFonts w:ascii="Times New Roman" w:eastAsia="Calibri" w:hAnsi="Times New Roman" w:cs="Times New Roman"/>
          <w:color w:val="000000" w:themeColor="text1"/>
          <w:szCs w:val="22"/>
        </w:rPr>
        <w:t>.</w:t>
      </w:r>
      <w:commentRangeEnd w:id="12"/>
      <w:r w:rsidR="008D1EAE">
        <w:rPr>
          <w:rStyle w:val="CommentReference"/>
        </w:rPr>
        <w:commentReference w:id="12"/>
      </w:r>
    </w:p>
    <w:p w14:paraId="63994CB1" w14:textId="77777777" w:rsidR="00356DC7" w:rsidRPr="00825A32" w:rsidRDefault="00356DC7"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Hilborn, R. 2007. Managing fisheries is managing people: what has been </w:t>
      </w:r>
      <w:r w:rsidR="00DF4D8C" w:rsidRPr="00825A32">
        <w:rPr>
          <w:rFonts w:ascii="Times New Roman" w:eastAsia="Calibri" w:hAnsi="Times New Roman" w:cs="Times New Roman"/>
          <w:color w:val="000000" w:themeColor="text1"/>
          <w:szCs w:val="22"/>
        </w:rPr>
        <w:t>learned? Fish and Fisheries, 8</w:t>
      </w:r>
      <w:r w:rsidRPr="00825A32">
        <w:rPr>
          <w:rFonts w:ascii="Times New Roman" w:eastAsia="Calibri" w:hAnsi="Times New Roman" w:cs="Times New Roman"/>
          <w:color w:val="000000" w:themeColor="text1"/>
          <w:szCs w:val="22"/>
        </w:rPr>
        <w:t>: 285-296.</w:t>
      </w:r>
    </w:p>
    <w:p w14:paraId="687CDBB1" w14:textId="77777777" w:rsidR="006D23AB"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Holland, D. S. 2010. Markets, pooling and insurance for managing bycatch in fisheries. Ecological Economics</w:t>
      </w:r>
      <w:r w:rsidR="00DF4D8C" w:rsidRPr="00825A32">
        <w:rPr>
          <w:rFonts w:ascii="Times New Roman" w:eastAsia="Calibri" w:hAnsi="Times New Roman" w:cs="Times New Roman"/>
          <w:color w:val="000000" w:themeColor="text1"/>
          <w:szCs w:val="22"/>
        </w:rPr>
        <w:t>,</w:t>
      </w:r>
      <w:r w:rsidR="00B52963" w:rsidRPr="00825A32">
        <w:rPr>
          <w:rFonts w:ascii="Times New Roman" w:eastAsia="Calibri" w:hAnsi="Times New Roman" w:cs="Times New Roman"/>
          <w:color w:val="000000" w:themeColor="text1"/>
          <w:szCs w:val="22"/>
        </w:rPr>
        <w:t xml:space="preserve"> 70: 121-133</w:t>
      </w:r>
      <w:r w:rsidR="006D23AB" w:rsidRPr="00825A32">
        <w:rPr>
          <w:rFonts w:ascii="Times New Roman" w:eastAsia="Calibri" w:hAnsi="Times New Roman" w:cs="Times New Roman"/>
          <w:color w:val="000000" w:themeColor="text1"/>
          <w:szCs w:val="22"/>
        </w:rPr>
        <w:t>.</w:t>
      </w:r>
    </w:p>
    <w:p w14:paraId="1905041F" w14:textId="77777777" w:rsidR="006D23AB" w:rsidRPr="00825A32" w:rsidRDefault="006D23AB"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Holland, D. S. 2013. Making cents out of barter data from the British Columbia groundfish ITQ market. Marine Resource Economics, 28: 311-330.</w:t>
      </w:r>
    </w:p>
    <w:p w14:paraId="5C21B586" w14:textId="6D3CB2CD" w:rsidR="007D7E2D"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w:t>
      </w:r>
      <w:r w:rsidR="00DF4D8C" w:rsidRPr="00825A32">
        <w:rPr>
          <w:rFonts w:ascii="Times New Roman" w:eastAsia="Calibri" w:hAnsi="Times New Roman" w:cs="Times New Roman"/>
          <w:color w:val="000000" w:themeColor="text1"/>
          <w:szCs w:val="22"/>
        </w:rPr>
        <w:t xml:space="preserve">D. S., </w:t>
      </w:r>
      <w:r w:rsidR="0061171E" w:rsidRPr="00825A32">
        <w:rPr>
          <w:rFonts w:ascii="Times New Roman" w:eastAsia="Calibri" w:hAnsi="Times New Roman" w:cs="Times New Roman"/>
          <w:color w:val="000000" w:themeColor="text1"/>
          <w:szCs w:val="22"/>
        </w:rPr>
        <w:t xml:space="preserve">and </w:t>
      </w:r>
      <w:r w:rsidR="00DF4D8C" w:rsidRPr="00825A32">
        <w:rPr>
          <w:rFonts w:ascii="Times New Roman" w:eastAsia="Calibri" w:hAnsi="Times New Roman" w:cs="Times New Roman"/>
          <w:color w:val="000000" w:themeColor="text1"/>
          <w:szCs w:val="22"/>
        </w:rPr>
        <w:t xml:space="preserve">Jannot, J. E. 2012. </w:t>
      </w:r>
      <w:r w:rsidRPr="00825A32">
        <w:rPr>
          <w:rFonts w:ascii="Times New Roman" w:eastAsia="Calibri" w:hAnsi="Times New Roman" w:cs="Times New Roman"/>
          <w:color w:val="000000" w:themeColor="text1"/>
          <w:szCs w:val="22"/>
        </w:rPr>
        <w:t>Bycatch risk pools for the US</w:t>
      </w:r>
      <w:r w:rsidR="00DF4D8C" w:rsidRPr="00825A32">
        <w:rPr>
          <w:rFonts w:ascii="Times New Roman" w:eastAsia="Calibri" w:hAnsi="Times New Roman" w:cs="Times New Roman"/>
          <w:color w:val="000000" w:themeColor="text1"/>
          <w:szCs w:val="22"/>
        </w:rPr>
        <w:t xml:space="preserve"> West Coast Groundfish Fishery.</w:t>
      </w:r>
      <w:r w:rsidRPr="00825A32">
        <w:rPr>
          <w:rFonts w:ascii="Times New Roman" w:eastAsia="Calibri" w:hAnsi="Times New Roman" w:cs="Times New Roman"/>
          <w:color w:val="000000" w:themeColor="text1"/>
          <w:szCs w:val="22"/>
        </w:rPr>
        <w:t xml:space="preserve"> Ecological Economics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78:132-147. </w:t>
      </w:r>
    </w:p>
    <w:p w14:paraId="143DC028" w14:textId="60B4A9D9" w:rsidR="006D23AB" w:rsidRPr="00825A32" w:rsidRDefault="006D23AB"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Thunberg, E., Agar, J., Crosson, S., Demarest, C., Kasperski, S., Perruso, L.,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 US catch share markets: a review of data availability and impediments to transparent markets. Marine Policy, 57: 103-110.</w:t>
      </w:r>
    </w:p>
    <w:p w14:paraId="0B2E81B6" w14:textId="7A8A62A3" w:rsidR="00D75A8B" w:rsidRDefault="00D75A8B" w:rsidP="00145B28">
      <w:pPr>
        <w:spacing w:line="240" w:lineRule="auto"/>
        <w:ind w:left="720" w:hanging="720"/>
        <w:jc w:val="both"/>
        <w:rPr>
          <w:rFonts w:ascii="Times New Roman" w:eastAsia="Calibri" w:hAnsi="Times New Roman" w:cs="Times New Roman"/>
          <w:color w:val="000000" w:themeColor="text1"/>
          <w:szCs w:val="22"/>
        </w:rPr>
      </w:pPr>
      <w:r w:rsidRPr="00D75A8B">
        <w:rPr>
          <w:rFonts w:ascii="Times New Roman" w:eastAsia="Calibri" w:hAnsi="Times New Roman" w:cs="Times New Roman"/>
          <w:color w:val="000000" w:themeColor="text1"/>
          <w:szCs w:val="22"/>
        </w:rPr>
        <w:t>Hunt, L. M. 2005. Recreational fishing site choice models: insights and future opportunities. Human Dimensions of Wildlife</w:t>
      </w:r>
      <w:r>
        <w:rPr>
          <w:rFonts w:ascii="Times New Roman" w:eastAsia="Calibri" w:hAnsi="Times New Roman" w:cs="Times New Roman"/>
          <w:color w:val="000000" w:themeColor="text1"/>
          <w:szCs w:val="22"/>
        </w:rPr>
        <w:t>,</w:t>
      </w:r>
      <w:r w:rsidRPr="00D75A8B">
        <w:rPr>
          <w:rFonts w:ascii="Times New Roman" w:eastAsia="Calibri" w:hAnsi="Times New Roman" w:cs="Times New Roman"/>
          <w:color w:val="000000" w:themeColor="text1"/>
          <w:szCs w:val="22"/>
        </w:rPr>
        <w:t xml:space="preserve"> 10: 153-172</w:t>
      </w:r>
      <w:r>
        <w:rPr>
          <w:rFonts w:ascii="Times New Roman" w:eastAsia="Calibri" w:hAnsi="Times New Roman" w:cs="Times New Roman"/>
          <w:color w:val="000000" w:themeColor="text1"/>
          <w:szCs w:val="22"/>
        </w:rPr>
        <w:t>.</w:t>
      </w:r>
    </w:p>
    <w:p w14:paraId="6ABCC0CC" w14:textId="06883778" w:rsidR="0061144D" w:rsidRDefault="0061144D"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Isaksen, B., Valdemarsen, J. W., Larsen, R. B., and Karlsen, L. 1992. Reduction of fish by-catch in shrimp trawl using a rigid separator grid in the aft belly. Fisheries Research, 13: 335-352.</w:t>
      </w:r>
    </w:p>
    <w:p w14:paraId="20017648" w14:textId="1977E62F" w:rsidR="00C21E07" w:rsidRPr="00825A32" w:rsidRDefault="00C21E07"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Jannot, J. 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Holland, D. S. 2013. Identifying ecological and fishing drivers of bycatch in a U.S. groundfish fishery. Ecological Applications, 23:1645-1658. </w:t>
      </w:r>
    </w:p>
    <w:p w14:paraId="1A5B26A2" w14:textId="1D9E12C9" w:rsidR="007345BF" w:rsidRPr="00825A32" w:rsidRDefault="007345BF"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Jenkins, L. D., and Garrison, K. 2013. Fishing gear substitution to reduce bycatch and habitat impacts: an example of social-ecological research to inform policy. Marine Policy, 38: 293-303.</w:t>
      </w:r>
    </w:p>
    <w:p w14:paraId="73236106" w14:textId="6923A63F" w:rsidR="00131BF9" w:rsidRPr="00825A32" w:rsidRDefault="00131BF9"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Johnson, K. F., Rudd, M. R., Pons, M. Axelrud, C. A., Lee, Q., Hurtado-Ferro, F., Haltuch, M. A.,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 Status of the U.S. sablefish resource in 2015. Pacific Fisheries Management Council. Portland, Oregon. 243 pp.</w:t>
      </w:r>
    </w:p>
    <w:p w14:paraId="2F4E1E37" w14:textId="38745C1D" w:rsidR="004552AD" w:rsidRPr="00825A32" w:rsidRDefault="004552AD"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Kaplan, I. C., Levin, P. S., Burden, M.,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Fulton, E. A. 2010. Fishing catch shares in the face of global change: a framework for integrating cumulative impacts and single species management. Canadian Journal of Fisheries and Aquatic Sciences, 67: 1968-1982.</w:t>
      </w:r>
    </w:p>
    <w:p w14:paraId="2D860261" w14:textId="6FB6E154" w:rsidR="00380029" w:rsidRPr="00825A32" w:rsidRDefault="00380029"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Kennelly, S. J. 1995. The issue of bycatch in Australia’s demersal trawl fisheries. Reviews in Fish Biology and Fisheries, 5: 213-234.</w:t>
      </w:r>
    </w:p>
    <w:p w14:paraId="50671781" w14:textId="1E4B2C4A" w:rsidR="008758C9" w:rsidRPr="00825A32" w:rsidRDefault="008758C9"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Komoroske, L. M., and Lewison, R. L. 2015. Addressing fisheries bycatch in a changing world. Frontiers in Marine Science, 2</w:t>
      </w:r>
      <w:r w:rsidR="003C34FF" w:rsidRPr="00825A32">
        <w:rPr>
          <w:rFonts w:ascii="Times New Roman" w:eastAsia="Calibri" w:hAnsi="Times New Roman" w:cs="Times New Roman"/>
          <w:color w:val="000000" w:themeColor="text1"/>
          <w:szCs w:val="22"/>
        </w:rPr>
        <w:t>. doi: 10.3389/fmars.2015.00083.</w:t>
      </w:r>
    </w:p>
    <w:p w14:paraId="71418F05" w14:textId="06EF62D4" w:rsidR="000D28E3" w:rsidRDefault="000D28E3"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Levins, R. 1966. The strategy of model building in population biology. American Scientist, 54: 421-431.</w:t>
      </w:r>
    </w:p>
    <w:p w14:paraId="60C98BAF" w14:textId="76E8C545" w:rsidR="000F5BAC" w:rsidRPr="00825A32" w:rsidRDefault="000F5BA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Lewison, R. L., Soykan, C. U., Cox, T., Peckham, H., Pilcher, N., LeBoeuf, N., McDonald, S., Moore, J., Safina, C., and Crowder, L. 2011. Ingredients for addressing the challenges of fisheries bycatch. Bulletin of Marine Science, 87: 235-250.</w:t>
      </w:r>
    </w:p>
    <w:p w14:paraId="692DC080" w14:textId="79EA9A3F" w:rsidR="007A5FD4" w:rsidRPr="00825A32" w:rsidRDefault="007A5FD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Little, A. S., Needle, C. L., Hilborn, R., Holland, D. S., and Marshall, C. T. 2015. Real-time spatial management approaches to reduce bycatch and discards: experiences from Europe and the United States. Fish and Fisheries, 16: 576-602.</w:t>
      </w:r>
    </w:p>
    <w:p w14:paraId="5F18EE6D" w14:textId="0FF5B429" w:rsidR="00087E7C" w:rsidRDefault="00087E7C"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Maechler, M., Rousseeuw, P., Struyf, A., Hubert, M., and Hornik, K. 2014. cluster: cluster analysis basics and extensions. R package version 1.15.3.</w:t>
      </w:r>
    </w:p>
    <w:p w14:paraId="3E824F69" w14:textId="698B1D3F" w:rsidR="002078DB" w:rsidRDefault="002078DB"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Mahon, R., McConney, P., and Roy, R. N. 2008. Governing fisheries as complex adaptive systems. Marine Policy, 32: 104-112.</w:t>
      </w:r>
    </w:p>
    <w:p w14:paraId="2C1D9834" w14:textId="7AEAE4FF" w:rsidR="00E75BB8" w:rsidRPr="00825A32" w:rsidRDefault="00E75BB8"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Manson, J. Kosaka, R., Mamula, A., and Speir, C. 2012. Effort changes around a marine reserve: the case of the California Rockfish Conservation Area. Marine Policy, 36: 1054-1063.</w:t>
      </w:r>
    </w:p>
    <w:p w14:paraId="6D3277AB" w14:textId="667DD614" w:rsidR="003C29E6" w:rsidRDefault="003C29E6"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Mayr, A., Fenske, N., Hofner, B., Kneib, T., and Schmid, M. 2012. Generalized additive models for location, scale and shape for high dimensional data – a flexible approach based on boosting. Journal fo the Royal Statistical Society, Series C, 61: 403-427.</w:t>
      </w:r>
    </w:p>
    <w:p w14:paraId="279625B6" w14:textId="7D225787" w:rsidR="00CD371C" w:rsidRDefault="00CD371C"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Mehta, L., Leach, M., Newell, P., Scoones, I., Sivaramakrishnan, K., and Way, S.-A. 1999. Exploring understandings of institutions and uncertainty: new directions in natural resource management. Institute of Development Studies, University of Sussex, Brighton, UK.</w:t>
      </w:r>
    </w:p>
    <w:p w14:paraId="6FDB23EC" w14:textId="7B941402" w:rsidR="00CC2A71" w:rsidRPr="00825A32" w:rsidRDefault="00CC2A71"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Newell, R. G., Sanchirico, J. N., and Kerr, S. 2005. Fishing quota markets. Journal of Environmental Economics and Management, 49: 437-462.</w:t>
      </w:r>
    </w:p>
    <w:p w14:paraId="607F4D00" w14:textId="62769342" w:rsidR="00537D78" w:rsidRDefault="00537D78"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NMFS. 1998. Managing the nation’s bycatch. Programs, activities, and recommendations for the National Marine Fisheries Service. United States Department of Commerce, NOAA, National Marine Fisheries Service, Silver Springs, MD. 174 p.</w:t>
      </w:r>
    </w:p>
    <w:p w14:paraId="2552D7F9" w14:textId="3A0F5D99" w:rsidR="007A6F98" w:rsidRPr="00825A32" w:rsidRDefault="007A6F98"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NMFS. 2004. West Coast Groundfish Observer Program data report and summary analyses for 2001-2003 coverage of sablefish-endorsed fixed-gear permits. NOAA, </w:t>
      </w:r>
      <w:r w:rsidR="00537D78">
        <w:rPr>
          <w:rFonts w:ascii="Times New Roman" w:eastAsia="Calibri" w:hAnsi="Times New Roman" w:cs="Times New Roman"/>
          <w:color w:val="000000" w:themeColor="text1"/>
          <w:szCs w:val="22"/>
        </w:rPr>
        <w:t xml:space="preserve">National Marine Fisheries Service, </w:t>
      </w:r>
      <w:r w:rsidRPr="00825A32">
        <w:rPr>
          <w:rFonts w:ascii="Times New Roman" w:eastAsia="Calibri" w:hAnsi="Times New Roman" w:cs="Times New Roman"/>
          <w:color w:val="000000" w:themeColor="text1"/>
          <w:szCs w:val="22"/>
        </w:rPr>
        <w:t>Northwest Fisheries Science Center, 2725 Montlake Blvd E, Seattle, WA.</w:t>
      </w:r>
    </w:p>
    <w:p w14:paraId="4C3135DB" w14:textId="6F5DF082" w:rsidR="0031172A" w:rsidRPr="00825A32" w:rsidRDefault="0031172A"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Ono, K., Holland, D. S.,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Hilborn, R. 2013. How does species association affect mixed stock fisheries management? A comparative analysis of the effect of marine protected areas, discard bans, and individual fishing quotas. Canadian Journal of Fisheries and Aquatic Sciences, 70: 1792-1804.</w:t>
      </w:r>
    </w:p>
    <w:p w14:paraId="7AEE2FD5" w14:textId="2CAEBD20" w:rsidR="00252249" w:rsidRDefault="00252249"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Ostrom, E. 2009. A general framework for analysing sustainability of social-ecological systems. Science, 325: 419-422.</w:t>
      </w:r>
    </w:p>
    <w:p w14:paraId="1B559803" w14:textId="3FF2604B" w:rsidR="00635E11" w:rsidRPr="00825A32" w:rsidRDefault="00635E11"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Patrick, W. S., and Benaka, L. R. 2013. Estimating the economic impacts of bycatch in U.S. commercial fisheries. Marine Policy, 38: 470-475.</w:t>
      </w:r>
    </w:p>
    <w:p w14:paraId="696E25E5" w14:textId="5BDD9262" w:rsidR="00BF387C" w:rsidRPr="00825A32" w:rsidRDefault="00BF387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PFMC. 2001. Permit stacking, season extension, and other modifications to the limited entry fixed gear sablefish fishery (Amendment 14). </w:t>
      </w:r>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
    <w:p w14:paraId="54EE55C7" w14:textId="00943947" w:rsidR="003E0404" w:rsidRDefault="003E0404"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PFMC. 2014. Pacific coast groundfish fishery management plan. Pacific Fisheries Management Council, Portland, OR.</w:t>
      </w:r>
    </w:p>
    <w:p w14:paraId="41B0BC66" w14:textId="47234A81" w:rsidR="00BF387C" w:rsidRPr="00825A32" w:rsidRDefault="00BF387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PFMC and NMFS. 2010. Groundfish fishery management plan amendment 20 (trawl rationalization). </w:t>
      </w:r>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
    <w:p w14:paraId="343878B6" w14:textId="77777777" w:rsidR="00BF387C" w:rsidRPr="00825A32" w:rsidRDefault="00BF387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PFMC and NFMS. 2014. Pacific coast groundfish limited entry fixed gear sablefish permit stacking program review. Pacific Fishery Management Council, Portland, OR.</w:t>
      </w:r>
    </w:p>
    <w:p w14:paraId="60736721" w14:textId="5BB75695" w:rsidR="003C2F10" w:rsidRDefault="003C2F10"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PacFIN. 2015. PacFIN (Facific Fisheries Information Network). Pacific States Marine Fisheries Commission, Portland, OR. www.psmfc.org. </w:t>
      </w:r>
    </w:p>
    <w:p w14:paraId="5158351D" w14:textId="0A283CAD" w:rsidR="00BF387C" w:rsidRDefault="00BF387C"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Peckham, S. H., Diaz, D. M., Walli, A., Ruiz G., Crowder, L. B., and Nichols, W. J. 2007. Small-scale fisheries bycatch jeopardizes endangered Pacific loggerhead turtules. PLoS ONE, 2: e1041.</w:t>
      </w:r>
    </w:p>
    <w:p w14:paraId="74CA4BDC" w14:textId="700359B0" w:rsidR="00EE566B" w:rsidRPr="00825A32" w:rsidRDefault="00EE566B"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Pinheiro, J. C.,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Bates, D. M. 2000. Mixed Effects Models in S and S-plus. Springer-Verlag, New York, New York. 528 pp.</w:t>
      </w:r>
    </w:p>
    <w:p w14:paraId="150323E5" w14:textId="71471C14" w:rsidR="00B648D2" w:rsidRDefault="00B648D2"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Oksanen, J., Blanchet, F. G., Kindt, R., Legendre, P., Minchin, P. R., O’Hara, R. B., Simpson, G. L., Solymos, P., Stevens, M. H. H., and Wagner, H. 2015. vegan: community ecology package. R package version 2.2-2/r2945. http://R-Forge.R-project.org/projects/vegan.</w:t>
      </w:r>
    </w:p>
    <w:p w14:paraId="0FCD35C7" w14:textId="67E4572C" w:rsidR="002A2FC1" w:rsidRPr="00825A32" w:rsidRDefault="002A2FC1"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Quirijns, F. J., Poos, J. J.,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Rijnsdorp, A. D. 2008. Standardizing commercial CPUE data in monitoring stock dynamics: accounting for targeting behaviour in mixed fisheries. Fisheries Research, 89: 1-8.</w:t>
      </w:r>
    </w:p>
    <w:p w14:paraId="4E94DAB3" w14:textId="77777777"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R Core Team. 201</w:t>
      </w:r>
      <w:r w:rsidR="00D90817" w:rsidRPr="00825A32">
        <w:rPr>
          <w:rFonts w:ascii="Times New Roman" w:eastAsia="Calibri" w:hAnsi="Times New Roman" w:cs="Times New Roman"/>
          <w:color w:val="000000" w:themeColor="text1"/>
          <w:szCs w:val="22"/>
        </w:rPr>
        <w:t>5</w:t>
      </w:r>
      <w:r w:rsidRPr="00825A32">
        <w:rPr>
          <w:rFonts w:ascii="Times New Roman" w:eastAsia="Calibri" w:hAnsi="Times New Roman" w:cs="Times New Roman"/>
          <w:color w:val="000000" w:themeColor="text1"/>
          <w:szCs w:val="22"/>
        </w:rPr>
        <w:t>. R: a language and environment for statistical computing. R Foundation for Statistical Computing, Vienna, Austria.url: http://www.R-project.org/.</w:t>
      </w:r>
    </w:p>
    <w:p w14:paraId="6B6C02CB" w14:textId="56DC32EA" w:rsidR="00662BF5" w:rsidRPr="00825A32" w:rsidRDefault="00662BF5"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Rigby, R. A., and Stasinopoulos, D. M. 2005. Generalized additive models for location, scale and shape, (with discussion). Journal of Applied Statistics, 54: 507-554.</w:t>
      </w:r>
    </w:p>
    <w:p w14:paraId="4E258E8F" w14:textId="2EB43B08" w:rsidR="00A74DE1" w:rsidRDefault="00A74DE1" w:rsidP="00145B28">
      <w:pPr>
        <w:spacing w:line="240" w:lineRule="auto"/>
        <w:ind w:left="720" w:hanging="720"/>
        <w:jc w:val="both"/>
        <w:rPr>
          <w:rFonts w:ascii="Times New Roman" w:eastAsia="Calibri" w:hAnsi="Times New Roman" w:cs="Times New Roman"/>
          <w:color w:val="000000" w:themeColor="text1"/>
          <w:szCs w:val="22"/>
        </w:rPr>
      </w:pPr>
      <w:commentRangeStart w:id="13"/>
      <w:r>
        <w:rPr>
          <w:rFonts w:ascii="Times New Roman" w:eastAsia="Calibri" w:hAnsi="Times New Roman" w:cs="Times New Roman"/>
          <w:color w:val="000000" w:themeColor="text1"/>
          <w:szCs w:val="22"/>
        </w:rPr>
        <w:t>Ripley, R. D. 2004 Selecting amongst large classes of models. In: Adams, N., Crowder, M., Hand, D. J., Stephens, D. Methods and Models in Statistics. London, Imperial College Press, 155-170 p.</w:t>
      </w:r>
      <w:commentRangeEnd w:id="13"/>
      <w:r>
        <w:rPr>
          <w:rStyle w:val="CommentReference"/>
        </w:rPr>
        <w:commentReference w:id="13"/>
      </w:r>
    </w:p>
    <w:p w14:paraId="6C8AB711" w14:textId="3C339DE5" w:rsidR="00893E38" w:rsidRDefault="00893E38"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Rousseeuw, P. J. 1987. Silhouettes: a graphical aid to the interpretation and validation of cluster analysis. Journal of Computation and Applied Mathematics, 20: 53-65.</w:t>
      </w:r>
    </w:p>
    <w:p w14:paraId="18095B63" w14:textId="22A93E23" w:rsidR="00003223" w:rsidRPr="00825A32" w:rsidRDefault="002E4916"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Sanchirico, J. N., Holland, D., Quigley, K.,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Fina, M. 2006. Catch-quota balancing in multispecies individual fishing quot</w:t>
      </w:r>
      <w:r w:rsidR="00003223" w:rsidRPr="00825A32">
        <w:rPr>
          <w:rFonts w:ascii="Times New Roman" w:eastAsia="Calibri" w:hAnsi="Times New Roman" w:cs="Times New Roman"/>
          <w:color w:val="000000" w:themeColor="text1"/>
          <w:szCs w:val="22"/>
        </w:rPr>
        <w:t>as. Marine Policy, 30: 767-785.</w:t>
      </w:r>
    </w:p>
    <w:p w14:paraId="4B706AF3" w14:textId="431628E0" w:rsidR="001B2C07" w:rsidRDefault="001B2C07"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Schmid, M., Wickler, F., Maloney, K. O., Mitchell, R., Fenske, N., and Mayr, A. 2013. Boosted Beta regression. PLoS ONE, 8: e61623.</w:t>
      </w:r>
    </w:p>
    <w:p w14:paraId="57D32320" w14:textId="1D1ED7EB" w:rsidR="008A0C6B" w:rsidRDefault="008A0C6B" w:rsidP="00145B28">
      <w:pPr>
        <w:spacing w:line="240" w:lineRule="auto"/>
        <w:ind w:left="720" w:hanging="720"/>
        <w:jc w:val="both"/>
        <w:rPr>
          <w:rFonts w:ascii="Times New Roman" w:eastAsia="Calibri" w:hAnsi="Times New Roman" w:cs="Times New Roman"/>
          <w:color w:val="000000" w:themeColor="text1"/>
          <w:szCs w:val="22"/>
        </w:rPr>
      </w:pPr>
      <w:r w:rsidRPr="008A0C6B">
        <w:rPr>
          <w:rFonts w:ascii="Times New Roman" w:eastAsia="Calibri" w:hAnsi="Times New Roman" w:cs="Times New Roman"/>
          <w:color w:val="000000" w:themeColor="text1"/>
          <w:szCs w:val="22"/>
        </w:rPr>
        <w:t>Schwarz, G</w:t>
      </w:r>
      <w:r>
        <w:rPr>
          <w:rFonts w:ascii="Times New Roman" w:eastAsia="Calibri" w:hAnsi="Times New Roman" w:cs="Times New Roman"/>
          <w:color w:val="000000" w:themeColor="text1"/>
          <w:szCs w:val="22"/>
        </w:rPr>
        <w:t>.</w:t>
      </w:r>
      <w:r w:rsidRPr="008A0C6B">
        <w:rPr>
          <w:rFonts w:ascii="Times New Roman" w:eastAsia="Calibri" w:hAnsi="Times New Roman" w:cs="Times New Roman"/>
          <w:color w:val="000000" w:themeColor="text1"/>
          <w:szCs w:val="22"/>
        </w:rPr>
        <w:t xml:space="preserve"> E. 1978</w:t>
      </w:r>
      <w:r>
        <w:rPr>
          <w:rFonts w:ascii="Times New Roman" w:eastAsia="Calibri" w:hAnsi="Times New Roman" w:cs="Times New Roman"/>
          <w:color w:val="000000" w:themeColor="text1"/>
          <w:szCs w:val="22"/>
        </w:rPr>
        <w:t>.</w:t>
      </w:r>
      <w:r w:rsidRPr="008A0C6B">
        <w:rPr>
          <w:rFonts w:ascii="Times New Roman" w:eastAsia="Calibri" w:hAnsi="Times New Roman" w:cs="Times New Roman"/>
          <w:color w:val="000000" w:themeColor="text1"/>
          <w:szCs w:val="22"/>
        </w:rPr>
        <w:t xml:space="preserve"> Estimating the dimension of a model</w:t>
      </w:r>
      <w:r>
        <w:rPr>
          <w:rFonts w:ascii="Times New Roman" w:eastAsia="Calibri" w:hAnsi="Times New Roman" w:cs="Times New Roman"/>
          <w:color w:val="000000" w:themeColor="text1"/>
          <w:szCs w:val="22"/>
        </w:rPr>
        <w:t>.</w:t>
      </w:r>
      <w:r w:rsidRPr="008A0C6B">
        <w:rPr>
          <w:rFonts w:ascii="Times New Roman" w:eastAsia="Calibri" w:hAnsi="Times New Roman" w:cs="Times New Roman"/>
          <w:color w:val="000000" w:themeColor="text1"/>
          <w:szCs w:val="22"/>
        </w:rPr>
        <w:t xml:space="preserve"> Annals of Statistics</w:t>
      </w:r>
      <w:r>
        <w:rPr>
          <w:rFonts w:ascii="Times New Roman" w:eastAsia="Calibri" w:hAnsi="Times New Roman" w:cs="Times New Roman"/>
          <w:color w:val="000000" w:themeColor="text1"/>
          <w:szCs w:val="22"/>
        </w:rPr>
        <w:t>, 6</w:t>
      </w:r>
      <w:r w:rsidRPr="008A0C6B">
        <w:rPr>
          <w:rFonts w:ascii="Times New Roman" w:eastAsia="Calibri" w:hAnsi="Times New Roman" w:cs="Times New Roman"/>
          <w:color w:val="000000" w:themeColor="text1"/>
          <w:szCs w:val="22"/>
        </w:rPr>
        <w:t>: 461</w:t>
      </w:r>
      <w:r>
        <w:rPr>
          <w:rFonts w:ascii="Times New Roman" w:eastAsia="Calibri" w:hAnsi="Times New Roman" w:cs="Times New Roman"/>
          <w:color w:val="000000" w:themeColor="text1"/>
          <w:szCs w:val="22"/>
        </w:rPr>
        <w:t>-</w:t>
      </w:r>
      <w:r w:rsidRPr="008A0C6B">
        <w:rPr>
          <w:rFonts w:ascii="Times New Roman" w:eastAsia="Calibri" w:hAnsi="Times New Roman" w:cs="Times New Roman"/>
          <w:color w:val="000000" w:themeColor="text1"/>
          <w:szCs w:val="22"/>
        </w:rPr>
        <w:t>464</w:t>
      </w:r>
      <w:r>
        <w:rPr>
          <w:rFonts w:ascii="Times New Roman" w:eastAsia="Calibri" w:hAnsi="Times New Roman" w:cs="Times New Roman"/>
          <w:color w:val="000000" w:themeColor="text1"/>
          <w:szCs w:val="22"/>
        </w:rPr>
        <w:t>.</w:t>
      </w:r>
    </w:p>
    <w:p w14:paraId="636844DC" w14:textId="2C393C68" w:rsidR="000F5BAC" w:rsidRPr="00825A32" w:rsidRDefault="000F5BA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Senko, J., White, E. R., Heppell, S. S., Gerber, L. R. 2014. Comparing bycatch mitigation strategies for vulnerable marine megafauna. Animal Conservation, 17: 5-18.</w:t>
      </w:r>
    </w:p>
    <w:p w14:paraId="3031F576" w14:textId="623969C0" w:rsidR="00E4710C" w:rsidRDefault="00E4710C"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Sepez, J., Norman, K., Poole, A., and Tilt, B. 2006. Fish scales: scale and method in social science research for North Pacific and West Coast fishing communities. Human Organization, 65: 280-293.</w:t>
      </w:r>
    </w:p>
    <w:p w14:paraId="3A03A0AF" w14:textId="3DB8D887"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Singh, R.</w:t>
      </w:r>
      <w:r w:rsidR="003C5668" w:rsidRPr="00825A32">
        <w:rPr>
          <w:rFonts w:ascii="Times New Roman" w:eastAsia="Calibri" w:hAnsi="Times New Roman" w:cs="Times New Roman"/>
          <w:color w:val="000000" w:themeColor="text1"/>
          <w:szCs w:val="22"/>
        </w:rPr>
        <w:t xml:space="preserve"> K.</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Weninger, Q.</w:t>
      </w:r>
      <w:r w:rsidR="003C5668" w:rsidRPr="00825A32">
        <w:rPr>
          <w:rFonts w:ascii="Times New Roman" w:eastAsia="Calibri" w:hAnsi="Times New Roman" w:cs="Times New Roman"/>
          <w:color w:val="000000" w:themeColor="text1"/>
          <w:szCs w:val="22"/>
        </w:rPr>
        <w:t xml:space="preserve"> R.</w:t>
      </w:r>
      <w:r w:rsidRPr="00825A32">
        <w:rPr>
          <w:rFonts w:ascii="Times New Roman" w:eastAsia="Calibri" w:hAnsi="Times New Roman" w:cs="Times New Roman"/>
          <w:color w:val="000000" w:themeColor="text1"/>
          <w:szCs w:val="22"/>
        </w:rPr>
        <w:t xml:space="preserve"> 2009. Bioeconomies of scope and the discard problem in multiple-species fisheries. Journal of Environmental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58:</w:t>
      </w:r>
      <w:r w:rsidR="003C5668"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72</w:t>
      </w:r>
      <w:r w:rsidR="003C5668"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92</w:t>
      </w:r>
      <w:r w:rsidR="003C5668" w:rsidRPr="00825A32">
        <w:rPr>
          <w:rFonts w:ascii="Times New Roman" w:eastAsia="Calibri" w:hAnsi="Times New Roman" w:cs="Times New Roman"/>
          <w:color w:val="000000" w:themeColor="text1"/>
          <w:szCs w:val="22"/>
        </w:rPr>
        <w:t>.</w:t>
      </w:r>
    </w:p>
    <w:p w14:paraId="28798D47" w14:textId="3C3E7B53" w:rsidR="00A57E8C" w:rsidRDefault="00A57E8C" w:rsidP="00145B28">
      <w:pPr>
        <w:spacing w:line="240" w:lineRule="auto"/>
        <w:ind w:left="720" w:hanging="720"/>
        <w:jc w:val="both"/>
        <w:rPr>
          <w:rFonts w:ascii="Times New Roman" w:eastAsia="Calibri" w:hAnsi="Times New Roman" w:cs="Times New Roman"/>
          <w:color w:val="000000" w:themeColor="text1"/>
          <w:szCs w:val="22"/>
        </w:rPr>
      </w:pPr>
      <w:r w:rsidRPr="00A57E8C">
        <w:rPr>
          <w:rFonts w:ascii="Times New Roman" w:eastAsia="Calibri" w:hAnsi="Times New Roman" w:cs="Times New Roman"/>
          <w:color w:val="000000" w:themeColor="text1"/>
          <w:szCs w:val="22"/>
        </w:rPr>
        <w:t>Smithson, M</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and Verkuilen</w:t>
      </w:r>
      <w:r>
        <w:rPr>
          <w:rFonts w:ascii="Times New Roman" w:eastAsia="Calibri" w:hAnsi="Times New Roman" w:cs="Times New Roman"/>
          <w:color w:val="000000" w:themeColor="text1"/>
          <w:szCs w:val="22"/>
        </w:rPr>
        <w:t>, J</w:t>
      </w:r>
      <w:r w:rsidRPr="00A57E8C">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2006. </w:t>
      </w:r>
      <w:r w:rsidRPr="00A57E8C">
        <w:rPr>
          <w:rFonts w:ascii="Times New Roman" w:eastAsia="Calibri" w:hAnsi="Times New Roman" w:cs="Times New Roman"/>
          <w:color w:val="000000" w:themeColor="text1"/>
          <w:szCs w:val="22"/>
        </w:rPr>
        <w:t xml:space="preserve">A better lemon squeezer? Maximum-likelihood regression with beta-distributed dependent variables. Psychological </w:t>
      </w:r>
      <w:r>
        <w:rPr>
          <w:rFonts w:ascii="Times New Roman" w:eastAsia="Calibri" w:hAnsi="Times New Roman" w:cs="Times New Roman"/>
          <w:color w:val="000000" w:themeColor="text1"/>
          <w:szCs w:val="22"/>
        </w:rPr>
        <w:t>M</w:t>
      </w:r>
      <w:r w:rsidRPr="00A57E8C">
        <w:rPr>
          <w:rFonts w:ascii="Times New Roman" w:eastAsia="Calibri" w:hAnsi="Times New Roman" w:cs="Times New Roman"/>
          <w:color w:val="000000" w:themeColor="text1"/>
          <w:szCs w:val="22"/>
        </w:rPr>
        <w:t>ethods</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11: 54.</w:t>
      </w:r>
    </w:p>
    <w:p w14:paraId="38382A7F" w14:textId="7CCDC460" w:rsidR="00FF0EB4" w:rsidRPr="00825A32" w:rsidRDefault="00FF0EB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Spiegelhalter, D. J., Best, N. G., Carline, B. P.,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van der Linde, A. 2002. Bayesian measures of model complexity and fit. Journal of the Royal Statistical Society: Series B (Statistical Methodology), 64: 583-639.</w:t>
      </w:r>
    </w:p>
    <w:p w14:paraId="5DC32A91" w14:textId="77777777" w:rsidR="00631F13" w:rsidRPr="00825A32" w:rsidRDefault="00631F13"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Stavins, R. N. 1995. Transaction costs and tradeable permits. Journal of Environmental Economics and Management, 29: 133-148.</w:t>
      </w:r>
    </w:p>
    <w:p w14:paraId="78EB68B9" w14:textId="01864063" w:rsidR="00793CFA" w:rsidRDefault="00793CFA"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Steelman, T. A., and Wallace, R. 2001. Property rights and property wrongs: why context matters in fisheries management. Policy Science, 34: 357-379.</w:t>
      </w:r>
    </w:p>
    <w:p w14:paraId="2344F41D" w14:textId="77777777" w:rsidR="00631F13" w:rsidRPr="00825A32" w:rsidRDefault="00631F13"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Swinkels, J. M. 1999. Asymptotic efficiency for discriminatory private value auctions. </w:t>
      </w:r>
      <w:r w:rsidR="00560CC3" w:rsidRPr="00825A32">
        <w:rPr>
          <w:rFonts w:ascii="Times New Roman" w:eastAsia="Calibri" w:hAnsi="Times New Roman" w:cs="Times New Roman"/>
          <w:color w:val="000000" w:themeColor="text1"/>
          <w:szCs w:val="22"/>
        </w:rPr>
        <w:t xml:space="preserve">The </w:t>
      </w:r>
      <w:r w:rsidRPr="00825A32">
        <w:rPr>
          <w:rFonts w:ascii="Times New Roman" w:eastAsia="Calibri" w:hAnsi="Times New Roman" w:cs="Times New Roman"/>
          <w:color w:val="000000" w:themeColor="text1"/>
          <w:szCs w:val="22"/>
        </w:rPr>
        <w:t>Review of Economic Studies, 66: 509-528.</w:t>
      </w:r>
    </w:p>
    <w:p w14:paraId="2755C48B" w14:textId="69B0CB04" w:rsidR="00E801AF" w:rsidRPr="00825A32" w:rsidRDefault="00E801AF"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Taylor, I. G.,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Wetzel, C. 2011. Status of the U.S. yelloweye rockfish resource in 2011</w:t>
      </w:r>
      <w:r w:rsidR="0071287E"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(Update of 2009 assessment model). Pacific Fishery Management Council, Portland, OR.</w:t>
      </w:r>
    </w:p>
    <w:p w14:paraId="3159E8AA" w14:textId="39E35268" w:rsidR="000F5BAC" w:rsidRPr="00825A32" w:rsidRDefault="000F5BA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Teh, L. S. L, Teh, L. C. L., Hines, E., Junchompoo, C., and Lewison, R. L. 2015. Contextualising the coupled socio-ecological conditions of marine megafauna bycatch. Ocean and Coastal Management, 116: 449-465.</w:t>
      </w:r>
    </w:p>
    <w:p w14:paraId="2061D154" w14:textId="6DBE1320" w:rsidR="006774D2" w:rsidRPr="00825A32" w:rsidRDefault="001234B2"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TNC (</w:t>
      </w:r>
      <w:r w:rsidR="00821574" w:rsidRPr="00825A32">
        <w:rPr>
          <w:rFonts w:ascii="Times New Roman" w:eastAsia="Calibri" w:hAnsi="Times New Roman" w:cs="Times New Roman"/>
          <w:color w:val="000000" w:themeColor="text1"/>
          <w:szCs w:val="22"/>
        </w:rPr>
        <w:t>The Nature Conservancy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 2014. California Risk Pool: A Co-management Model to advance fisheries Resource Stewardship. The Nature Conservancy.</w:t>
      </w:r>
    </w:p>
    <w:p w14:paraId="63A84C45" w14:textId="641769F8" w:rsidR="0087218B" w:rsidRPr="003E70ED" w:rsidRDefault="0087218B"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Thorson, J. T.,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Ward, E. J. 2013. Accounting for space-time interactions in index standardization models. Fisheries Research, 147: 426-433.</w:t>
      </w:r>
      <w:r w:rsidRPr="003E70ED">
        <w:rPr>
          <w:rFonts w:ascii="Times New Roman" w:eastAsia="Calibri" w:hAnsi="Times New Roman" w:cs="Times New Roman"/>
          <w:color w:val="000000" w:themeColor="text1"/>
          <w:szCs w:val="22"/>
        </w:rPr>
        <w:t xml:space="preserve"> </w:t>
      </w:r>
    </w:p>
    <w:p w14:paraId="1129F28C" w14:textId="3E94B17D" w:rsidR="00BC6AB9" w:rsidRDefault="00BC6AB9"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Thorson, J. T., Shelton, A. O., Ward, E. J., and Skaug, H. J. 2015. Geostatistical delta-generalized linear mixed models improve precision for estimated abundance indices for West Coast groundfishes. ICES Journal of Marine Science, 72: 1297-1310.</w:t>
      </w:r>
    </w:p>
    <w:p w14:paraId="59389CD5" w14:textId="77777777" w:rsidR="00835FCE" w:rsidRDefault="005E62CE"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van Putten, I. E., Kulmala, S., Th</w:t>
      </w:r>
      <w:r>
        <w:rPr>
          <w:rFonts w:ascii="Calibri" w:eastAsia="Calibri" w:hAnsi="Calibri" w:cs="Times New Roman"/>
          <w:color w:val="000000" w:themeColor="text1"/>
          <w:szCs w:val="22"/>
        </w:rPr>
        <w:t>é</w:t>
      </w:r>
      <w:r w:rsidR="0067564D">
        <w:rPr>
          <w:rFonts w:ascii="Times New Roman" w:eastAsia="Calibri" w:hAnsi="Times New Roman" w:cs="Times New Roman"/>
          <w:color w:val="000000" w:themeColor="text1"/>
          <w:szCs w:val="22"/>
        </w:rPr>
        <w:t xml:space="preserve">baud, O., Dowling, N., Hamon, K. G., Hutton, T., and Pascoe, S. 2012. Theories and behavioural drivers underlying fleet dynamics models. </w:t>
      </w:r>
      <w:r w:rsidR="00835FCE">
        <w:rPr>
          <w:rFonts w:ascii="Times New Roman" w:eastAsia="Calibri" w:hAnsi="Times New Roman" w:cs="Times New Roman"/>
          <w:color w:val="000000" w:themeColor="text1"/>
          <w:szCs w:val="22"/>
        </w:rPr>
        <w:t>Fish and Fisheries, 13: 216-235.</w:t>
      </w:r>
    </w:p>
    <w:p w14:paraId="3B22353C" w14:textId="40839B23" w:rsidR="004B15E6" w:rsidRDefault="00835FCE"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Warton, D. I., and Hui, F. K. C. 2011. The arcsine is asinine: the analysis of proportions in ecology. Ecology, 92: 3-10.</w:t>
      </w:r>
    </w:p>
    <w:p w14:paraId="0A4DC73D" w14:textId="77777777" w:rsidR="00A74DE1" w:rsidRDefault="00A74DE1"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Whittingham, M. J., Stephens, P. A., Bradbury, R. B., Freckleton, R. P. 2006. Why do we still use stepwise modelling in ecology and behaviour? Journal of Animal Ecology, 75: 1182-1189.</w:t>
      </w:r>
    </w:p>
    <w:p w14:paraId="3D6358E6" w14:textId="5068E258" w:rsidR="00A74DE1" w:rsidRDefault="00A74DE1" w:rsidP="00145B28">
      <w:pPr>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928D5B8" w14:textId="46D817AF" w:rsidR="00752CFA" w:rsidRPr="003E70ED" w:rsidRDefault="00752CFA" w:rsidP="00145B28">
      <w:pPr>
        <w:spacing w:line="240" w:lineRule="auto"/>
        <w:jc w:val="both"/>
        <w:rPr>
          <w:rFonts w:ascii="Times New Roman" w:hAnsi="Times New Roman" w:cs="Times New Roman"/>
          <w:color w:val="000000" w:themeColor="text1"/>
          <w:szCs w:val="22"/>
        </w:rPr>
      </w:pPr>
      <w:bookmarkStart w:id="14" w:name="_Ref431013306"/>
      <w:r w:rsidRPr="003E70ED">
        <w:rPr>
          <w:rFonts w:ascii="Times New Roman" w:eastAsia="Calibri" w:hAnsi="Times New Roman" w:cs="Times New Roman"/>
          <w:color w:val="000000" w:themeColor="text1"/>
          <w:szCs w:val="22"/>
        </w:rPr>
        <w:lastRenderedPageBreak/>
        <w:t xml:space="preserve">Table </w:t>
      </w:r>
      <w:r w:rsidRPr="003E70ED">
        <w:rPr>
          <w:rFonts w:ascii="Times New Roman" w:eastAsia="Calibri" w:hAnsi="Times New Roman" w:cs="Times New Roman"/>
          <w:color w:val="000000" w:themeColor="text1"/>
          <w:szCs w:val="22"/>
        </w:rPr>
        <w:fldChar w:fldCharType="begin"/>
      </w:r>
      <w:r w:rsidRPr="003E70ED">
        <w:rPr>
          <w:rFonts w:ascii="Times New Roman" w:eastAsia="Calibri" w:hAnsi="Times New Roman" w:cs="Times New Roman"/>
          <w:color w:val="000000" w:themeColor="text1"/>
          <w:szCs w:val="22"/>
        </w:rPr>
        <w:instrText xml:space="preserve"> SEQ Table \* MERGEFORMAT </w:instrText>
      </w:r>
      <w:r w:rsidRPr="003E70ED">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1</w:t>
      </w:r>
      <w:r w:rsidRPr="003E70ED">
        <w:rPr>
          <w:rFonts w:ascii="Times New Roman" w:eastAsia="Calibri" w:hAnsi="Times New Roman" w:cs="Times New Roman"/>
          <w:color w:val="000000" w:themeColor="text1"/>
          <w:szCs w:val="22"/>
        </w:rPr>
        <w:fldChar w:fldCharType="end"/>
      </w:r>
      <w:bookmarkEnd w:id="14"/>
      <w:r w:rsidRPr="003E70ED">
        <w:rPr>
          <w:rFonts w:ascii="Times New Roman" w:eastAsia="Calibri" w:hAnsi="Times New Roman" w:cs="Times New Roman"/>
          <w:color w:val="000000" w:themeColor="text1"/>
          <w:szCs w:val="22"/>
        </w:rPr>
        <w:t xml:space="preserve">. </w:t>
      </w:r>
      <w:r w:rsidR="00FF0DC5">
        <w:rPr>
          <w:rFonts w:ascii="Times New Roman" w:eastAsia="Calibri" w:hAnsi="Times New Roman" w:cs="Times New Roman"/>
          <w:color w:val="000000" w:themeColor="text1"/>
          <w:szCs w:val="22"/>
        </w:rPr>
        <w:t>G</w:t>
      </w:r>
      <w:r w:rsidR="003A63FD" w:rsidRPr="003E70ED">
        <w:rPr>
          <w:rFonts w:ascii="Times New Roman" w:eastAsia="Calibri" w:hAnsi="Times New Roman" w:cs="Times New Roman"/>
          <w:color w:val="000000" w:themeColor="text1"/>
          <w:szCs w:val="22"/>
        </w:rPr>
        <w:t>ea</w:t>
      </w:r>
      <w:r w:rsidR="00676829">
        <w:rPr>
          <w:rFonts w:ascii="Times New Roman" w:eastAsia="Calibri" w:hAnsi="Times New Roman" w:cs="Times New Roman"/>
          <w:color w:val="000000" w:themeColor="text1"/>
          <w:szCs w:val="22"/>
        </w:rPr>
        <w:t>r-</w:t>
      </w:r>
      <w:r w:rsidR="003A63FD" w:rsidRPr="003E70ED">
        <w:rPr>
          <w:rFonts w:ascii="Times New Roman" w:eastAsia="Calibri" w:hAnsi="Times New Roman" w:cs="Times New Roman"/>
          <w:color w:val="000000" w:themeColor="text1"/>
          <w:szCs w:val="22"/>
        </w:rPr>
        <w:t xml:space="preserve">specific </w:t>
      </w:r>
      <w:r w:rsidR="00351247">
        <w:rPr>
          <w:rFonts w:ascii="Times New Roman" w:eastAsia="Calibri" w:hAnsi="Times New Roman" w:cs="Times New Roman"/>
          <w:color w:val="000000" w:themeColor="text1"/>
          <w:szCs w:val="22"/>
        </w:rPr>
        <w:t xml:space="preserve">(trawl, longline, and pot) </w:t>
      </w:r>
      <w:r w:rsidR="003A63FD" w:rsidRPr="003E70ED">
        <w:rPr>
          <w:rFonts w:ascii="Times New Roman" w:eastAsia="Calibri" w:hAnsi="Times New Roman" w:cs="Times New Roman"/>
          <w:color w:val="000000" w:themeColor="text1"/>
          <w:szCs w:val="22"/>
        </w:rPr>
        <w:t xml:space="preserve">bycatch </w:t>
      </w:r>
      <w:r w:rsidR="00FF0DC5">
        <w:rPr>
          <w:rFonts w:ascii="Times New Roman" w:eastAsia="Calibri" w:hAnsi="Times New Roman" w:cs="Times New Roman"/>
          <w:color w:val="000000" w:themeColor="text1"/>
          <w:szCs w:val="22"/>
        </w:rPr>
        <w:t>rates</w:t>
      </w:r>
      <w:r w:rsidR="003A63FD" w:rsidRPr="003E70ED">
        <w:rPr>
          <w:rFonts w:ascii="Times New Roman" w:eastAsia="Calibri" w:hAnsi="Times New Roman" w:cs="Times New Roman"/>
          <w:color w:val="000000" w:themeColor="text1"/>
          <w:szCs w:val="22"/>
        </w:rPr>
        <w:t xml:space="preserve"> </w:t>
      </w:r>
      <w:r w:rsidR="00351247">
        <w:rPr>
          <w:rFonts w:ascii="Times New Roman" w:eastAsia="Calibri" w:hAnsi="Times New Roman" w:cs="Times New Roman"/>
          <w:color w:val="000000" w:themeColor="text1"/>
          <w:szCs w:val="22"/>
        </w:rPr>
        <w:t xml:space="preserve">when targeting sablefish along the US West Coast </w:t>
      </w:r>
      <w:r w:rsidR="004442E0">
        <w:rPr>
          <w:rFonts w:ascii="Times New Roman" w:eastAsia="Calibri" w:hAnsi="Times New Roman" w:cs="Times New Roman"/>
          <w:color w:val="000000" w:themeColor="text1"/>
          <w:szCs w:val="22"/>
        </w:rPr>
        <w:t>of seven</w:t>
      </w:r>
      <w:r w:rsidR="00897688">
        <w:rPr>
          <w:rFonts w:ascii="Times New Roman" w:eastAsia="Calibri" w:hAnsi="Times New Roman" w:cs="Times New Roman"/>
          <w:color w:val="000000" w:themeColor="text1"/>
          <w:szCs w:val="22"/>
        </w:rPr>
        <w:t xml:space="preserve"> groundfish species</w:t>
      </w:r>
      <w:r w:rsidR="00FF0DC5">
        <w:rPr>
          <w:rFonts w:ascii="Times New Roman" w:eastAsia="Calibri" w:hAnsi="Times New Roman" w:cs="Times New Roman"/>
          <w:color w:val="000000" w:themeColor="text1"/>
          <w:szCs w:val="22"/>
        </w:rPr>
        <w:t xml:space="preserve">. These seven species were of specific interest </w:t>
      </w:r>
      <w:r w:rsidR="00897688">
        <w:rPr>
          <w:rFonts w:ascii="Times New Roman" w:eastAsia="Calibri" w:hAnsi="Times New Roman" w:cs="Times New Roman"/>
          <w:color w:val="000000" w:themeColor="text1"/>
          <w:szCs w:val="22"/>
        </w:rPr>
        <w:t xml:space="preserve">in Jenkins and Garrison (2013) </w:t>
      </w:r>
      <w:r w:rsidR="00FF0DC5">
        <w:rPr>
          <w:rFonts w:ascii="Times New Roman" w:eastAsia="Calibri" w:hAnsi="Times New Roman" w:cs="Times New Roman"/>
          <w:color w:val="000000" w:themeColor="text1"/>
          <w:szCs w:val="22"/>
        </w:rPr>
        <w:t xml:space="preserve">because </w:t>
      </w:r>
      <w:r w:rsidR="00897688">
        <w:rPr>
          <w:rFonts w:ascii="Times New Roman" w:eastAsia="Calibri" w:hAnsi="Times New Roman" w:cs="Times New Roman"/>
          <w:color w:val="000000" w:themeColor="text1"/>
          <w:szCs w:val="22"/>
        </w:rPr>
        <w:t xml:space="preserve">in 2004 </w:t>
      </w:r>
      <w:r w:rsidR="00FF0DC5">
        <w:rPr>
          <w:rFonts w:ascii="Times New Roman" w:eastAsia="Calibri" w:hAnsi="Times New Roman" w:cs="Times New Roman"/>
          <w:color w:val="000000" w:themeColor="text1"/>
          <w:szCs w:val="22"/>
        </w:rPr>
        <w:t xml:space="preserve">each species was in an overfished state as determined by the Pacific Fisheries Management Council. Both canary rockfish and widow rockfish have since been rebuilt, while the remaining five species are still estimated to be in an overfished state. </w:t>
      </w:r>
      <w:r w:rsidR="00691FA2">
        <w:rPr>
          <w:rFonts w:ascii="Times New Roman" w:eastAsia="Calibri" w:hAnsi="Times New Roman" w:cs="Times New Roman"/>
          <w:color w:val="000000" w:themeColor="text1"/>
          <w:szCs w:val="22"/>
        </w:rPr>
        <w:t>Calculated bycatch ratios</w:t>
      </w:r>
      <w:r w:rsidR="00FF0DC5">
        <w:rPr>
          <w:rFonts w:ascii="Times New Roman" w:eastAsia="Calibri" w:hAnsi="Times New Roman" w:cs="Times New Roman"/>
          <w:color w:val="000000" w:themeColor="text1"/>
          <w:szCs w:val="22"/>
        </w:rPr>
        <w:t xml:space="preserve"> (kg of bycatch per 100 kg of sablefish) were estimated from data provided by the West Coast Groundfish Observer Program during April to October of 2004 in a</w:t>
      </w:r>
      <w:r w:rsidR="00691FA2">
        <w:rPr>
          <w:rFonts w:ascii="Times New Roman" w:eastAsia="Calibri" w:hAnsi="Times New Roman" w:cs="Times New Roman"/>
          <w:color w:val="000000" w:themeColor="text1"/>
          <w:szCs w:val="22"/>
        </w:rPr>
        <w:t>reas n</w:t>
      </w:r>
      <w:r w:rsidR="00FF0DC5">
        <w:rPr>
          <w:rFonts w:ascii="Times New Roman" w:eastAsia="Calibri" w:hAnsi="Times New Roman" w:cs="Times New Roman"/>
          <w:color w:val="000000" w:themeColor="text1"/>
          <w:szCs w:val="22"/>
        </w:rPr>
        <w:t>orth of 40°</w:t>
      </w:r>
      <w:r w:rsidR="00691FA2">
        <w:rPr>
          <w:rFonts w:ascii="Times New Roman" w:eastAsia="Calibri" w:hAnsi="Times New Roman" w:cs="Times New Roman"/>
          <w:color w:val="000000" w:themeColor="text1"/>
          <w:szCs w:val="22"/>
        </w:rPr>
        <w:t xml:space="preserve">10’N latitude and depths greater than 150 fm. </w:t>
      </w:r>
      <w:r w:rsidR="00FF0DC5">
        <w:rPr>
          <w:rFonts w:ascii="Times New Roman" w:eastAsia="Calibri" w:hAnsi="Times New Roman" w:cs="Times New Roman"/>
          <w:color w:val="000000" w:themeColor="text1"/>
          <w:szCs w:val="22"/>
        </w:rPr>
        <w:t xml:space="preserve">Bycatch ratios for trawl gear are supplied as a range because </w:t>
      </w:r>
      <w:r w:rsidR="00897688">
        <w:rPr>
          <w:rFonts w:ascii="Times New Roman" w:eastAsia="Calibri" w:hAnsi="Times New Roman" w:cs="Times New Roman"/>
          <w:color w:val="000000" w:themeColor="text1"/>
          <w:szCs w:val="22"/>
        </w:rPr>
        <w:t xml:space="preserve">the denominator (kg of retained catch) was only available as a yearly sum, whereas the denominator used for longline and pot ratios was summed over April to October (i.e., the same time data was collected for bycatch species). </w:t>
      </w:r>
      <w:r w:rsidR="00691FA2">
        <w:rPr>
          <w:rFonts w:ascii="Times New Roman" w:eastAsia="Calibri" w:hAnsi="Times New Roman" w:cs="Times New Roman"/>
          <w:color w:val="000000" w:themeColor="text1"/>
          <w:szCs w:val="22"/>
        </w:rPr>
        <w:t>The table is r</w:t>
      </w:r>
      <w:r w:rsidR="00927A14">
        <w:rPr>
          <w:rFonts w:ascii="Times New Roman" w:eastAsia="Calibri" w:hAnsi="Times New Roman" w:cs="Times New Roman"/>
          <w:color w:val="000000" w:themeColor="text1"/>
          <w:szCs w:val="22"/>
        </w:rPr>
        <w:t xml:space="preserve">eproduced </w:t>
      </w:r>
      <w:r w:rsidR="00691FA2">
        <w:rPr>
          <w:rFonts w:ascii="Times New Roman" w:eastAsia="Calibri" w:hAnsi="Times New Roman" w:cs="Times New Roman"/>
          <w:color w:val="000000" w:themeColor="text1"/>
          <w:szCs w:val="22"/>
        </w:rPr>
        <w:t xml:space="preserve">with permission </w:t>
      </w:r>
      <w:r w:rsidR="00927A14">
        <w:rPr>
          <w:rFonts w:ascii="Times New Roman" w:eastAsia="Calibri" w:hAnsi="Times New Roman" w:cs="Times New Roman"/>
          <w:color w:val="000000" w:themeColor="text1"/>
          <w:szCs w:val="22"/>
        </w:rPr>
        <w:t>from J</w:t>
      </w:r>
      <w:r w:rsidR="00362B65" w:rsidRPr="003E70ED">
        <w:rPr>
          <w:rFonts w:ascii="Times New Roman" w:eastAsia="Calibri" w:hAnsi="Times New Roman" w:cs="Times New Roman"/>
          <w:color w:val="000000" w:themeColor="text1"/>
          <w:szCs w:val="22"/>
        </w:rPr>
        <w:t>enkins and Garrison (201</w:t>
      </w:r>
      <w:r w:rsidR="007345BF">
        <w:rPr>
          <w:rFonts w:ascii="Times New Roman" w:eastAsia="Calibri" w:hAnsi="Times New Roman" w:cs="Times New Roman"/>
          <w:color w:val="000000" w:themeColor="text1"/>
          <w:szCs w:val="22"/>
        </w:rPr>
        <w:t>3</w:t>
      </w:r>
      <w:r w:rsidR="00362B65" w:rsidRPr="003E70ED">
        <w:rPr>
          <w:rFonts w:ascii="Times New Roman" w:eastAsia="Calibri" w:hAnsi="Times New Roman" w:cs="Times New Roman"/>
          <w:color w:val="000000" w:themeColor="text1"/>
          <w:szCs w:val="22"/>
        </w:rPr>
        <w:t xml:space="preserve">). </w:t>
      </w:r>
    </w:p>
    <w:tbl>
      <w:tblPr>
        <w:tblStyle w:val="1"/>
        <w:tblW w:w="0" w:type="auto"/>
        <w:jc w:val="center"/>
        <w:tblLook w:val="0600" w:firstRow="0" w:lastRow="0" w:firstColumn="0" w:lastColumn="0" w:noHBand="1" w:noVBand="1"/>
      </w:tblPr>
      <w:tblGrid>
        <w:gridCol w:w="2125"/>
        <w:gridCol w:w="1213"/>
        <w:gridCol w:w="1986"/>
        <w:gridCol w:w="1569"/>
        <w:gridCol w:w="1078"/>
      </w:tblGrid>
      <w:tr w:rsidR="00C56E97" w:rsidRPr="003E70ED" w14:paraId="00A066BE" w14:textId="77777777" w:rsidTr="00B605DE">
        <w:trPr>
          <w:trHeight w:val="218"/>
          <w:jc w:val="center"/>
        </w:trPr>
        <w:tc>
          <w:tcPr>
            <w:tcW w:w="0" w:type="auto"/>
            <w:vMerge w:val="restart"/>
            <w:tcBorders>
              <w:top w:val="single" w:sz="4" w:space="0" w:color="auto"/>
            </w:tcBorders>
            <w:tcMar>
              <w:top w:w="100" w:type="dxa"/>
              <w:left w:w="100" w:type="dxa"/>
              <w:bottom w:w="100" w:type="dxa"/>
              <w:right w:w="100" w:type="dxa"/>
            </w:tcMar>
            <w:vAlign w:val="bottom"/>
          </w:tcPr>
          <w:p w14:paraId="2BFB086B" w14:textId="73774E74"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Rockfish </w:t>
            </w:r>
            <w:r w:rsidRPr="003E70ED">
              <w:rPr>
                <w:rFonts w:ascii="Times New Roman" w:hAnsi="Times New Roman" w:cs="Times New Roman"/>
                <w:color w:val="000000" w:themeColor="text1"/>
                <w:szCs w:val="22"/>
              </w:rPr>
              <w:t>species</w:t>
            </w:r>
          </w:p>
        </w:tc>
        <w:tc>
          <w:tcPr>
            <w:tcW w:w="0" w:type="auto"/>
            <w:vMerge w:val="restart"/>
            <w:tcBorders>
              <w:top w:val="single" w:sz="4" w:space="0" w:color="auto"/>
            </w:tcBorders>
            <w:vAlign w:val="bottom"/>
          </w:tcPr>
          <w:p w14:paraId="5444BCFA" w14:textId="77777777"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2015 status</w:t>
            </w:r>
          </w:p>
        </w:tc>
        <w:tc>
          <w:tcPr>
            <w:tcW w:w="0" w:type="auto"/>
            <w:gridSpan w:val="3"/>
            <w:tcBorders>
              <w:top w:val="single" w:sz="4" w:space="0" w:color="auto"/>
              <w:bottom w:val="single" w:sz="4" w:space="0" w:color="auto"/>
            </w:tcBorders>
            <w:vAlign w:val="center"/>
          </w:tcPr>
          <w:p w14:paraId="367F23BC" w14:textId="3D7A896A"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Bycatch ratio</w:t>
            </w:r>
          </w:p>
          <w:p w14:paraId="21E245E7" w14:textId="65A725F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(kg of bycatch per 100 kg of retained target catch)</w:t>
            </w:r>
          </w:p>
        </w:tc>
      </w:tr>
      <w:tr w:rsidR="00C56E97" w:rsidRPr="003E70ED" w14:paraId="5BF56843" w14:textId="77777777" w:rsidTr="00B605DE">
        <w:trPr>
          <w:trHeight w:val="218"/>
          <w:jc w:val="center"/>
        </w:trPr>
        <w:tc>
          <w:tcPr>
            <w:tcW w:w="0" w:type="auto"/>
            <w:vMerge/>
            <w:tcBorders>
              <w:bottom w:val="single" w:sz="4" w:space="0" w:color="auto"/>
            </w:tcBorders>
            <w:tcMar>
              <w:top w:w="100" w:type="dxa"/>
              <w:left w:w="100" w:type="dxa"/>
              <w:bottom w:w="100" w:type="dxa"/>
              <w:right w:w="100" w:type="dxa"/>
            </w:tcMar>
          </w:tcPr>
          <w:p w14:paraId="1E9BB0EA" w14:textId="7CF1EC71" w:rsidR="00C56E97" w:rsidRPr="003E70ED" w:rsidRDefault="00C56E97" w:rsidP="00145B28">
            <w:pPr>
              <w:spacing w:line="240" w:lineRule="auto"/>
              <w:jc w:val="both"/>
              <w:rPr>
                <w:rFonts w:ascii="Times New Roman" w:hAnsi="Times New Roman" w:cs="Times New Roman"/>
                <w:color w:val="000000" w:themeColor="text1"/>
                <w:szCs w:val="22"/>
              </w:rPr>
            </w:pPr>
          </w:p>
        </w:tc>
        <w:tc>
          <w:tcPr>
            <w:tcW w:w="0" w:type="auto"/>
            <w:vMerge/>
            <w:tcBorders>
              <w:bottom w:val="single" w:sz="4" w:space="0" w:color="auto"/>
            </w:tcBorders>
          </w:tcPr>
          <w:p w14:paraId="616DE85B" w14:textId="25CC7322" w:rsidR="00C56E97" w:rsidRPr="003E70ED" w:rsidRDefault="00C56E97" w:rsidP="00145B28">
            <w:pPr>
              <w:spacing w:line="240" w:lineRule="auto"/>
              <w:jc w:val="both"/>
              <w:rPr>
                <w:rFonts w:ascii="Times New Roman" w:hAnsi="Times New Roman" w:cs="Times New Roman"/>
                <w:color w:val="000000" w:themeColor="text1"/>
                <w:szCs w:val="22"/>
              </w:rPr>
            </w:pPr>
          </w:p>
        </w:tc>
        <w:tc>
          <w:tcPr>
            <w:tcW w:w="0" w:type="auto"/>
            <w:tcBorders>
              <w:top w:val="single" w:sz="4" w:space="0" w:color="auto"/>
              <w:bottom w:val="single" w:sz="4" w:space="0" w:color="auto"/>
            </w:tcBorders>
          </w:tcPr>
          <w:p w14:paraId="3B59D68C" w14:textId="28BC4850"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Trawl</w:t>
            </w:r>
          </w:p>
        </w:tc>
        <w:tc>
          <w:tcPr>
            <w:tcW w:w="0" w:type="auto"/>
            <w:tcBorders>
              <w:top w:val="single" w:sz="4" w:space="0" w:color="auto"/>
              <w:bottom w:val="single" w:sz="4" w:space="0" w:color="auto"/>
            </w:tcBorders>
          </w:tcPr>
          <w:p w14:paraId="753B297C" w14:textId="3AEE10B5"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Longline</w:t>
            </w:r>
          </w:p>
        </w:tc>
        <w:tc>
          <w:tcPr>
            <w:tcW w:w="0" w:type="auto"/>
            <w:tcBorders>
              <w:top w:val="single" w:sz="4" w:space="0" w:color="auto"/>
              <w:bottom w:val="single" w:sz="4" w:space="0" w:color="auto"/>
            </w:tcBorders>
            <w:tcMar>
              <w:top w:w="100" w:type="dxa"/>
              <w:left w:w="100" w:type="dxa"/>
              <w:bottom w:w="100" w:type="dxa"/>
              <w:right w:w="100" w:type="dxa"/>
            </w:tcMar>
          </w:tcPr>
          <w:p w14:paraId="55DEB5E8" w14:textId="4170D95F"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Pot</w:t>
            </w:r>
          </w:p>
        </w:tc>
      </w:tr>
      <w:tr w:rsidR="00C56E97" w:rsidRPr="003E70ED" w14:paraId="41338805" w14:textId="77777777" w:rsidTr="00B605DE">
        <w:trPr>
          <w:trHeight w:val="218"/>
          <w:jc w:val="center"/>
        </w:trPr>
        <w:tc>
          <w:tcPr>
            <w:tcW w:w="0" w:type="auto"/>
            <w:tcBorders>
              <w:top w:val="single" w:sz="4" w:space="0" w:color="auto"/>
            </w:tcBorders>
            <w:tcMar>
              <w:top w:w="100" w:type="dxa"/>
              <w:left w:w="100" w:type="dxa"/>
              <w:bottom w:w="100" w:type="dxa"/>
              <w:right w:w="100" w:type="dxa"/>
            </w:tcMar>
          </w:tcPr>
          <w:p w14:paraId="70ADAA27" w14:textId="782B9056" w:rsidR="00C56E97" w:rsidRPr="003E70ED" w:rsidRDefault="00A96AD3" w:rsidP="001A4FD7">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b</w:t>
            </w:r>
            <w:r w:rsidR="00C56E97" w:rsidRPr="003E70ED">
              <w:rPr>
                <w:rFonts w:ascii="Times New Roman" w:hAnsi="Times New Roman" w:cs="Times New Roman"/>
                <w:color w:val="000000" w:themeColor="text1"/>
                <w:szCs w:val="22"/>
              </w:rPr>
              <w:t>ocaccio</w:t>
            </w:r>
            <w:r>
              <w:rPr>
                <w:rFonts w:ascii="Times New Roman" w:hAnsi="Times New Roman" w:cs="Times New Roman"/>
                <w:color w:val="000000" w:themeColor="text1"/>
                <w:szCs w:val="22"/>
              </w:rPr>
              <w:t xml:space="preserve"> rockfish</w:t>
            </w:r>
          </w:p>
        </w:tc>
        <w:tc>
          <w:tcPr>
            <w:tcW w:w="0" w:type="auto"/>
            <w:tcBorders>
              <w:top w:val="single" w:sz="4" w:space="0" w:color="auto"/>
            </w:tcBorders>
          </w:tcPr>
          <w:p w14:paraId="21BD4FB5" w14:textId="20CA6AF3"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Borders>
              <w:top w:val="single" w:sz="4" w:space="0" w:color="auto"/>
            </w:tcBorders>
          </w:tcPr>
          <w:p w14:paraId="12203253" w14:textId="5404C2FB"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0-0.001</w:t>
            </w:r>
          </w:p>
        </w:tc>
        <w:tc>
          <w:tcPr>
            <w:tcW w:w="0" w:type="auto"/>
            <w:tcBorders>
              <w:top w:val="single" w:sz="4" w:space="0" w:color="auto"/>
            </w:tcBorders>
          </w:tcPr>
          <w:p w14:paraId="75B9172B" w14:textId="2983A7AC"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Borders>
              <w:top w:val="single" w:sz="4" w:space="0" w:color="auto"/>
            </w:tcBorders>
            <w:tcMar>
              <w:top w:w="100" w:type="dxa"/>
              <w:left w:w="100" w:type="dxa"/>
              <w:bottom w:w="100" w:type="dxa"/>
              <w:right w:w="100" w:type="dxa"/>
            </w:tcMar>
          </w:tcPr>
          <w:p w14:paraId="516595E0" w14:textId="670FFC12"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23BE9BB3" w14:textId="77777777" w:rsidTr="00B605DE">
        <w:trPr>
          <w:trHeight w:val="218"/>
          <w:jc w:val="center"/>
        </w:trPr>
        <w:tc>
          <w:tcPr>
            <w:tcW w:w="0" w:type="auto"/>
            <w:tcMar>
              <w:top w:w="100" w:type="dxa"/>
              <w:left w:w="100" w:type="dxa"/>
              <w:bottom w:w="100" w:type="dxa"/>
              <w:right w:w="100" w:type="dxa"/>
            </w:tcMar>
          </w:tcPr>
          <w:p w14:paraId="19454CCC" w14:textId="78496805" w:rsidR="00C56E97" w:rsidRPr="003E70ED" w:rsidRDefault="00A96AD3" w:rsidP="00A96AD3">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c</w:t>
            </w:r>
            <w:r w:rsidR="00C56E97" w:rsidRPr="003E70ED">
              <w:rPr>
                <w:rFonts w:ascii="Times New Roman" w:hAnsi="Times New Roman" w:cs="Times New Roman"/>
                <w:color w:val="000000" w:themeColor="text1"/>
                <w:szCs w:val="22"/>
              </w:rPr>
              <w:t>anary</w:t>
            </w:r>
            <w:r w:rsidR="00676829">
              <w:rPr>
                <w:rFonts w:ascii="Times New Roman" w:hAnsi="Times New Roman" w:cs="Times New Roman"/>
                <w:color w:val="000000" w:themeColor="text1"/>
                <w:szCs w:val="22"/>
              </w:rPr>
              <w:t xml:space="preserve"> rockfish</w:t>
            </w:r>
          </w:p>
        </w:tc>
        <w:tc>
          <w:tcPr>
            <w:tcW w:w="0" w:type="auto"/>
          </w:tcPr>
          <w:p w14:paraId="14D80B78" w14:textId="0A44E836" w:rsidR="00C56E97" w:rsidRPr="003E70ED" w:rsidRDefault="00284FA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rebuilt</w:t>
            </w:r>
          </w:p>
        </w:tc>
        <w:tc>
          <w:tcPr>
            <w:tcW w:w="0" w:type="auto"/>
          </w:tcPr>
          <w:p w14:paraId="129FF658" w14:textId="36FFB6F1"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0.009-0.010</w:t>
            </w:r>
          </w:p>
        </w:tc>
        <w:tc>
          <w:tcPr>
            <w:tcW w:w="0" w:type="auto"/>
          </w:tcPr>
          <w:p w14:paraId="1DBA4558" w14:textId="5E901A85"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0.070</w:t>
            </w:r>
          </w:p>
        </w:tc>
        <w:tc>
          <w:tcPr>
            <w:tcW w:w="0" w:type="auto"/>
            <w:tcMar>
              <w:top w:w="100" w:type="dxa"/>
              <w:left w:w="100" w:type="dxa"/>
              <w:bottom w:w="100" w:type="dxa"/>
              <w:right w:w="100" w:type="dxa"/>
            </w:tcMar>
          </w:tcPr>
          <w:p w14:paraId="0E02FD5D" w14:textId="6B4635E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4E5D6565" w14:textId="77777777" w:rsidTr="00B605DE">
        <w:trPr>
          <w:trHeight w:val="218"/>
          <w:jc w:val="center"/>
        </w:trPr>
        <w:tc>
          <w:tcPr>
            <w:tcW w:w="0" w:type="auto"/>
            <w:tcMar>
              <w:top w:w="100" w:type="dxa"/>
              <w:left w:w="100" w:type="dxa"/>
              <w:bottom w:w="100" w:type="dxa"/>
              <w:right w:w="100" w:type="dxa"/>
            </w:tcMar>
          </w:tcPr>
          <w:p w14:paraId="70F5F2E4" w14:textId="2692EFC2" w:rsidR="00C56E97" w:rsidRPr="003E70ED" w:rsidRDefault="00A96AD3"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c</w:t>
            </w:r>
            <w:r w:rsidR="00C56E97" w:rsidRPr="003E70ED">
              <w:rPr>
                <w:rFonts w:ascii="Times New Roman" w:hAnsi="Times New Roman" w:cs="Times New Roman"/>
                <w:color w:val="000000" w:themeColor="text1"/>
                <w:szCs w:val="22"/>
              </w:rPr>
              <w:t>owcod</w:t>
            </w:r>
            <w:r>
              <w:rPr>
                <w:rFonts w:ascii="Times New Roman" w:hAnsi="Times New Roman" w:cs="Times New Roman"/>
                <w:color w:val="000000" w:themeColor="text1"/>
                <w:szCs w:val="22"/>
              </w:rPr>
              <w:t xml:space="preserve"> rockfish</w:t>
            </w:r>
          </w:p>
        </w:tc>
        <w:tc>
          <w:tcPr>
            <w:tcW w:w="0" w:type="auto"/>
          </w:tcPr>
          <w:p w14:paraId="17C62501" w14:textId="61D9F9E4"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Pr>
          <w:p w14:paraId="7CA436EB" w14:textId="01DBD8B4"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Pr>
          <w:p w14:paraId="109894AE" w14:textId="796F2FCB"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2674152F" w14:textId="7F8E9FF4"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2F1DB13F" w14:textId="77777777" w:rsidTr="00B605DE">
        <w:trPr>
          <w:trHeight w:val="218"/>
          <w:jc w:val="center"/>
        </w:trPr>
        <w:tc>
          <w:tcPr>
            <w:tcW w:w="0" w:type="auto"/>
            <w:tcMar>
              <w:top w:w="100" w:type="dxa"/>
              <w:left w:w="100" w:type="dxa"/>
              <w:bottom w:w="100" w:type="dxa"/>
              <w:right w:w="100" w:type="dxa"/>
            </w:tcMar>
          </w:tcPr>
          <w:p w14:paraId="7007ABCE" w14:textId="40F6EA2A" w:rsidR="00C56E97" w:rsidRPr="003E70ED" w:rsidRDefault="00A96AD3" w:rsidP="00A96AD3">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d</w:t>
            </w:r>
            <w:r w:rsidR="00C56E97" w:rsidRPr="003E70ED">
              <w:rPr>
                <w:rFonts w:ascii="Times New Roman" w:hAnsi="Times New Roman" w:cs="Times New Roman"/>
                <w:color w:val="000000" w:themeColor="text1"/>
                <w:szCs w:val="22"/>
              </w:rPr>
              <w:t>arkblotched</w:t>
            </w:r>
            <w:r>
              <w:rPr>
                <w:rFonts w:ascii="Times New Roman" w:hAnsi="Times New Roman" w:cs="Times New Roman"/>
                <w:color w:val="000000" w:themeColor="text1"/>
                <w:szCs w:val="22"/>
              </w:rPr>
              <w:t xml:space="preserve"> rockfish</w:t>
            </w:r>
          </w:p>
        </w:tc>
        <w:tc>
          <w:tcPr>
            <w:tcW w:w="0" w:type="auto"/>
          </w:tcPr>
          <w:p w14:paraId="68141334" w14:textId="3C077212" w:rsidR="00C56E97" w:rsidRPr="003E70ED" w:rsidRDefault="00284FA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w:t>
            </w:r>
            <w:r w:rsidR="00C56E97">
              <w:rPr>
                <w:rFonts w:ascii="Times New Roman" w:hAnsi="Times New Roman" w:cs="Times New Roman"/>
                <w:color w:val="000000" w:themeColor="text1"/>
                <w:szCs w:val="22"/>
              </w:rPr>
              <w:t>fished</w:t>
            </w:r>
          </w:p>
        </w:tc>
        <w:tc>
          <w:tcPr>
            <w:tcW w:w="0" w:type="auto"/>
          </w:tcPr>
          <w:p w14:paraId="043BD592" w14:textId="48764759"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2.196-6.291</w:t>
            </w:r>
          </w:p>
        </w:tc>
        <w:tc>
          <w:tcPr>
            <w:tcW w:w="0" w:type="auto"/>
          </w:tcPr>
          <w:p w14:paraId="52F370A2" w14:textId="39897E80"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0.068</w:t>
            </w:r>
          </w:p>
        </w:tc>
        <w:tc>
          <w:tcPr>
            <w:tcW w:w="0" w:type="auto"/>
            <w:tcMar>
              <w:top w:w="100" w:type="dxa"/>
              <w:left w:w="100" w:type="dxa"/>
              <w:bottom w:w="100" w:type="dxa"/>
              <w:right w:w="100" w:type="dxa"/>
            </w:tcMar>
          </w:tcPr>
          <w:p w14:paraId="7156EF0D" w14:textId="708B9424"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0.033</w:t>
            </w:r>
          </w:p>
        </w:tc>
      </w:tr>
      <w:tr w:rsidR="00C56E97" w:rsidRPr="003E70ED" w14:paraId="22BA3329" w14:textId="77777777" w:rsidTr="00B605DE">
        <w:trPr>
          <w:trHeight w:val="218"/>
          <w:jc w:val="center"/>
        </w:trPr>
        <w:tc>
          <w:tcPr>
            <w:tcW w:w="0" w:type="auto"/>
            <w:tcMar>
              <w:top w:w="100" w:type="dxa"/>
              <w:left w:w="100" w:type="dxa"/>
              <w:bottom w:w="100" w:type="dxa"/>
              <w:right w:w="100" w:type="dxa"/>
            </w:tcMar>
          </w:tcPr>
          <w:p w14:paraId="21258A8A" w14:textId="2E4F89A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Pacific ocean perch</w:t>
            </w:r>
          </w:p>
        </w:tc>
        <w:tc>
          <w:tcPr>
            <w:tcW w:w="0" w:type="auto"/>
          </w:tcPr>
          <w:p w14:paraId="3C1D3053" w14:textId="51E3C37B"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Pr>
          <w:p w14:paraId="02903E61" w14:textId="07AC10E7"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1.706-1.471</w:t>
            </w:r>
          </w:p>
        </w:tc>
        <w:tc>
          <w:tcPr>
            <w:tcW w:w="0" w:type="auto"/>
          </w:tcPr>
          <w:p w14:paraId="6830A5B3" w14:textId="6AC6C2CC"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0.006</w:t>
            </w:r>
          </w:p>
        </w:tc>
        <w:tc>
          <w:tcPr>
            <w:tcW w:w="0" w:type="auto"/>
            <w:tcMar>
              <w:top w:w="100" w:type="dxa"/>
              <w:left w:w="100" w:type="dxa"/>
              <w:bottom w:w="100" w:type="dxa"/>
              <w:right w:w="100" w:type="dxa"/>
            </w:tcMar>
          </w:tcPr>
          <w:p w14:paraId="3840A301" w14:textId="35BF25D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0.003</w:t>
            </w:r>
          </w:p>
        </w:tc>
      </w:tr>
      <w:tr w:rsidR="00C56E97" w:rsidRPr="003E70ED" w14:paraId="4C340D13" w14:textId="77777777" w:rsidTr="00B605DE">
        <w:trPr>
          <w:trHeight w:val="218"/>
          <w:jc w:val="center"/>
        </w:trPr>
        <w:tc>
          <w:tcPr>
            <w:tcW w:w="0" w:type="auto"/>
            <w:tcMar>
              <w:top w:w="100" w:type="dxa"/>
              <w:left w:w="100" w:type="dxa"/>
              <w:bottom w:w="100" w:type="dxa"/>
              <w:right w:w="100" w:type="dxa"/>
            </w:tcMar>
          </w:tcPr>
          <w:p w14:paraId="44350494" w14:textId="789C5F03" w:rsidR="00C56E97" w:rsidRPr="003E70ED" w:rsidRDefault="00A96AD3" w:rsidP="00A96AD3">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w</w:t>
            </w:r>
            <w:r w:rsidR="00C56E97" w:rsidRPr="003E70ED">
              <w:rPr>
                <w:rFonts w:ascii="Times New Roman" w:hAnsi="Times New Roman" w:cs="Times New Roman"/>
                <w:color w:val="000000" w:themeColor="text1"/>
                <w:szCs w:val="22"/>
              </w:rPr>
              <w:t>idow</w:t>
            </w:r>
            <w:r>
              <w:rPr>
                <w:rFonts w:ascii="Times New Roman" w:hAnsi="Times New Roman" w:cs="Times New Roman"/>
                <w:color w:val="000000" w:themeColor="text1"/>
                <w:szCs w:val="22"/>
              </w:rPr>
              <w:t xml:space="preserve"> rockfish</w:t>
            </w:r>
          </w:p>
        </w:tc>
        <w:tc>
          <w:tcPr>
            <w:tcW w:w="0" w:type="auto"/>
          </w:tcPr>
          <w:p w14:paraId="44ACCA45" w14:textId="71F1342F"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rebuilt</w:t>
            </w:r>
          </w:p>
        </w:tc>
        <w:tc>
          <w:tcPr>
            <w:tcW w:w="0" w:type="auto"/>
          </w:tcPr>
          <w:p w14:paraId="40FD8D23" w14:textId="7CA00F5D"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0.013-0.140</w:t>
            </w:r>
          </w:p>
        </w:tc>
        <w:tc>
          <w:tcPr>
            <w:tcW w:w="0" w:type="auto"/>
          </w:tcPr>
          <w:p w14:paraId="5A1C5CB8" w14:textId="662C0531"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0D1DD2FE" w14:textId="011B46DB"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0.001</w:t>
            </w:r>
          </w:p>
        </w:tc>
      </w:tr>
      <w:tr w:rsidR="00C56E97" w:rsidRPr="003E70ED" w14:paraId="048023FD" w14:textId="77777777" w:rsidTr="00B605DE">
        <w:trPr>
          <w:trHeight w:val="218"/>
          <w:jc w:val="center"/>
        </w:trPr>
        <w:tc>
          <w:tcPr>
            <w:tcW w:w="0" w:type="auto"/>
            <w:tcBorders>
              <w:bottom w:val="single" w:sz="4" w:space="0" w:color="auto"/>
            </w:tcBorders>
            <w:tcMar>
              <w:top w:w="100" w:type="dxa"/>
              <w:left w:w="100" w:type="dxa"/>
              <w:bottom w:w="100" w:type="dxa"/>
              <w:right w:w="100" w:type="dxa"/>
            </w:tcMar>
          </w:tcPr>
          <w:p w14:paraId="6123DE39" w14:textId="3EB40445" w:rsidR="00C56E97" w:rsidRPr="003E70ED" w:rsidRDefault="00A96AD3"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y</w:t>
            </w:r>
            <w:r w:rsidR="00C56E97" w:rsidRPr="003E70ED">
              <w:rPr>
                <w:rFonts w:ascii="Times New Roman" w:hAnsi="Times New Roman" w:cs="Times New Roman"/>
                <w:color w:val="000000" w:themeColor="text1"/>
                <w:szCs w:val="22"/>
              </w:rPr>
              <w:t>elloweye</w:t>
            </w:r>
            <w:r>
              <w:rPr>
                <w:rFonts w:ascii="Times New Roman" w:hAnsi="Times New Roman" w:cs="Times New Roman"/>
                <w:color w:val="000000" w:themeColor="text1"/>
                <w:szCs w:val="22"/>
              </w:rPr>
              <w:t xml:space="preserve"> rockfish</w:t>
            </w:r>
          </w:p>
        </w:tc>
        <w:tc>
          <w:tcPr>
            <w:tcW w:w="0" w:type="auto"/>
            <w:tcBorders>
              <w:bottom w:val="single" w:sz="4" w:space="0" w:color="auto"/>
            </w:tcBorders>
          </w:tcPr>
          <w:p w14:paraId="192F016F" w14:textId="0B777828"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Borders>
              <w:bottom w:val="single" w:sz="4" w:space="0" w:color="auto"/>
            </w:tcBorders>
          </w:tcPr>
          <w:p w14:paraId="56ED1438" w14:textId="28B5DB59"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0-0.004</w:t>
            </w:r>
          </w:p>
        </w:tc>
        <w:tc>
          <w:tcPr>
            <w:tcW w:w="0" w:type="auto"/>
            <w:tcBorders>
              <w:bottom w:val="single" w:sz="4" w:space="0" w:color="auto"/>
            </w:tcBorders>
          </w:tcPr>
          <w:p w14:paraId="72AC6712" w14:textId="41D01705"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0.037</w:t>
            </w:r>
          </w:p>
        </w:tc>
        <w:tc>
          <w:tcPr>
            <w:tcW w:w="0" w:type="auto"/>
            <w:tcBorders>
              <w:bottom w:val="single" w:sz="4" w:space="0" w:color="auto"/>
            </w:tcBorders>
            <w:tcMar>
              <w:top w:w="100" w:type="dxa"/>
              <w:left w:w="100" w:type="dxa"/>
              <w:bottom w:w="100" w:type="dxa"/>
              <w:right w:w="100" w:type="dxa"/>
            </w:tcMar>
          </w:tcPr>
          <w:p w14:paraId="38112333" w14:textId="0E79F74F"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bl>
    <w:p w14:paraId="42F146D3" w14:textId="6F7D2521" w:rsidR="004B15E6" w:rsidRPr="003E70ED" w:rsidRDefault="004B15E6" w:rsidP="00145B28">
      <w:pPr>
        <w:spacing w:line="240" w:lineRule="auto"/>
        <w:jc w:val="both"/>
        <w:rPr>
          <w:rFonts w:ascii="Times New Roman" w:hAnsi="Times New Roman" w:cs="Times New Roman"/>
          <w:color w:val="000000" w:themeColor="text1"/>
          <w:szCs w:val="22"/>
        </w:rPr>
      </w:pPr>
    </w:p>
    <w:p w14:paraId="38581B96" w14:textId="77777777" w:rsidR="004045BD" w:rsidRDefault="004B15E6"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bookmarkStart w:id="15" w:name="_Ref433692389"/>
    </w:p>
    <w:p w14:paraId="4EC0392B" w14:textId="627E75F3" w:rsidR="004045BD" w:rsidRPr="00A90939" w:rsidRDefault="004045BD" w:rsidP="00145B28">
      <w:pPr>
        <w:spacing w:line="240" w:lineRule="auto"/>
        <w:jc w:val="both"/>
        <w:rPr>
          <w:rFonts w:ascii="Times New Roman" w:hAnsi="Times New Roman" w:cs="Times New Roman"/>
          <w:color w:val="000000" w:themeColor="text1"/>
          <w:szCs w:val="22"/>
        </w:rPr>
      </w:pPr>
      <w:bookmarkStart w:id="16" w:name="_Ref439230428"/>
      <w:r w:rsidRPr="00A90939">
        <w:rPr>
          <w:rFonts w:ascii="Times New Roman" w:hAnsi="Times New Roman" w:cs="Times New Roman"/>
          <w:color w:val="000000" w:themeColor="text1"/>
          <w:szCs w:val="22"/>
        </w:rPr>
        <w:lastRenderedPageBreak/>
        <w:t xml:space="preserve">Table </w:t>
      </w:r>
      <w:r w:rsidRPr="00A90939">
        <w:rPr>
          <w:rFonts w:ascii="Times New Roman" w:hAnsi="Times New Roman" w:cs="Times New Roman"/>
          <w:color w:val="000000" w:themeColor="text1"/>
          <w:szCs w:val="22"/>
        </w:rPr>
        <w:fldChar w:fldCharType="begin"/>
      </w:r>
      <w:r w:rsidRPr="00A90939">
        <w:rPr>
          <w:rFonts w:ascii="Times New Roman" w:hAnsi="Times New Roman" w:cs="Times New Roman"/>
          <w:color w:val="000000" w:themeColor="text1"/>
          <w:szCs w:val="22"/>
        </w:rPr>
        <w:instrText xml:space="preserve"> SEQ Table \* MERGEFORMAT </w:instrText>
      </w:r>
      <w:r w:rsidRPr="00A90939">
        <w:rPr>
          <w:rFonts w:ascii="Times New Roman" w:hAnsi="Times New Roman" w:cs="Times New Roman"/>
          <w:color w:val="000000" w:themeColor="text1"/>
          <w:szCs w:val="22"/>
        </w:rPr>
        <w:fldChar w:fldCharType="separate"/>
      </w:r>
      <w:r w:rsidR="00B20EC7">
        <w:rPr>
          <w:rFonts w:ascii="Times New Roman" w:hAnsi="Times New Roman" w:cs="Times New Roman"/>
          <w:noProof/>
          <w:color w:val="000000" w:themeColor="text1"/>
          <w:szCs w:val="22"/>
        </w:rPr>
        <w:t>2</w:t>
      </w:r>
      <w:r w:rsidRPr="00A90939">
        <w:rPr>
          <w:rFonts w:ascii="Times New Roman" w:hAnsi="Times New Roman" w:cs="Times New Roman"/>
          <w:color w:val="000000" w:themeColor="text1"/>
          <w:szCs w:val="22"/>
        </w:rPr>
        <w:fldChar w:fldCharType="end"/>
      </w:r>
      <w:bookmarkEnd w:id="16"/>
      <w:r w:rsidRPr="00A90939">
        <w:rPr>
          <w:rFonts w:ascii="Times New Roman" w:hAnsi="Times New Roman" w:cs="Times New Roman"/>
          <w:color w:val="000000" w:themeColor="text1"/>
          <w:szCs w:val="22"/>
        </w:rPr>
        <w:t xml:space="preserve">. Hypothesized drivers of fisher behaviour within the US West Coast </w:t>
      </w:r>
      <w:r w:rsidR="00900A4A">
        <w:rPr>
          <w:rFonts w:ascii="Times New Roman" w:hAnsi="Times New Roman" w:cs="Times New Roman"/>
          <w:color w:val="000000" w:themeColor="text1"/>
          <w:szCs w:val="22"/>
        </w:rPr>
        <w:t>LE trawl fishery</w:t>
      </w:r>
      <w:r w:rsidRPr="00A90939">
        <w:rPr>
          <w:rFonts w:ascii="Times New Roman" w:hAnsi="Times New Roman" w:cs="Times New Roman"/>
          <w:color w:val="000000" w:themeColor="text1"/>
          <w:szCs w:val="22"/>
        </w:rPr>
        <w:t>. Variables are linked to drivers</w:t>
      </w:r>
      <w:r w:rsidR="00900A4A">
        <w:rPr>
          <w:rFonts w:ascii="Times New Roman" w:hAnsi="Times New Roman" w:cs="Times New Roman"/>
          <w:color w:val="000000" w:themeColor="text1"/>
          <w:szCs w:val="22"/>
        </w:rPr>
        <w:t>, where drivers are categorized into one of four systems according</w:t>
      </w:r>
      <w:r w:rsidRPr="00A90939">
        <w:rPr>
          <w:rFonts w:ascii="Times New Roman" w:hAnsi="Times New Roman" w:cs="Times New Roman"/>
          <w:color w:val="000000" w:themeColor="text1"/>
          <w:szCs w:val="22"/>
        </w:rPr>
        <w:t xml:space="preserve"> to Ostrom’s (2009) social-ecological system framework for common pool resources</w:t>
      </w:r>
      <w:r w:rsidR="00A30842">
        <w:rPr>
          <w:rFonts w:ascii="Times New Roman" w:hAnsi="Times New Roman" w:cs="Times New Roman"/>
          <w:color w:val="000000" w:themeColor="text1"/>
          <w:szCs w:val="22"/>
        </w:rPr>
        <w:t>: (1) resource system (RS), (2) resource unit (RU), (3) governance system (GS), and (4) user (U)</w:t>
      </w:r>
      <w:r w:rsidRPr="00A90939">
        <w:rPr>
          <w:rFonts w:ascii="Times New Roman" w:hAnsi="Times New Roman" w:cs="Times New Roman"/>
          <w:color w:val="000000" w:themeColor="text1"/>
          <w:szCs w:val="22"/>
        </w:rPr>
        <w:t>.</w:t>
      </w:r>
      <w:r w:rsidR="00FD70E3" w:rsidRPr="00A90939">
        <w:rPr>
          <w:rFonts w:ascii="Times New Roman" w:hAnsi="Times New Roman" w:cs="Times New Roman"/>
          <w:color w:val="000000" w:themeColor="text1"/>
          <w:szCs w:val="22"/>
        </w:rPr>
        <w:t xml:space="preserve"> </w:t>
      </w:r>
      <w:r w:rsidR="0088786D">
        <w:rPr>
          <w:rFonts w:ascii="Times New Roman" w:hAnsi="Times New Roman" w:cs="Times New Roman"/>
          <w:color w:val="000000" w:themeColor="text1"/>
          <w:szCs w:val="22"/>
        </w:rPr>
        <w:t xml:space="preserve">Data sources include: Northwest Fisheries Science Center (NWFSC) Shelf-Slope Trawl Survey conducted from 2003 to 2014, </w:t>
      </w:r>
      <w:r w:rsidR="0088786D" w:rsidRPr="00416F9F">
        <w:rPr>
          <w:rFonts w:ascii="Times New Roman" w:eastAsia="Calibri" w:hAnsi="Times New Roman" w:cs="Times New Roman"/>
          <w:color w:val="000000" w:themeColor="text1"/>
          <w:szCs w:val="22"/>
        </w:rPr>
        <w:t>Economic Data Collection</w:t>
      </w:r>
      <w:r w:rsidR="0088786D">
        <w:rPr>
          <w:rFonts w:ascii="Times New Roman" w:eastAsia="Calibri" w:hAnsi="Times New Roman" w:cs="Times New Roman"/>
          <w:color w:val="000000" w:themeColor="text1"/>
          <w:szCs w:val="22"/>
        </w:rPr>
        <w:t xml:space="preserve"> (EDC) </w:t>
      </w:r>
      <w:r w:rsidR="00602058">
        <w:rPr>
          <w:rFonts w:ascii="Times New Roman" w:eastAsia="Calibri" w:hAnsi="Times New Roman" w:cs="Times New Roman"/>
          <w:color w:val="000000" w:themeColor="text1"/>
          <w:szCs w:val="22"/>
        </w:rPr>
        <w:t xml:space="preserve">survey </w:t>
      </w:r>
      <w:r w:rsidR="0088786D">
        <w:rPr>
          <w:rFonts w:ascii="Times New Roman" w:eastAsia="Calibri" w:hAnsi="Times New Roman" w:cs="Times New Roman"/>
          <w:color w:val="000000" w:themeColor="text1"/>
          <w:szCs w:val="22"/>
        </w:rPr>
        <w:t>provided by the West Coast Fisheries Economic Program f</w:t>
      </w:r>
      <w:r w:rsidR="00602058">
        <w:rPr>
          <w:rFonts w:ascii="Times New Roman" w:eastAsia="Calibri" w:hAnsi="Times New Roman" w:cs="Times New Roman"/>
          <w:color w:val="000000" w:themeColor="text1"/>
          <w:szCs w:val="22"/>
        </w:rPr>
        <w:t>r</w:t>
      </w:r>
      <w:r w:rsidR="0088786D">
        <w:rPr>
          <w:rFonts w:ascii="Times New Roman" w:eastAsia="Calibri" w:hAnsi="Times New Roman" w:cs="Times New Roman"/>
          <w:color w:val="000000" w:themeColor="text1"/>
          <w:szCs w:val="22"/>
        </w:rPr>
        <w:t>o</w:t>
      </w:r>
      <w:r w:rsidR="00602058">
        <w:rPr>
          <w:rFonts w:ascii="Times New Roman" w:eastAsia="Calibri" w:hAnsi="Times New Roman" w:cs="Times New Roman"/>
          <w:color w:val="000000" w:themeColor="text1"/>
          <w:szCs w:val="22"/>
        </w:rPr>
        <w:t>m</w:t>
      </w:r>
      <w:r w:rsidR="0088786D">
        <w:rPr>
          <w:rFonts w:ascii="Times New Roman" w:eastAsia="Calibri" w:hAnsi="Times New Roman" w:cs="Times New Roman"/>
          <w:color w:val="000000" w:themeColor="text1"/>
          <w:szCs w:val="22"/>
        </w:rPr>
        <w:t xml:space="preserve"> 2009 to 2013, and </w:t>
      </w:r>
      <w:r w:rsidR="00602058" w:rsidRPr="00416F9F">
        <w:rPr>
          <w:rFonts w:ascii="Times New Roman" w:eastAsia="Calibri" w:hAnsi="Times New Roman" w:cs="Times New Roman"/>
          <w:color w:val="000000" w:themeColor="text1"/>
          <w:szCs w:val="22"/>
        </w:rPr>
        <w:t>Pacific Fisheries Information Network</w:t>
      </w:r>
      <w:r w:rsidR="00602058">
        <w:rPr>
          <w:rFonts w:ascii="Times New Roman" w:eastAsia="Calibri" w:hAnsi="Times New Roman" w:cs="Times New Roman"/>
          <w:color w:val="000000" w:themeColor="text1"/>
          <w:szCs w:val="22"/>
        </w:rPr>
        <w:t xml:space="preserve"> (PacFIN) archives provided by </w:t>
      </w:r>
      <w:r w:rsidR="00602058" w:rsidRPr="00416F9F">
        <w:rPr>
          <w:rFonts w:ascii="Times New Roman" w:eastAsia="Calibri" w:hAnsi="Times New Roman" w:cs="Times New Roman"/>
          <w:color w:val="000000" w:themeColor="text1"/>
          <w:szCs w:val="22"/>
        </w:rPr>
        <w:t>Pacific States Marine Fisheries Commission</w:t>
      </w:r>
      <w:r w:rsidR="00602058">
        <w:rPr>
          <w:rFonts w:ascii="Times New Roman" w:eastAsia="Calibri" w:hAnsi="Times New Roman" w:cs="Times New Roman"/>
          <w:color w:val="000000" w:themeColor="text1"/>
          <w:szCs w:val="22"/>
        </w:rPr>
        <w:t xml:space="preserve"> from 2009 to 2013</w:t>
      </w:r>
      <w:r w:rsidR="008453BF">
        <w:rPr>
          <w:rFonts w:ascii="Times New Roman" w:eastAsia="Calibri" w:hAnsi="Times New Roman" w:cs="Times New Roman"/>
          <w:color w:val="000000" w:themeColor="text1"/>
          <w:szCs w:val="22"/>
        </w:rPr>
        <w:t>, results from the hierarchical cluster analysis (cluster), and information found in the literature (lit)</w:t>
      </w:r>
      <w:r w:rsidR="00602058">
        <w:rPr>
          <w:rFonts w:ascii="Times New Roman" w:eastAsia="Calibri" w:hAnsi="Times New Roman" w:cs="Times New Roman"/>
          <w:color w:val="000000" w:themeColor="text1"/>
          <w:szCs w:val="22"/>
        </w:rPr>
        <w:t>.</w:t>
      </w:r>
      <w:r w:rsidR="000C1705">
        <w:rPr>
          <w:rFonts w:ascii="Times New Roman" w:eastAsia="Calibri" w:hAnsi="Times New Roman" w:cs="Times New Roman"/>
          <w:color w:val="000000" w:themeColor="text1"/>
          <w:szCs w:val="22"/>
        </w:rPr>
        <w:t xml:space="preserve"> Crew size is the average crew size excluding the captain.</w:t>
      </w:r>
      <w:r w:rsidR="004F3422">
        <w:rPr>
          <w:rFonts w:ascii="Times New Roman" w:eastAsia="Calibri" w:hAnsi="Times New Roman" w:cs="Times New Roman"/>
          <w:color w:val="000000" w:themeColor="text1"/>
          <w:szCs w:val="22"/>
        </w:rPr>
        <w:t xml:space="preserve"> Data were provided at varying spatial resolutions leading to multiple pre-processing tasks (see text) and some variables were hypothesized to be drivers but information was lacking (“avail”), either spatially or temporally (see text).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661"/>
        <w:gridCol w:w="1016"/>
        <w:gridCol w:w="881"/>
        <w:gridCol w:w="1207"/>
        <w:gridCol w:w="2940"/>
        <w:gridCol w:w="729"/>
      </w:tblGrid>
      <w:tr w:rsidR="00AB45AB" w:rsidRPr="00900A4A" w14:paraId="233AF21E" w14:textId="6C50B33E" w:rsidTr="00BC180D">
        <w:tc>
          <w:tcPr>
            <w:tcW w:w="1033" w:type="pct"/>
            <w:tcBorders>
              <w:top w:val="single" w:sz="4" w:space="0" w:color="auto"/>
              <w:bottom w:val="single" w:sz="4" w:space="0" w:color="auto"/>
            </w:tcBorders>
          </w:tcPr>
          <w:p w14:paraId="4A3C15FC" w14:textId="035EFBA7" w:rsidR="00A30842" w:rsidRPr="00900A4A" w:rsidRDefault="00A30842" w:rsidP="00900A4A">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variable</w:t>
            </w:r>
            <w:r w:rsidR="00602058">
              <w:rPr>
                <w:rFonts w:ascii="Times New Roman" w:hAnsi="Times New Roman" w:cs="Times New Roman"/>
                <w:color w:val="000000" w:themeColor="text1"/>
                <w:sz w:val="16"/>
                <w:szCs w:val="16"/>
              </w:rPr>
              <w:t xml:space="preserve"> (unit)</w:t>
            </w:r>
          </w:p>
        </w:tc>
        <w:tc>
          <w:tcPr>
            <w:tcW w:w="345" w:type="pct"/>
            <w:tcBorders>
              <w:top w:val="single" w:sz="4" w:space="0" w:color="auto"/>
              <w:bottom w:val="single" w:sz="4" w:space="0" w:color="auto"/>
            </w:tcBorders>
          </w:tcPr>
          <w:p w14:paraId="4FC4EA46" w14:textId="230D293D" w:rsidR="00A30842" w:rsidRPr="00900A4A" w:rsidRDefault="00A30842" w:rsidP="00900A4A">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s</w:t>
            </w:r>
            <w:r w:rsidRPr="00900A4A">
              <w:rPr>
                <w:rFonts w:ascii="Times New Roman" w:hAnsi="Times New Roman" w:cs="Times New Roman"/>
                <w:color w:val="000000" w:themeColor="text1"/>
                <w:sz w:val="16"/>
                <w:szCs w:val="16"/>
              </w:rPr>
              <w:t>ystem</w:t>
            </w:r>
            <w:r>
              <w:rPr>
                <w:rFonts w:ascii="Times New Roman" w:hAnsi="Times New Roman" w:cs="Times New Roman"/>
                <w:color w:val="000000" w:themeColor="text1"/>
                <w:sz w:val="16"/>
                <w:szCs w:val="16"/>
              </w:rPr>
              <w:t xml:space="preserve"> </w:t>
            </w:r>
          </w:p>
        </w:tc>
        <w:tc>
          <w:tcPr>
            <w:tcW w:w="530" w:type="pct"/>
            <w:tcBorders>
              <w:top w:val="single" w:sz="4" w:space="0" w:color="auto"/>
              <w:bottom w:val="single" w:sz="4" w:space="0" w:color="auto"/>
            </w:tcBorders>
          </w:tcPr>
          <w:p w14:paraId="01AF582F" w14:textId="70FEE455" w:rsidR="00A30842" w:rsidRPr="00900A4A" w:rsidRDefault="00A30842" w:rsidP="00900A4A">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driver</w:t>
            </w:r>
          </w:p>
        </w:tc>
        <w:tc>
          <w:tcPr>
            <w:tcW w:w="475" w:type="pct"/>
            <w:tcBorders>
              <w:top w:val="single" w:sz="4" w:space="0" w:color="auto"/>
              <w:bottom w:val="single" w:sz="4" w:space="0" w:color="auto"/>
            </w:tcBorders>
          </w:tcPr>
          <w:p w14:paraId="505C60C3" w14:textId="61D11476" w:rsidR="00A30842" w:rsidRPr="00900A4A" w:rsidRDefault="00A30842" w:rsidP="00900A4A">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source</w:t>
            </w:r>
          </w:p>
        </w:tc>
        <w:tc>
          <w:tcPr>
            <w:tcW w:w="649" w:type="pct"/>
            <w:tcBorders>
              <w:top w:val="single" w:sz="4" w:space="0" w:color="auto"/>
              <w:bottom w:val="single" w:sz="4" w:space="0" w:color="auto"/>
            </w:tcBorders>
          </w:tcPr>
          <w:p w14:paraId="70A1D98D" w14:textId="38EBCD2B" w:rsidR="00A30842" w:rsidRPr="00900A4A" w:rsidRDefault="00A30842" w:rsidP="00900A4A">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resolution</w:t>
            </w:r>
          </w:p>
        </w:tc>
        <w:tc>
          <w:tcPr>
            <w:tcW w:w="1574" w:type="pct"/>
            <w:tcBorders>
              <w:top w:val="single" w:sz="4" w:space="0" w:color="auto"/>
              <w:bottom w:val="single" w:sz="4" w:space="0" w:color="auto"/>
            </w:tcBorders>
          </w:tcPr>
          <w:p w14:paraId="02F8F0CF" w14:textId="421311E2" w:rsidR="00A30842" w:rsidRPr="00900A4A" w:rsidRDefault="00A30842" w:rsidP="00900A4A">
            <w:pPr>
              <w:jc w:val="both"/>
              <w:rPr>
                <w:rFonts w:ascii="Times New Roman" w:hAnsi="Times New Roman" w:cs="Times New Roman"/>
                <w:color w:val="000000" w:themeColor="text1"/>
                <w:sz w:val="16"/>
                <w:szCs w:val="16"/>
              </w:rPr>
            </w:pPr>
            <w:commentRangeStart w:id="17"/>
            <w:r w:rsidRPr="00900A4A">
              <w:rPr>
                <w:rFonts w:ascii="Times New Roman" w:hAnsi="Times New Roman" w:cs="Times New Roman"/>
                <w:color w:val="000000" w:themeColor="text1"/>
                <w:sz w:val="16"/>
                <w:szCs w:val="16"/>
              </w:rPr>
              <w:t>interpretation</w:t>
            </w:r>
            <w:commentRangeEnd w:id="17"/>
            <w:r w:rsidRPr="00900A4A">
              <w:rPr>
                <w:rStyle w:val="CommentReference"/>
                <w:rFonts w:ascii="Times New Roman" w:hAnsi="Times New Roman" w:cs="Times New Roman"/>
              </w:rPr>
              <w:commentReference w:id="17"/>
            </w:r>
          </w:p>
        </w:tc>
        <w:tc>
          <w:tcPr>
            <w:tcW w:w="393" w:type="pct"/>
            <w:tcBorders>
              <w:top w:val="single" w:sz="4" w:space="0" w:color="auto"/>
              <w:bottom w:val="single" w:sz="4" w:space="0" w:color="auto"/>
            </w:tcBorders>
          </w:tcPr>
          <w:p w14:paraId="6EF93E18" w14:textId="3AB68770" w:rsidR="00A30842" w:rsidRPr="00900A4A" w:rsidRDefault="00DC6301" w:rsidP="00900A4A">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avail.</w:t>
            </w:r>
          </w:p>
        </w:tc>
      </w:tr>
      <w:tr w:rsidR="00AB45AB" w:rsidRPr="00900A4A" w14:paraId="2861069E" w14:textId="4A6DBAD0" w:rsidTr="00BC180D">
        <w:tc>
          <w:tcPr>
            <w:tcW w:w="1033" w:type="pct"/>
            <w:tcBorders>
              <w:top w:val="single" w:sz="4" w:space="0" w:color="auto"/>
            </w:tcBorders>
          </w:tcPr>
          <w:p w14:paraId="51A3C27A" w14:textId="0EB66697" w:rsidR="00A30842" w:rsidRPr="00900A4A" w:rsidRDefault="00A30842" w:rsidP="00900A4A">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sablefish</w:t>
            </w:r>
            <w:r w:rsidR="0088786D">
              <w:rPr>
                <w:rFonts w:ascii="Times New Roman" w:hAnsi="Times New Roman" w:cs="Times New Roman"/>
                <w:color w:val="000000" w:themeColor="text1"/>
                <w:sz w:val="16"/>
                <w:szCs w:val="16"/>
              </w:rPr>
              <w:t xml:space="preserve"> (mt)</w:t>
            </w:r>
          </w:p>
        </w:tc>
        <w:tc>
          <w:tcPr>
            <w:tcW w:w="345" w:type="pct"/>
            <w:tcBorders>
              <w:top w:val="single" w:sz="4" w:space="0" w:color="auto"/>
            </w:tcBorders>
          </w:tcPr>
          <w:p w14:paraId="53BCD13C" w14:textId="3614E127" w:rsidR="00A30842" w:rsidRPr="00900A4A" w:rsidRDefault="0088786D" w:rsidP="00900A4A">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RU</w:t>
            </w:r>
          </w:p>
        </w:tc>
        <w:tc>
          <w:tcPr>
            <w:tcW w:w="530" w:type="pct"/>
            <w:tcBorders>
              <w:top w:val="single" w:sz="4" w:space="0" w:color="auto"/>
            </w:tcBorders>
          </w:tcPr>
          <w:p w14:paraId="09C60019" w14:textId="2C40B1C1" w:rsidR="00A30842" w:rsidRDefault="00A84FAF" w:rsidP="00A84FAF">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num. avail.</w:t>
            </w:r>
          </w:p>
        </w:tc>
        <w:tc>
          <w:tcPr>
            <w:tcW w:w="475" w:type="pct"/>
            <w:tcBorders>
              <w:top w:val="single" w:sz="4" w:space="0" w:color="auto"/>
            </w:tcBorders>
          </w:tcPr>
          <w:p w14:paraId="0DB3DB6B" w14:textId="57ECAC6B" w:rsidR="00A30842" w:rsidRPr="00900A4A" w:rsidRDefault="00A30842" w:rsidP="00A84FAF">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NWFSC </w:t>
            </w:r>
          </w:p>
        </w:tc>
        <w:tc>
          <w:tcPr>
            <w:tcW w:w="649" w:type="pct"/>
            <w:tcBorders>
              <w:top w:val="single" w:sz="4" w:space="0" w:color="auto"/>
            </w:tcBorders>
          </w:tcPr>
          <w:p w14:paraId="5BAFE758" w14:textId="58D62278" w:rsidR="00A30842" w:rsidRPr="00900A4A" w:rsidRDefault="00A30842" w:rsidP="00A30842">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trawl locations</w:t>
            </w:r>
          </w:p>
        </w:tc>
        <w:tc>
          <w:tcPr>
            <w:tcW w:w="1574" w:type="pct"/>
            <w:tcBorders>
              <w:top w:val="single" w:sz="4" w:space="0" w:color="auto"/>
            </w:tcBorders>
          </w:tcPr>
          <w:p w14:paraId="47F54B92" w14:textId="3B6DF701" w:rsidR="00A30842" w:rsidRPr="00900A4A" w:rsidRDefault="00FA63F8" w:rsidP="00FA63F8">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RU </w:t>
            </w:r>
            <w:r w:rsidR="00A84FAF">
              <w:rPr>
                <w:rFonts w:ascii="Times New Roman" w:hAnsi="Times New Roman" w:cs="Times New Roman"/>
                <w:color w:val="000000" w:themeColor="text1"/>
                <w:sz w:val="16"/>
                <w:szCs w:val="16"/>
              </w:rPr>
              <w:t xml:space="preserve">abundance </w:t>
            </w:r>
            <w:r>
              <w:rPr>
                <w:rFonts w:ascii="Times New Roman" w:hAnsi="Times New Roman" w:cs="Times New Roman"/>
                <w:color w:val="000000" w:themeColor="text1"/>
                <w:sz w:val="16"/>
                <w:szCs w:val="16"/>
              </w:rPr>
              <w:t>can</w:t>
            </w:r>
            <w:r w:rsidR="00A84FAF">
              <w:rPr>
                <w:rFonts w:ascii="Times New Roman" w:hAnsi="Times New Roman" w:cs="Times New Roman"/>
                <w:color w:val="000000" w:themeColor="text1"/>
                <w:sz w:val="16"/>
                <w:szCs w:val="16"/>
              </w:rPr>
              <w:t xml:space="preserve"> influence catch rates</w:t>
            </w:r>
          </w:p>
        </w:tc>
        <w:tc>
          <w:tcPr>
            <w:tcW w:w="393" w:type="pct"/>
            <w:tcBorders>
              <w:top w:val="single" w:sz="4" w:space="0" w:color="auto"/>
            </w:tcBorders>
          </w:tcPr>
          <w:p w14:paraId="6EA4A5B6" w14:textId="2CFEE411" w:rsidR="00A30842" w:rsidRPr="00900A4A" w:rsidRDefault="00A30842" w:rsidP="00900A4A">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BC180D" w:rsidRPr="00900A4A" w14:paraId="2FA7C353" w14:textId="77777777" w:rsidTr="00BC180D">
        <w:tc>
          <w:tcPr>
            <w:tcW w:w="1033" w:type="pct"/>
          </w:tcPr>
          <w:p w14:paraId="3013C885"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w:t>
            </w:r>
            <w:r w:rsidRPr="00900A4A">
              <w:rPr>
                <w:rFonts w:ascii="Times New Roman" w:hAnsi="Times New Roman" w:cs="Times New Roman"/>
                <w:color w:val="000000" w:themeColor="text1"/>
                <w:sz w:val="16"/>
                <w:szCs w:val="16"/>
              </w:rPr>
              <w:t>ocaccio</w:t>
            </w:r>
            <w:r>
              <w:rPr>
                <w:rFonts w:ascii="Times New Roman" w:hAnsi="Times New Roman" w:cs="Times New Roman"/>
                <w:color w:val="000000" w:themeColor="text1"/>
                <w:sz w:val="16"/>
                <w:szCs w:val="16"/>
              </w:rPr>
              <w:t xml:space="preserve"> rockfish (mt)</w:t>
            </w:r>
          </w:p>
        </w:tc>
        <w:tc>
          <w:tcPr>
            <w:tcW w:w="345" w:type="pct"/>
          </w:tcPr>
          <w:p w14:paraId="02006CCA" w14:textId="57C2AB2C"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GS</w:t>
            </w:r>
          </w:p>
        </w:tc>
        <w:tc>
          <w:tcPr>
            <w:tcW w:w="530" w:type="pct"/>
          </w:tcPr>
          <w:p w14:paraId="655A2605" w14:textId="1D708E4C" w:rsidR="00BC180D"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bio. policy</w:t>
            </w:r>
          </w:p>
        </w:tc>
        <w:tc>
          <w:tcPr>
            <w:tcW w:w="475" w:type="pct"/>
          </w:tcPr>
          <w:p w14:paraId="4E718734" w14:textId="77777777" w:rsidR="00BC180D" w:rsidRPr="00900A4A" w:rsidRDefault="00BC180D" w:rsidP="00407A14">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 xml:space="preserve">NWFSC </w:t>
            </w:r>
          </w:p>
        </w:tc>
        <w:tc>
          <w:tcPr>
            <w:tcW w:w="649" w:type="pct"/>
          </w:tcPr>
          <w:p w14:paraId="745CAA42"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trawl locations</w:t>
            </w:r>
          </w:p>
        </w:tc>
        <w:tc>
          <w:tcPr>
            <w:tcW w:w="1574" w:type="pct"/>
          </w:tcPr>
          <w:p w14:paraId="21FC940C"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potential for bycatch</w:t>
            </w:r>
          </w:p>
        </w:tc>
        <w:tc>
          <w:tcPr>
            <w:tcW w:w="393" w:type="pct"/>
          </w:tcPr>
          <w:p w14:paraId="71C863C0"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BC180D" w:rsidRPr="00900A4A" w14:paraId="48439E10" w14:textId="77777777" w:rsidTr="00407A14">
        <w:tc>
          <w:tcPr>
            <w:tcW w:w="1033" w:type="pct"/>
          </w:tcPr>
          <w:p w14:paraId="51FD0352" w14:textId="77777777" w:rsidR="00BC180D"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cowcod rockfish (mt)</w:t>
            </w:r>
          </w:p>
        </w:tc>
        <w:tc>
          <w:tcPr>
            <w:tcW w:w="345" w:type="pct"/>
          </w:tcPr>
          <w:p w14:paraId="72753528" w14:textId="37B9BB12"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GS</w:t>
            </w:r>
          </w:p>
        </w:tc>
        <w:tc>
          <w:tcPr>
            <w:tcW w:w="530" w:type="pct"/>
          </w:tcPr>
          <w:p w14:paraId="15852D9B" w14:textId="5423343C" w:rsidR="00BC180D"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bio. policy</w:t>
            </w:r>
          </w:p>
        </w:tc>
        <w:tc>
          <w:tcPr>
            <w:tcW w:w="475" w:type="pct"/>
          </w:tcPr>
          <w:p w14:paraId="31334057" w14:textId="77777777" w:rsidR="00BC180D" w:rsidRPr="00900A4A" w:rsidRDefault="00BC180D" w:rsidP="00407A14">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 xml:space="preserve">NWFSC </w:t>
            </w:r>
          </w:p>
        </w:tc>
        <w:tc>
          <w:tcPr>
            <w:tcW w:w="649" w:type="pct"/>
          </w:tcPr>
          <w:p w14:paraId="163829D1"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trawl locations</w:t>
            </w:r>
          </w:p>
        </w:tc>
        <w:tc>
          <w:tcPr>
            <w:tcW w:w="1574" w:type="pct"/>
          </w:tcPr>
          <w:p w14:paraId="03A8F319"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potential for bycatch</w:t>
            </w:r>
          </w:p>
        </w:tc>
        <w:tc>
          <w:tcPr>
            <w:tcW w:w="393" w:type="pct"/>
          </w:tcPr>
          <w:p w14:paraId="0382B418"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no</w:t>
            </w:r>
          </w:p>
        </w:tc>
      </w:tr>
      <w:tr w:rsidR="00BC180D" w:rsidRPr="00900A4A" w14:paraId="44DA68AA" w14:textId="77777777" w:rsidTr="00407A14">
        <w:tc>
          <w:tcPr>
            <w:tcW w:w="1033" w:type="pct"/>
          </w:tcPr>
          <w:p w14:paraId="65139F21" w14:textId="77777777" w:rsidR="00BC180D" w:rsidRPr="00900A4A" w:rsidRDefault="00BC180D" w:rsidP="00407A14">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darkblotched rockfish</w:t>
            </w:r>
            <w:r>
              <w:rPr>
                <w:rFonts w:ascii="Times New Roman" w:hAnsi="Times New Roman" w:cs="Times New Roman"/>
                <w:color w:val="000000" w:themeColor="text1"/>
                <w:sz w:val="16"/>
                <w:szCs w:val="16"/>
              </w:rPr>
              <w:t xml:space="preserve"> (mt)</w:t>
            </w:r>
          </w:p>
        </w:tc>
        <w:tc>
          <w:tcPr>
            <w:tcW w:w="345" w:type="pct"/>
          </w:tcPr>
          <w:p w14:paraId="3CCCB497" w14:textId="2F640B61"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GS</w:t>
            </w:r>
          </w:p>
        </w:tc>
        <w:tc>
          <w:tcPr>
            <w:tcW w:w="530" w:type="pct"/>
          </w:tcPr>
          <w:p w14:paraId="1438EB83" w14:textId="4E9E1D5B" w:rsidR="00BC180D"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bio. policy</w:t>
            </w:r>
          </w:p>
        </w:tc>
        <w:tc>
          <w:tcPr>
            <w:tcW w:w="475" w:type="pct"/>
          </w:tcPr>
          <w:p w14:paraId="66AFAE38" w14:textId="77777777" w:rsidR="00BC180D" w:rsidRPr="00900A4A" w:rsidRDefault="00BC180D" w:rsidP="00407A14">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 xml:space="preserve">NWFSC </w:t>
            </w:r>
          </w:p>
        </w:tc>
        <w:tc>
          <w:tcPr>
            <w:tcW w:w="649" w:type="pct"/>
          </w:tcPr>
          <w:p w14:paraId="7CBB8BEF"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trawl locations</w:t>
            </w:r>
          </w:p>
        </w:tc>
        <w:tc>
          <w:tcPr>
            <w:tcW w:w="1574" w:type="pct"/>
          </w:tcPr>
          <w:p w14:paraId="41F437C0"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potential for bycatch</w:t>
            </w:r>
          </w:p>
        </w:tc>
        <w:tc>
          <w:tcPr>
            <w:tcW w:w="393" w:type="pct"/>
          </w:tcPr>
          <w:p w14:paraId="510B9831"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BC180D" w:rsidRPr="00900A4A" w14:paraId="5DD5E931" w14:textId="77777777" w:rsidTr="00407A14">
        <w:tc>
          <w:tcPr>
            <w:tcW w:w="1033" w:type="pct"/>
          </w:tcPr>
          <w:p w14:paraId="09EE2BEF" w14:textId="77777777" w:rsidR="00BC180D" w:rsidRPr="00900A4A" w:rsidRDefault="00BC180D" w:rsidP="00407A14">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Pacific ocean perch</w:t>
            </w:r>
            <w:r>
              <w:rPr>
                <w:rFonts w:ascii="Times New Roman" w:hAnsi="Times New Roman" w:cs="Times New Roman"/>
                <w:color w:val="000000" w:themeColor="text1"/>
                <w:sz w:val="16"/>
                <w:szCs w:val="16"/>
              </w:rPr>
              <w:t xml:space="preserve"> (mt)</w:t>
            </w:r>
          </w:p>
        </w:tc>
        <w:tc>
          <w:tcPr>
            <w:tcW w:w="345" w:type="pct"/>
          </w:tcPr>
          <w:p w14:paraId="11183210" w14:textId="60359316"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GS</w:t>
            </w:r>
          </w:p>
        </w:tc>
        <w:tc>
          <w:tcPr>
            <w:tcW w:w="530" w:type="pct"/>
          </w:tcPr>
          <w:p w14:paraId="6845592A" w14:textId="3AF2F585" w:rsidR="00BC180D"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bio. policy</w:t>
            </w:r>
          </w:p>
        </w:tc>
        <w:tc>
          <w:tcPr>
            <w:tcW w:w="475" w:type="pct"/>
          </w:tcPr>
          <w:p w14:paraId="477A99CB" w14:textId="77777777" w:rsidR="00BC180D" w:rsidRPr="00900A4A" w:rsidRDefault="00BC180D" w:rsidP="00407A14">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 xml:space="preserve">NWFSC </w:t>
            </w:r>
          </w:p>
        </w:tc>
        <w:tc>
          <w:tcPr>
            <w:tcW w:w="649" w:type="pct"/>
          </w:tcPr>
          <w:p w14:paraId="456ACC0D"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trawl locations</w:t>
            </w:r>
          </w:p>
        </w:tc>
        <w:tc>
          <w:tcPr>
            <w:tcW w:w="1574" w:type="pct"/>
          </w:tcPr>
          <w:p w14:paraId="2D22D741"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potential for bycatch</w:t>
            </w:r>
          </w:p>
        </w:tc>
        <w:tc>
          <w:tcPr>
            <w:tcW w:w="393" w:type="pct"/>
          </w:tcPr>
          <w:p w14:paraId="2CA8ABDC"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AB45AB" w:rsidRPr="00900A4A" w14:paraId="62210C73" w14:textId="3D762364" w:rsidTr="00B70BC9">
        <w:tc>
          <w:tcPr>
            <w:tcW w:w="1033" w:type="pct"/>
          </w:tcPr>
          <w:p w14:paraId="3638F895" w14:textId="78468D99" w:rsidR="00A30842" w:rsidRPr="00900A4A" w:rsidRDefault="00A30842" w:rsidP="00900A4A">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yelloweye rockfish</w:t>
            </w:r>
            <w:r w:rsidR="0088786D">
              <w:rPr>
                <w:rFonts w:ascii="Times New Roman" w:hAnsi="Times New Roman" w:cs="Times New Roman"/>
                <w:color w:val="000000" w:themeColor="text1"/>
                <w:sz w:val="16"/>
                <w:szCs w:val="16"/>
              </w:rPr>
              <w:t xml:space="preserve"> (mt)</w:t>
            </w:r>
          </w:p>
        </w:tc>
        <w:tc>
          <w:tcPr>
            <w:tcW w:w="345" w:type="pct"/>
          </w:tcPr>
          <w:p w14:paraId="55F3755F" w14:textId="3DCE030C" w:rsidR="00A30842" w:rsidRPr="00900A4A" w:rsidRDefault="00BC180D" w:rsidP="00900A4A">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GS</w:t>
            </w:r>
          </w:p>
        </w:tc>
        <w:tc>
          <w:tcPr>
            <w:tcW w:w="530" w:type="pct"/>
          </w:tcPr>
          <w:p w14:paraId="3A61166D" w14:textId="0A55E2EC" w:rsidR="00A30842" w:rsidRPr="00900A4A" w:rsidRDefault="00A01630" w:rsidP="00900A4A">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bio. policy</w:t>
            </w:r>
          </w:p>
        </w:tc>
        <w:tc>
          <w:tcPr>
            <w:tcW w:w="475" w:type="pct"/>
          </w:tcPr>
          <w:p w14:paraId="77EAB2EC" w14:textId="74511EF4" w:rsidR="00A30842" w:rsidRPr="00900A4A" w:rsidRDefault="00A30842" w:rsidP="00A84FAF">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 xml:space="preserve">NWFSC </w:t>
            </w:r>
          </w:p>
        </w:tc>
        <w:tc>
          <w:tcPr>
            <w:tcW w:w="649" w:type="pct"/>
          </w:tcPr>
          <w:p w14:paraId="08616F8D" w14:textId="125FE854" w:rsidR="00A30842" w:rsidRPr="00900A4A" w:rsidRDefault="00A30842" w:rsidP="00900A4A">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trawl locations</w:t>
            </w:r>
          </w:p>
        </w:tc>
        <w:tc>
          <w:tcPr>
            <w:tcW w:w="1574" w:type="pct"/>
          </w:tcPr>
          <w:p w14:paraId="01DEF9C8" w14:textId="5AB4CD59" w:rsidR="00A30842" w:rsidRPr="00900A4A" w:rsidRDefault="003D5992" w:rsidP="00900A4A">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potential for </w:t>
            </w:r>
            <w:r w:rsidR="00A96AD3">
              <w:rPr>
                <w:rFonts w:ascii="Times New Roman" w:hAnsi="Times New Roman" w:cs="Times New Roman"/>
                <w:color w:val="000000" w:themeColor="text1"/>
                <w:sz w:val="16"/>
                <w:szCs w:val="16"/>
              </w:rPr>
              <w:t>bycatch</w:t>
            </w:r>
          </w:p>
        </w:tc>
        <w:tc>
          <w:tcPr>
            <w:tcW w:w="393" w:type="pct"/>
          </w:tcPr>
          <w:p w14:paraId="783878EF" w14:textId="454036E7" w:rsidR="00A30842" w:rsidRPr="00900A4A" w:rsidRDefault="004F3422" w:rsidP="00900A4A">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n</w:t>
            </w:r>
            <w:r w:rsidR="00A30842">
              <w:rPr>
                <w:rFonts w:ascii="Times New Roman" w:hAnsi="Times New Roman" w:cs="Times New Roman"/>
                <w:color w:val="000000" w:themeColor="text1"/>
                <w:sz w:val="16"/>
                <w:szCs w:val="16"/>
              </w:rPr>
              <w:t>o</w:t>
            </w:r>
          </w:p>
        </w:tc>
      </w:tr>
      <w:tr w:rsidR="00A01630" w:rsidRPr="00900A4A" w14:paraId="38B9B64A" w14:textId="77777777" w:rsidTr="00407A14">
        <w:tc>
          <w:tcPr>
            <w:tcW w:w="1033" w:type="pct"/>
          </w:tcPr>
          <w:p w14:paraId="42880E51"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NGO</w:t>
            </w:r>
            <w:r>
              <w:rPr>
                <w:rFonts w:ascii="Times New Roman" w:hAnsi="Times New Roman" w:cs="Times New Roman"/>
                <w:color w:val="000000" w:themeColor="text1"/>
                <w:sz w:val="16"/>
                <w:szCs w:val="16"/>
                <w:vertAlign w:val="superscript"/>
              </w:rPr>
              <w:fldChar w:fldCharType="begin"/>
            </w:r>
            <w:r>
              <w:rPr>
                <w:rFonts w:ascii="Times New Roman" w:hAnsi="Times New Roman" w:cs="Times New Roman"/>
                <w:color w:val="000000" w:themeColor="text1"/>
                <w:sz w:val="16"/>
                <w:szCs w:val="16"/>
                <w:vertAlign w:val="superscript"/>
              </w:rPr>
              <w:instrText xml:space="preserve"> SEQ Letter  \* alphabetic \* MERGEFORMAT </w:instrText>
            </w:r>
            <w:r>
              <w:rPr>
                <w:rFonts w:ascii="Times New Roman" w:hAnsi="Times New Roman" w:cs="Times New Roman"/>
                <w:color w:val="000000" w:themeColor="text1"/>
                <w:sz w:val="16"/>
                <w:szCs w:val="16"/>
                <w:vertAlign w:val="superscript"/>
              </w:rPr>
              <w:fldChar w:fldCharType="separate"/>
            </w:r>
            <w:r w:rsidR="00B20EC7">
              <w:rPr>
                <w:rFonts w:ascii="Times New Roman" w:hAnsi="Times New Roman" w:cs="Times New Roman"/>
                <w:noProof/>
                <w:color w:val="000000" w:themeColor="text1"/>
                <w:sz w:val="16"/>
                <w:szCs w:val="16"/>
                <w:vertAlign w:val="superscript"/>
              </w:rPr>
              <w:t>a</w:t>
            </w:r>
            <w:r>
              <w:rPr>
                <w:rFonts w:ascii="Times New Roman" w:hAnsi="Times New Roman" w:cs="Times New Roman"/>
                <w:color w:val="000000" w:themeColor="text1"/>
                <w:sz w:val="16"/>
                <w:szCs w:val="16"/>
                <w:vertAlign w:val="superscript"/>
              </w:rPr>
              <w:fldChar w:fldCharType="end"/>
            </w:r>
            <w:r>
              <w:rPr>
                <w:rFonts w:ascii="Times New Roman" w:hAnsi="Times New Roman" w:cs="Times New Roman"/>
                <w:color w:val="000000" w:themeColor="text1"/>
                <w:sz w:val="16"/>
                <w:szCs w:val="16"/>
              </w:rPr>
              <w:t xml:space="preserve"> cooperative</w:t>
            </w:r>
          </w:p>
        </w:tc>
        <w:tc>
          <w:tcPr>
            <w:tcW w:w="345" w:type="pct"/>
          </w:tcPr>
          <w:p w14:paraId="789A0DF1"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GS</w:t>
            </w:r>
          </w:p>
        </w:tc>
        <w:tc>
          <w:tcPr>
            <w:tcW w:w="530" w:type="pct"/>
          </w:tcPr>
          <w:p w14:paraId="4915D28F"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organization</w:t>
            </w:r>
          </w:p>
        </w:tc>
        <w:tc>
          <w:tcPr>
            <w:tcW w:w="475" w:type="pct"/>
          </w:tcPr>
          <w:p w14:paraId="653B831A"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lit</w:t>
            </w:r>
          </w:p>
        </w:tc>
        <w:tc>
          <w:tcPr>
            <w:tcW w:w="649" w:type="pct"/>
          </w:tcPr>
          <w:p w14:paraId="37215D67"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California</w:t>
            </w:r>
          </w:p>
        </w:tc>
        <w:tc>
          <w:tcPr>
            <w:tcW w:w="1574" w:type="pct"/>
          </w:tcPr>
          <w:p w14:paraId="160913E9"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rules defined w/o gov. authority</w:t>
            </w:r>
          </w:p>
        </w:tc>
        <w:tc>
          <w:tcPr>
            <w:tcW w:w="393" w:type="pct"/>
          </w:tcPr>
          <w:p w14:paraId="754D7CCD"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no</w:t>
            </w:r>
          </w:p>
        </w:tc>
      </w:tr>
      <w:tr w:rsidR="00A01630" w:rsidRPr="00900A4A" w14:paraId="366877C2" w14:textId="77777777" w:rsidTr="00407A14">
        <w:tc>
          <w:tcPr>
            <w:tcW w:w="1033" w:type="pct"/>
          </w:tcPr>
          <w:p w14:paraId="0E38B2E3"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ITQ</w:t>
            </w:r>
            <w:r>
              <w:rPr>
                <w:rFonts w:ascii="Times New Roman" w:hAnsi="Times New Roman" w:cs="Times New Roman"/>
                <w:color w:val="000000" w:themeColor="text1"/>
                <w:sz w:val="16"/>
                <w:szCs w:val="16"/>
                <w:vertAlign w:val="superscript"/>
              </w:rPr>
              <w:fldChar w:fldCharType="begin"/>
            </w:r>
            <w:r>
              <w:rPr>
                <w:rFonts w:ascii="Times New Roman" w:hAnsi="Times New Roman" w:cs="Times New Roman"/>
                <w:color w:val="000000" w:themeColor="text1"/>
                <w:sz w:val="16"/>
                <w:szCs w:val="16"/>
                <w:vertAlign w:val="superscript"/>
              </w:rPr>
              <w:instrText xml:space="preserve"> SEQ Letter  \* alphabetic \* MERGEFORMAT </w:instrText>
            </w:r>
            <w:r>
              <w:rPr>
                <w:rFonts w:ascii="Times New Roman" w:hAnsi="Times New Roman" w:cs="Times New Roman"/>
                <w:color w:val="000000" w:themeColor="text1"/>
                <w:sz w:val="16"/>
                <w:szCs w:val="16"/>
                <w:vertAlign w:val="superscript"/>
              </w:rPr>
              <w:fldChar w:fldCharType="separate"/>
            </w:r>
            <w:r w:rsidR="00B20EC7">
              <w:rPr>
                <w:rFonts w:ascii="Times New Roman" w:hAnsi="Times New Roman" w:cs="Times New Roman"/>
                <w:noProof/>
                <w:color w:val="000000" w:themeColor="text1"/>
                <w:sz w:val="16"/>
                <w:szCs w:val="16"/>
                <w:vertAlign w:val="superscript"/>
              </w:rPr>
              <w:t>b</w:t>
            </w:r>
            <w:r>
              <w:rPr>
                <w:rFonts w:ascii="Times New Roman" w:hAnsi="Times New Roman" w:cs="Times New Roman"/>
                <w:color w:val="000000" w:themeColor="text1"/>
                <w:sz w:val="16"/>
                <w:szCs w:val="16"/>
                <w:vertAlign w:val="superscript"/>
              </w:rPr>
              <w:fldChar w:fldCharType="end"/>
            </w:r>
            <w:r>
              <w:rPr>
                <w:rFonts w:ascii="Times New Roman" w:hAnsi="Times New Roman" w:cs="Times New Roman"/>
                <w:color w:val="000000" w:themeColor="text1"/>
                <w:sz w:val="16"/>
                <w:szCs w:val="16"/>
              </w:rPr>
              <w:t xml:space="preserve"> (factor)</w:t>
            </w:r>
          </w:p>
        </w:tc>
        <w:tc>
          <w:tcPr>
            <w:tcW w:w="345" w:type="pct"/>
          </w:tcPr>
          <w:p w14:paraId="30336923"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GS</w:t>
            </w:r>
          </w:p>
        </w:tc>
        <w:tc>
          <w:tcPr>
            <w:tcW w:w="530" w:type="pct"/>
          </w:tcPr>
          <w:p w14:paraId="3F551FCF"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prop. right</w:t>
            </w:r>
          </w:p>
        </w:tc>
        <w:tc>
          <w:tcPr>
            <w:tcW w:w="475" w:type="pct"/>
          </w:tcPr>
          <w:p w14:paraId="3FB2159A"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cluster</w:t>
            </w:r>
          </w:p>
        </w:tc>
        <w:tc>
          <w:tcPr>
            <w:tcW w:w="649" w:type="pct"/>
          </w:tcPr>
          <w:p w14:paraId="2DF380C6"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coast wide</w:t>
            </w:r>
          </w:p>
        </w:tc>
        <w:tc>
          <w:tcPr>
            <w:tcW w:w="1574" w:type="pct"/>
          </w:tcPr>
          <w:p w14:paraId="719FFEDF"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ability to switch gears with the implementation of an ITQ program</w:t>
            </w:r>
          </w:p>
        </w:tc>
        <w:tc>
          <w:tcPr>
            <w:tcW w:w="393" w:type="pct"/>
          </w:tcPr>
          <w:p w14:paraId="2201B423" w14:textId="5AFBB0D0" w:rsidR="00A01630" w:rsidRPr="00900A4A" w:rsidRDefault="00C87A67" w:rsidP="00C87A67">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BC180D" w:rsidRPr="00900A4A" w14:paraId="43FE77C6" w14:textId="77777777" w:rsidTr="00407A14">
        <w:tc>
          <w:tcPr>
            <w:tcW w:w="1033" w:type="pct"/>
          </w:tcPr>
          <w:p w14:paraId="7ABA9088" w14:textId="77777777" w:rsidR="00BC180D"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allowable catch limit (lb)</w:t>
            </w:r>
          </w:p>
        </w:tc>
        <w:tc>
          <w:tcPr>
            <w:tcW w:w="345" w:type="pct"/>
          </w:tcPr>
          <w:p w14:paraId="6247AD30" w14:textId="77777777" w:rsidR="00BC180D"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GS</w:t>
            </w:r>
          </w:p>
        </w:tc>
        <w:tc>
          <w:tcPr>
            <w:tcW w:w="530" w:type="pct"/>
          </w:tcPr>
          <w:p w14:paraId="72CBE6F9"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rules in use</w:t>
            </w:r>
          </w:p>
        </w:tc>
        <w:tc>
          <w:tcPr>
            <w:tcW w:w="475" w:type="pct"/>
          </w:tcPr>
          <w:p w14:paraId="1368C4D0" w14:textId="77777777" w:rsidR="00BC180D"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PFMC</w:t>
            </w:r>
          </w:p>
        </w:tc>
        <w:tc>
          <w:tcPr>
            <w:tcW w:w="649" w:type="pct"/>
          </w:tcPr>
          <w:p w14:paraId="355317D6" w14:textId="77777777" w:rsidR="00BC180D"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north 36ºN lat.</w:t>
            </w:r>
          </w:p>
        </w:tc>
        <w:tc>
          <w:tcPr>
            <w:tcW w:w="1574" w:type="pct"/>
          </w:tcPr>
          <w:p w14:paraId="4FC63007"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to account for increased landings because of higher limits </w:t>
            </w:r>
          </w:p>
        </w:tc>
        <w:tc>
          <w:tcPr>
            <w:tcW w:w="393" w:type="pct"/>
          </w:tcPr>
          <w:p w14:paraId="012D5ABB" w14:textId="77777777" w:rsidR="00BC180D"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BC180D" w:rsidRPr="00900A4A" w14:paraId="22D41A61" w14:textId="77777777" w:rsidTr="00BC180D">
        <w:tc>
          <w:tcPr>
            <w:tcW w:w="1033" w:type="pct"/>
          </w:tcPr>
          <w:p w14:paraId="7DAED364" w14:textId="77777777" w:rsidR="00BC180D"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vessel length (ft)</w:t>
            </w:r>
          </w:p>
        </w:tc>
        <w:tc>
          <w:tcPr>
            <w:tcW w:w="345" w:type="pct"/>
          </w:tcPr>
          <w:p w14:paraId="36F09106" w14:textId="77777777" w:rsidR="00BC180D"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GS</w:t>
            </w:r>
          </w:p>
        </w:tc>
        <w:tc>
          <w:tcPr>
            <w:tcW w:w="530" w:type="pct"/>
          </w:tcPr>
          <w:p w14:paraId="45F86A06"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rules in use</w:t>
            </w:r>
          </w:p>
        </w:tc>
        <w:tc>
          <w:tcPr>
            <w:tcW w:w="475" w:type="pct"/>
          </w:tcPr>
          <w:p w14:paraId="66082FA9" w14:textId="77777777" w:rsidR="00BC180D"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EDC</w:t>
            </w:r>
          </w:p>
        </w:tc>
        <w:tc>
          <w:tcPr>
            <w:tcW w:w="649" w:type="pct"/>
          </w:tcPr>
          <w:p w14:paraId="63194B2C" w14:textId="77777777" w:rsidR="00BC180D"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port group</w:t>
            </w:r>
          </w:p>
        </w:tc>
        <w:tc>
          <w:tcPr>
            <w:tcW w:w="1574" w:type="pct"/>
          </w:tcPr>
          <w:p w14:paraId="5C65BC96" w14:textId="77777777" w:rsidR="00BC180D" w:rsidRPr="00900A4A"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LE permits transfer is limited by vessel size and thus landings are also limited by vessel size, also larger vessels can fish farther offshore and smaller vessels may be more likely to switch gears to fish in near-shore RCAs</w:t>
            </w:r>
            <w:r w:rsidRPr="00C13270">
              <w:rPr>
                <w:rFonts w:ascii="Times New Roman" w:hAnsi="Times New Roman" w:cs="Times New Roman"/>
                <w:color w:val="000000" w:themeColor="text1"/>
                <w:sz w:val="16"/>
                <w:szCs w:val="16"/>
                <w:vertAlign w:val="superscript"/>
              </w:rPr>
              <w:fldChar w:fldCharType="begin"/>
            </w:r>
            <w:r w:rsidRPr="00C13270">
              <w:rPr>
                <w:rFonts w:ascii="Times New Roman" w:hAnsi="Times New Roman" w:cs="Times New Roman"/>
                <w:color w:val="000000" w:themeColor="text1"/>
                <w:sz w:val="16"/>
                <w:szCs w:val="16"/>
                <w:vertAlign w:val="superscript"/>
              </w:rPr>
              <w:instrText xml:space="preserve"> SEQ Letter  \* alphabetic \* MERGEFORMAT </w:instrText>
            </w:r>
            <w:r w:rsidRPr="00C13270">
              <w:rPr>
                <w:rFonts w:ascii="Times New Roman" w:hAnsi="Times New Roman" w:cs="Times New Roman"/>
                <w:color w:val="000000" w:themeColor="text1"/>
                <w:sz w:val="16"/>
                <w:szCs w:val="16"/>
                <w:vertAlign w:val="superscript"/>
              </w:rPr>
              <w:fldChar w:fldCharType="separate"/>
            </w:r>
            <w:r w:rsidR="00B20EC7">
              <w:rPr>
                <w:rFonts w:ascii="Times New Roman" w:hAnsi="Times New Roman" w:cs="Times New Roman"/>
                <w:noProof/>
                <w:color w:val="000000" w:themeColor="text1"/>
                <w:sz w:val="16"/>
                <w:szCs w:val="16"/>
                <w:vertAlign w:val="superscript"/>
              </w:rPr>
              <w:t>c</w:t>
            </w:r>
            <w:r w:rsidRPr="00C13270">
              <w:rPr>
                <w:rFonts w:ascii="Times New Roman" w:hAnsi="Times New Roman" w:cs="Times New Roman"/>
                <w:color w:val="000000" w:themeColor="text1"/>
                <w:sz w:val="16"/>
                <w:szCs w:val="16"/>
                <w:vertAlign w:val="superscript"/>
              </w:rPr>
              <w:fldChar w:fldCharType="end"/>
            </w:r>
          </w:p>
        </w:tc>
        <w:tc>
          <w:tcPr>
            <w:tcW w:w="393" w:type="pct"/>
          </w:tcPr>
          <w:p w14:paraId="4600AC05" w14:textId="77777777" w:rsidR="00BC180D" w:rsidRDefault="00BC180D"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A01630" w:rsidRPr="00900A4A" w14:paraId="7CF25857" w14:textId="77777777" w:rsidTr="00407A14">
        <w:tc>
          <w:tcPr>
            <w:tcW w:w="1033" w:type="pct"/>
          </w:tcPr>
          <w:p w14:paraId="0F408A22" w14:textId="77777777" w:rsidR="00A01630" w:rsidRPr="00900A4A" w:rsidRDefault="00A01630" w:rsidP="00407A14">
            <w:pPr>
              <w:jc w:val="both"/>
              <w:rPr>
                <w:rFonts w:ascii="Times New Roman" w:hAnsi="Times New Roman" w:cs="Times New Roman"/>
                <w:color w:val="000000" w:themeColor="text1"/>
                <w:sz w:val="16"/>
                <w:szCs w:val="16"/>
              </w:rPr>
            </w:pPr>
            <w:r w:rsidRPr="00900A4A">
              <w:rPr>
                <w:rFonts w:ascii="Times New Roman" w:hAnsi="Times New Roman" w:cs="Times New Roman"/>
                <w:color w:val="000000" w:themeColor="text1"/>
                <w:sz w:val="16"/>
                <w:szCs w:val="16"/>
              </w:rPr>
              <w:t>fuel (</w:t>
            </w:r>
            <w:r>
              <w:rPr>
                <w:rFonts w:ascii="Times New Roman" w:hAnsi="Times New Roman" w:cs="Times New Roman"/>
                <w:color w:val="000000" w:themeColor="text1"/>
                <w:sz w:val="16"/>
                <w:szCs w:val="16"/>
              </w:rPr>
              <w:t>gal∙day</w:t>
            </w:r>
            <w:r w:rsidRPr="000C1705">
              <w:rPr>
                <w:rFonts w:ascii="Times New Roman" w:hAnsi="Times New Roman" w:cs="Times New Roman"/>
                <w:color w:val="000000" w:themeColor="text1"/>
                <w:sz w:val="16"/>
                <w:szCs w:val="16"/>
                <w:vertAlign w:val="superscript"/>
              </w:rPr>
              <w:t>-1</w:t>
            </w:r>
            <w:r w:rsidRPr="00900A4A">
              <w:rPr>
                <w:rFonts w:ascii="Times New Roman" w:hAnsi="Times New Roman" w:cs="Times New Roman"/>
                <w:color w:val="000000" w:themeColor="text1"/>
                <w:sz w:val="16"/>
                <w:szCs w:val="16"/>
              </w:rPr>
              <w:t>)</w:t>
            </w:r>
          </w:p>
        </w:tc>
        <w:tc>
          <w:tcPr>
            <w:tcW w:w="345" w:type="pct"/>
          </w:tcPr>
          <w:p w14:paraId="39FFF8B1"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w:t>
            </w:r>
          </w:p>
        </w:tc>
        <w:tc>
          <w:tcPr>
            <w:tcW w:w="530" w:type="pct"/>
          </w:tcPr>
          <w:p w14:paraId="2BF47CF0"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econ. dependence</w:t>
            </w:r>
          </w:p>
        </w:tc>
        <w:tc>
          <w:tcPr>
            <w:tcW w:w="475" w:type="pct"/>
          </w:tcPr>
          <w:p w14:paraId="5D69C679"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EDC</w:t>
            </w:r>
          </w:p>
        </w:tc>
        <w:tc>
          <w:tcPr>
            <w:tcW w:w="649" w:type="pct"/>
          </w:tcPr>
          <w:p w14:paraId="3DEFEE24"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port group</w:t>
            </w:r>
          </w:p>
        </w:tc>
        <w:tc>
          <w:tcPr>
            <w:tcW w:w="1574" w:type="pct"/>
          </w:tcPr>
          <w:p w14:paraId="388FC148" w14:textId="77777777" w:rsidR="00A01630" w:rsidRPr="00900A4A" w:rsidRDefault="00A01630" w:rsidP="00407A14">
            <w:pPr>
              <w:jc w:val="both"/>
              <w:rPr>
                <w:rFonts w:ascii="Times New Roman" w:hAnsi="Times New Roman" w:cs="Times New Roman"/>
                <w:color w:val="000000" w:themeColor="text1"/>
                <w:sz w:val="16"/>
                <w:szCs w:val="16"/>
              </w:rPr>
            </w:pPr>
          </w:p>
        </w:tc>
        <w:tc>
          <w:tcPr>
            <w:tcW w:w="393" w:type="pct"/>
          </w:tcPr>
          <w:p w14:paraId="7DF6B7B3"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8D0335" w:rsidRPr="00900A4A" w14:paraId="16D69FA1" w14:textId="77777777" w:rsidTr="00446CEE">
        <w:tc>
          <w:tcPr>
            <w:tcW w:w="1033" w:type="pct"/>
          </w:tcPr>
          <w:p w14:paraId="47C8B02F" w14:textId="77777777" w:rsidR="008D0335" w:rsidRPr="00900A4A" w:rsidRDefault="008D0335" w:rsidP="00446CEE">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fixed costs</w:t>
            </w:r>
            <w:r w:rsidRPr="00900A4A">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USD</w:t>
            </w:r>
            <w:r w:rsidRPr="00900A4A">
              <w:rPr>
                <w:rFonts w:ascii="Times New Roman" w:hAnsi="Times New Roman" w:cs="Times New Roman"/>
                <w:color w:val="000000" w:themeColor="text1"/>
                <w:sz w:val="16"/>
                <w:szCs w:val="16"/>
              </w:rPr>
              <w:t>)</w:t>
            </w:r>
          </w:p>
        </w:tc>
        <w:tc>
          <w:tcPr>
            <w:tcW w:w="345" w:type="pct"/>
          </w:tcPr>
          <w:p w14:paraId="791BDF2D" w14:textId="77777777" w:rsidR="008D0335" w:rsidRPr="00900A4A" w:rsidRDefault="008D0335" w:rsidP="00446CEE">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w:t>
            </w:r>
          </w:p>
        </w:tc>
        <w:tc>
          <w:tcPr>
            <w:tcW w:w="530" w:type="pct"/>
          </w:tcPr>
          <w:p w14:paraId="3D4DB4F6" w14:textId="4CAA2E25" w:rsidR="008D0335" w:rsidRPr="00900A4A" w:rsidRDefault="008D0335" w:rsidP="00446CEE">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econ. dependence</w:t>
            </w:r>
          </w:p>
        </w:tc>
        <w:tc>
          <w:tcPr>
            <w:tcW w:w="475" w:type="pct"/>
          </w:tcPr>
          <w:p w14:paraId="692425B2" w14:textId="77777777" w:rsidR="008D0335" w:rsidRPr="00900A4A" w:rsidRDefault="008D0335" w:rsidP="00446CEE">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EDC</w:t>
            </w:r>
          </w:p>
        </w:tc>
        <w:tc>
          <w:tcPr>
            <w:tcW w:w="649" w:type="pct"/>
          </w:tcPr>
          <w:p w14:paraId="2AC6FFD2" w14:textId="77777777" w:rsidR="008D0335" w:rsidRPr="00900A4A" w:rsidRDefault="008D0335" w:rsidP="00446CEE">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port group</w:t>
            </w:r>
          </w:p>
        </w:tc>
        <w:tc>
          <w:tcPr>
            <w:tcW w:w="1574" w:type="pct"/>
          </w:tcPr>
          <w:p w14:paraId="2F50F32E" w14:textId="77777777" w:rsidR="008D0335" w:rsidRPr="00900A4A" w:rsidRDefault="008D0335" w:rsidP="00446CEE">
            <w:pPr>
              <w:jc w:val="both"/>
              <w:rPr>
                <w:rFonts w:ascii="Times New Roman" w:hAnsi="Times New Roman" w:cs="Times New Roman"/>
                <w:color w:val="000000" w:themeColor="text1"/>
                <w:sz w:val="16"/>
                <w:szCs w:val="16"/>
              </w:rPr>
            </w:pPr>
          </w:p>
        </w:tc>
        <w:tc>
          <w:tcPr>
            <w:tcW w:w="393" w:type="pct"/>
          </w:tcPr>
          <w:p w14:paraId="4F8E0806" w14:textId="77777777" w:rsidR="008D0335" w:rsidRPr="00900A4A" w:rsidRDefault="008D0335" w:rsidP="00446CEE">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A01630" w:rsidRPr="00900A4A" w14:paraId="39E8F21D" w14:textId="77777777" w:rsidTr="00407A14">
        <w:tc>
          <w:tcPr>
            <w:tcW w:w="1033" w:type="pct"/>
          </w:tcPr>
          <w:p w14:paraId="566168A5"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variable costs (USD)</w:t>
            </w:r>
          </w:p>
        </w:tc>
        <w:tc>
          <w:tcPr>
            <w:tcW w:w="345" w:type="pct"/>
          </w:tcPr>
          <w:p w14:paraId="71F855A2"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w:t>
            </w:r>
          </w:p>
        </w:tc>
        <w:tc>
          <w:tcPr>
            <w:tcW w:w="530" w:type="pct"/>
          </w:tcPr>
          <w:p w14:paraId="5EFA23EE"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econ. dependence</w:t>
            </w:r>
          </w:p>
        </w:tc>
        <w:tc>
          <w:tcPr>
            <w:tcW w:w="475" w:type="pct"/>
          </w:tcPr>
          <w:p w14:paraId="3D4159DF"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EDC</w:t>
            </w:r>
          </w:p>
        </w:tc>
        <w:tc>
          <w:tcPr>
            <w:tcW w:w="649" w:type="pct"/>
          </w:tcPr>
          <w:p w14:paraId="0F2195E2"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port group</w:t>
            </w:r>
          </w:p>
        </w:tc>
        <w:tc>
          <w:tcPr>
            <w:tcW w:w="1574" w:type="pct"/>
          </w:tcPr>
          <w:p w14:paraId="167FB8B9" w14:textId="77777777" w:rsidR="00A01630" w:rsidRPr="00900A4A" w:rsidRDefault="00A01630" w:rsidP="00407A14">
            <w:pPr>
              <w:jc w:val="both"/>
              <w:rPr>
                <w:rFonts w:ascii="Times New Roman" w:hAnsi="Times New Roman" w:cs="Times New Roman"/>
                <w:color w:val="000000" w:themeColor="text1"/>
                <w:sz w:val="16"/>
                <w:szCs w:val="16"/>
              </w:rPr>
            </w:pPr>
          </w:p>
        </w:tc>
        <w:tc>
          <w:tcPr>
            <w:tcW w:w="393" w:type="pct"/>
          </w:tcPr>
          <w:p w14:paraId="3CDE5ED5"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6D59F8" w:rsidRPr="00900A4A" w14:paraId="4404058F" w14:textId="77777777" w:rsidTr="00B70BC9">
        <w:tc>
          <w:tcPr>
            <w:tcW w:w="1033" w:type="pct"/>
          </w:tcPr>
          <w:p w14:paraId="47E01DC5" w14:textId="08C1CF0D" w:rsidR="000C1705" w:rsidRPr="00900A4A" w:rsidRDefault="00DF7054"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buyers (individuals)</w:t>
            </w:r>
          </w:p>
        </w:tc>
        <w:tc>
          <w:tcPr>
            <w:tcW w:w="345" w:type="pct"/>
          </w:tcPr>
          <w:p w14:paraId="7BE2F630" w14:textId="77777777" w:rsidR="000C1705" w:rsidRDefault="000C1705"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w:t>
            </w:r>
          </w:p>
        </w:tc>
        <w:tc>
          <w:tcPr>
            <w:tcW w:w="530" w:type="pct"/>
          </w:tcPr>
          <w:p w14:paraId="4D0B97A8" w14:textId="0D9D7DBC" w:rsidR="000C1705" w:rsidRPr="00900A4A" w:rsidRDefault="008453BF"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num.</w:t>
            </w:r>
            <w:r w:rsidR="00B2653A">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users</w:t>
            </w:r>
          </w:p>
        </w:tc>
        <w:tc>
          <w:tcPr>
            <w:tcW w:w="475" w:type="pct"/>
          </w:tcPr>
          <w:p w14:paraId="50C5EA90" w14:textId="6FF082B0" w:rsidR="000C1705" w:rsidRDefault="008453BF"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EDC</w:t>
            </w:r>
          </w:p>
        </w:tc>
        <w:tc>
          <w:tcPr>
            <w:tcW w:w="649" w:type="pct"/>
          </w:tcPr>
          <w:p w14:paraId="53C46AAE" w14:textId="77777777" w:rsidR="000C1705" w:rsidRDefault="000C1705"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port group</w:t>
            </w:r>
          </w:p>
        </w:tc>
        <w:tc>
          <w:tcPr>
            <w:tcW w:w="1574" w:type="pct"/>
          </w:tcPr>
          <w:p w14:paraId="313D8348" w14:textId="77777777" w:rsidR="000C1705" w:rsidRPr="00900A4A" w:rsidRDefault="000C1705" w:rsidP="001A0124">
            <w:pPr>
              <w:jc w:val="both"/>
              <w:rPr>
                <w:rFonts w:ascii="Times New Roman" w:hAnsi="Times New Roman" w:cs="Times New Roman"/>
                <w:color w:val="000000" w:themeColor="text1"/>
                <w:sz w:val="16"/>
                <w:szCs w:val="16"/>
              </w:rPr>
            </w:pPr>
          </w:p>
        </w:tc>
        <w:tc>
          <w:tcPr>
            <w:tcW w:w="393" w:type="pct"/>
          </w:tcPr>
          <w:p w14:paraId="1FE2347B" w14:textId="11C77865" w:rsidR="000C1705" w:rsidRDefault="004F3422"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6D59F8" w:rsidRPr="00900A4A" w14:paraId="319EE61B" w14:textId="77777777" w:rsidTr="00B70BC9">
        <w:tc>
          <w:tcPr>
            <w:tcW w:w="1033" w:type="pct"/>
          </w:tcPr>
          <w:p w14:paraId="6892E0A9" w14:textId="1D3A93DA" w:rsidR="00DF7054" w:rsidRPr="00900A4A" w:rsidRDefault="00DF7054"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crew size (individuals)</w:t>
            </w:r>
          </w:p>
        </w:tc>
        <w:tc>
          <w:tcPr>
            <w:tcW w:w="345" w:type="pct"/>
          </w:tcPr>
          <w:p w14:paraId="65C19673" w14:textId="77777777" w:rsidR="00DF7054" w:rsidRDefault="00DF7054"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w:t>
            </w:r>
          </w:p>
        </w:tc>
        <w:tc>
          <w:tcPr>
            <w:tcW w:w="530" w:type="pct"/>
          </w:tcPr>
          <w:p w14:paraId="4EB59890" w14:textId="018A9213" w:rsidR="00DF7054" w:rsidRPr="00900A4A" w:rsidRDefault="00B2653A"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num. users</w:t>
            </w:r>
          </w:p>
        </w:tc>
        <w:tc>
          <w:tcPr>
            <w:tcW w:w="475" w:type="pct"/>
          </w:tcPr>
          <w:p w14:paraId="27AA9D89" w14:textId="426AFC2B" w:rsidR="00DF7054" w:rsidRDefault="008453BF"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EDC</w:t>
            </w:r>
          </w:p>
        </w:tc>
        <w:tc>
          <w:tcPr>
            <w:tcW w:w="649" w:type="pct"/>
          </w:tcPr>
          <w:p w14:paraId="576A66B6" w14:textId="77777777" w:rsidR="00DF7054" w:rsidRDefault="00DF7054"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port group</w:t>
            </w:r>
          </w:p>
        </w:tc>
        <w:tc>
          <w:tcPr>
            <w:tcW w:w="1574" w:type="pct"/>
          </w:tcPr>
          <w:p w14:paraId="27F33B12" w14:textId="5B914E54" w:rsidR="00DF7054" w:rsidRPr="00900A4A" w:rsidRDefault="00B2653A"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increased transaction costs with more crew</w:t>
            </w:r>
          </w:p>
        </w:tc>
        <w:tc>
          <w:tcPr>
            <w:tcW w:w="393" w:type="pct"/>
          </w:tcPr>
          <w:p w14:paraId="392DEB0B" w14:textId="535EDC80" w:rsidR="00DF7054" w:rsidRDefault="004F3422"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A01630" w:rsidRPr="00900A4A" w14:paraId="462BD39C" w14:textId="77777777" w:rsidTr="00407A14">
        <w:tc>
          <w:tcPr>
            <w:tcW w:w="1033" w:type="pct"/>
          </w:tcPr>
          <w:p w14:paraId="4C4C17D5"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num. of vessels</w:t>
            </w:r>
          </w:p>
        </w:tc>
        <w:tc>
          <w:tcPr>
            <w:tcW w:w="345" w:type="pct"/>
          </w:tcPr>
          <w:p w14:paraId="1E3B138F"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w:t>
            </w:r>
          </w:p>
        </w:tc>
        <w:tc>
          <w:tcPr>
            <w:tcW w:w="530" w:type="pct"/>
          </w:tcPr>
          <w:p w14:paraId="5B6A0BDF"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num. users</w:t>
            </w:r>
          </w:p>
        </w:tc>
        <w:tc>
          <w:tcPr>
            <w:tcW w:w="475" w:type="pct"/>
          </w:tcPr>
          <w:p w14:paraId="0E564953"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EDC</w:t>
            </w:r>
          </w:p>
        </w:tc>
        <w:tc>
          <w:tcPr>
            <w:tcW w:w="649" w:type="pct"/>
          </w:tcPr>
          <w:p w14:paraId="1F47AA6E"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port group</w:t>
            </w:r>
          </w:p>
        </w:tc>
        <w:tc>
          <w:tcPr>
            <w:tcW w:w="1574" w:type="pct"/>
          </w:tcPr>
          <w:p w14:paraId="1B61F70F" w14:textId="77777777" w:rsidR="00A01630" w:rsidRPr="00900A4A"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to account for more landings because of more permits</w:t>
            </w:r>
          </w:p>
        </w:tc>
        <w:tc>
          <w:tcPr>
            <w:tcW w:w="393" w:type="pct"/>
          </w:tcPr>
          <w:p w14:paraId="184FBDAA" w14:textId="77777777" w:rsidR="00A01630" w:rsidRDefault="00A01630" w:rsidP="00407A1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6D59F8" w:rsidRPr="00900A4A" w14:paraId="56F5BA77" w14:textId="77777777" w:rsidTr="00B70BC9">
        <w:tc>
          <w:tcPr>
            <w:tcW w:w="1033" w:type="pct"/>
          </w:tcPr>
          <w:p w14:paraId="76DD607A" w14:textId="3780CB05" w:rsidR="00DF7054" w:rsidRDefault="00DF7054" w:rsidP="00DF705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engine (hp)</w:t>
            </w:r>
          </w:p>
        </w:tc>
        <w:tc>
          <w:tcPr>
            <w:tcW w:w="345" w:type="pct"/>
          </w:tcPr>
          <w:p w14:paraId="25CB2587" w14:textId="75790997" w:rsidR="00DF7054" w:rsidRDefault="00C13270" w:rsidP="00DF705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w:t>
            </w:r>
          </w:p>
        </w:tc>
        <w:tc>
          <w:tcPr>
            <w:tcW w:w="530" w:type="pct"/>
          </w:tcPr>
          <w:p w14:paraId="7D6B7399" w14:textId="60A5D779" w:rsidR="00DF7054" w:rsidRPr="00900A4A" w:rsidRDefault="00FA63F8" w:rsidP="00DF705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technology</w:t>
            </w:r>
          </w:p>
        </w:tc>
        <w:tc>
          <w:tcPr>
            <w:tcW w:w="475" w:type="pct"/>
          </w:tcPr>
          <w:p w14:paraId="1E3EA055" w14:textId="72185503" w:rsidR="00DF7054" w:rsidRDefault="008453BF" w:rsidP="00DF705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EDC</w:t>
            </w:r>
          </w:p>
        </w:tc>
        <w:tc>
          <w:tcPr>
            <w:tcW w:w="649" w:type="pct"/>
          </w:tcPr>
          <w:p w14:paraId="63999825" w14:textId="585EB329" w:rsidR="00DF7054" w:rsidRDefault="00DF7054" w:rsidP="00DF705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port group</w:t>
            </w:r>
          </w:p>
        </w:tc>
        <w:tc>
          <w:tcPr>
            <w:tcW w:w="1574" w:type="pct"/>
          </w:tcPr>
          <w:p w14:paraId="166EB749" w14:textId="5F0A0475" w:rsidR="00DF7054" w:rsidRPr="00900A4A" w:rsidRDefault="006D59F8" w:rsidP="00DF705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ability to steam to more distant grounds</w:t>
            </w:r>
          </w:p>
        </w:tc>
        <w:tc>
          <w:tcPr>
            <w:tcW w:w="393" w:type="pct"/>
          </w:tcPr>
          <w:p w14:paraId="307A17F4" w14:textId="43052E35" w:rsidR="00DF7054" w:rsidRDefault="004F3422" w:rsidP="00DF705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6D59F8" w:rsidRPr="00900A4A" w14:paraId="2F0B53BF" w14:textId="77777777" w:rsidTr="00BC180D">
        <w:tc>
          <w:tcPr>
            <w:tcW w:w="1033" w:type="pct"/>
          </w:tcPr>
          <w:p w14:paraId="748DB9CD" w14:textId="28E2069B" w:rsidR="00064E51" w:rsidRPr="00900A4A" w:rsidRDefault="00064E51" w:rsidP="00064E51">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vessel fuel capacity (gal)</w:t>
            </w:r>
          </w:p>
        </w:tc>
        <w:tc>
          <w:tcPr>
            <w:tcW w:w="345" w:type="pct"/>
          </w:tcPr>
          <w:p w14:paraId="7C1DE50E" w14:textId="77777777" w:rsidR="00064E51" w:rsidRDefault="00064E51"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w:t>
            </w:r>
          </w:p>
        </w:tc>
        <w:tc>
          <w:tcPr>
            <w:tcW w:w="530" w:type="pct"/>
          </w:tcPr>
          <w:p w14:paraId="21E94665" w14:textId="4859D2B7" w:rsidR="00064E51" w:rsidRPr="00900A4A" w:rsidRDefault="000D2D0F"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technology</w:t>
            </w:r>
          </w:p>
        </w:tc>
        <w:tc>
          <w:tcPr>
            <w:tcW w:w="475" w:type="pct"/>
          </w:tcPr>
          <w:p w14:paraId="0D3E515C" w14:textId="4F2E8149" w:rsidR="00064E51" w:rsidRDefault="008453BF"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EDC</w:t>
            </w:r>
          </w:p>
        </w:tc>
        <w:tc>
          <w:tcPr>
            <w:tcW w:w="649" w:type="pct"/>
          </w:tcPr>
          <w:p w14:paraId="2AC3E088" w14:textId="77777777" w:rsidR="00064E51" w:rsidRDefault="00064E51"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port group</w:t>
            </w:r>
          </w:p>
        </w:tc>
        <w:tc>
          <w:tcPr>
            <w:tcW w:w="1574" w:type="pct"/>
          </w:tcPr>
          <w:p w14:paraId="37899E65" w14:textId="23828589" w:rsidR="00064E51" w:rsidRPr="00900A4A" w:rsidRDefault="000D2D0F"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ability to steam to more distant grounds</w:t>
            </w:r>
          </w:p>
        </w:tc>
        <w:tc>
          <w:tcPr>
            <w:tcW w:w="393" w:type="pct"/>
          </w:tcPr>
          <w:p w14:paraId="358E4C21" w14:textId="4D1D3BE5" w:rsidR="00064E51" w:rsidRDefault="004F3422" w:rsidP="001A0124">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r w:rsidR="006D59F8" w:rsidRPr="00900A4A" w14:paraId="187F4EDB" w14:textId="77777777" w:rsidTr="00BC180D">
        <w:tc>
          <w:tcPr>
            <w:tcW w:w="1033" w:type="pct"/>
            <w:tcBorders>
              <w:bottom w:val="single" w:sz="4" w:space="0" w:color="auto"/>
            </w:tcBorders>
          </w:tcPr>
          <w:p w14:paraId="1FC9CC1D" w14:textId="70600927" w:rsidR="000C1705" w:rsidRPr="00900A4A" w:rsidRDefault="000C1705" w:rsidP="00064E51">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vessel </w:t>
            </w:r>
            <w:r w:rsidR="00064E51">
              <w:rPr>
                <w:rFonts w:ascii="Times New Roman" w:hAnsi="Times New Roman" w:cs="Times New Roman"/>
                <w:color w:val="000000" w:themeColor="text1"/>
                <w:sz w:val="16"/>
                <w:szCs w:val="16"/>
              </w:rPr>
              <w:t xml:space="preserve">fishing </w:t>
            </w:r>
            <w:r>
              <w:rPr>
                <w:rFonts w:ascii="Times New Roman" w:hAnsi="Times New Roman" w:cs="Times New Roman"/>
                <w:color w:val="000000" w:themeColor="text1"/>
                <w:sz w:val="16"/>
                <w:szCs w:val="16"/>
              </w:rPr>
              <w:t>speed</w:t>
            </w:r>
            <w:r w:rsidR="00064E51">
              <w:rPr>
                <w:rFonts w:ascii="Times New Roman" w:hAnsi="Times New Roman" w:cs="Times New Roman"/>
                <w:color w:val="000000" w:themeColor="text1"/>
                <w:sz w:val="16"/>
                <w:szCs w:val="16"/>
              </w:rPr>
              <w:t xml:space="preserve"> (kn)</w:t>
            </w:r>
          </w:p>
        </w:tc>
        <w:tc>
          <w:tcPr>
            <w:tcW w:w="345" w:type="pct"/>
            <w:tcBorders>
              <w:bottom w:val="single" w:sz="4" w:space="0" w:color="auto"/>
            </w:tcBorders>
          </w:tcPr>
          <w:p w14:paraId="1BA84935" w14:textId="15D489E0" w:rsidR="000C1705" w:rsidRDefault="000C1705" w:rsidP="000C1705">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w:t>
            </w:r>
          </w:p>
        </w:tc>
        <w:tc>
          <w:tcPr>
            <w:tcW w:w="530" w:type="pct"/>
            <w:tcBorders>
              <w:bottom w:val="single" w:sz="4" w:space="0" w:color="auto"/>
            </w:tcBorders>
          </w:tcPr>
          <w:p w14:paraId="220D3379" w14:textId="3DE6E229" w:rsidR="000C1705" w:rsidRPr="00900A4A" w:rsidRDefault="009A5AD0" w:rsidP="000C1705">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technology</w:t>
            </w:r>
          </w:p>
        </w:tc>
        <w:tc>
          <w:tcPr>
            <w:tcW w:w="475" w:type="pct"/>
            <w:tcBorders>
              <w:bottom w:val="single" w:sz="4" w:space="0" w:color="auto"/>
            </w:tcBorders>
          </w:tcPr>
          <w:p w14:paraId="6F7C6BCA" w14:textId="4D5C3596" w:rsidR="000C1705" w:rsidRDefault="008453BF" w:rsidP="000C1705">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EDC</w:t>
            </w:r>
          </w:p>
        </w:tc>
        <w:tc>
          <w:tcPr>
            <w:tcW w:w="649" w:type="pct"/>
            <w:tcBorders>
              <w:bottom w:val="single" w:sz="4" w:space="0" w:color="auto"/>
            </w:tcBorders>
          </w:tcPr>
          <w:p w14:paraId="1340257D" w14:textId="36287F61" w:rsidR="000C1705" w:rsidRDefault="000C1705" w:rsidP="000C1705">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port group</w:t>
            </w:r>
          </w:p>
        </w:tc>
        <w:tc>
          <w:tcPr>
            <w:tcW w:w="1574" w:type="pct"/>
            <w:tcBorders>
              <w:bottom w:val="single" w:sz="4" w:space="0" w:color="auto"/>
            </w:tcBorders>
          </w:tcPr>
          <w:p w14:paraId="1EEADEB0" w14:textId="186CCA05" w:rsidR="000C1705" w:rsidRPr="00900A4A" w:rsidRDefault="004F3422" w:rsidP="000C1705">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towing speed may be an indicate target species and those targeting fish other than sablefish will be less likely to switch gears</w:t>
            </w:r>
          </w:p>
        </w:tc>
        <w:tc>
          <w:tcPr>
            <w:tcW w:w="393" w:type="pct"/>
            <w:tcBorders>
              <w:bottom w:val="single" w:sz="4" w:space="0" w:color="auto"/>
            </w:tcBorders>
          </w:tcPr>
          <w:p w14:paraId="336DDB35" w14:textId="28FBBA8B" w:rsidR="000C1705" w:rsidRDefault="004F3422" w:rsidP="000C1705">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yes</w:t>
            </w:r>
          </w:p>
        </w:tc>
      </w:tr>
    </w:tbl>
    <w:p w14:paraId="02540650" w14:textId="11580048" w:rsidR="00C13270" w:rsidRDefault="00602058" w:rsidP="00145B28">
      <w:pPr>
        <w:spacing w:line="240" w:lineRule="auto"/>
        <w:jc w:val="both"/>
        <w:rPr>
          <w:rFonts w:ascii="Times New Roman" w:hAnsi="Times New Roman" w:cs="Times New Roman"/>
          <w:color w:val="000000" w:themeColor="text1"/>
          <w:sz w:val="16"/>
          <w:szCs w:val="16"/>
        </w:rPr>
      </w:pPr>
      <w:r w:rsidRPr="00602058">
        <w:rPr>
          <w:rFonts w:ascii="Times New Roman" w:hAnsi="Times New Roman" w:cs="Times New Roman"/>
          <w:color w:val="000000" w:themeColor="text1"/>
          <w:sz w:val="16"/>
          <w:szCs w:val="16"/>
          <w:vertAlign w:val="superscript"/>
        </w:rPr>
        <w:t>a</w:t>
      </w:r>
      <w:r w:rsidR="00A01630">
        <w:rPr>
          <w:rFonts w:ascii="Times New Roman" w:hAnsi="Times New Roman" w:cs="Times New Roman"/>
          <w:color w:val="000000" w:themeColor="text1"/>
          <w:sz w:val="16"/>
          <w:szCs w:val="16"/>
        </w:rPr>
        <w:t>Non-governmental organization (NGO)</w:t>
      </w:r>
    </w:p>
    <w:p w14:paraId="69D70F64" w14:textId="5A4BBF38" w:rsidR="00DC6301" w:rsidRDefault="00C13270" w:rsidP="00145B28">
      <w:pPr>
        <w:spacing w:line="240" w:lineRule="auto"/>
        <w:jc w:val="both"/>
        <w:rPr>
          <w:rFonts w:ascii="Times New Roman" w:hAnsi="Times New Roman" w:cs="Times New Roman"/>
          <w:color w:val="000000" w:themeColor="text1"/>
          <w:sz w:val="16"/>
          <w:szCs w:val="16"/>
        </w:rPr>
      </w:pPr>
      <w:r w:rsidRPr="00DC6301">
        <w:rPr>
          <w:rFonts w:ascii="Times New Roman" w:hAnsi="Times New Roman" w:cs="Times New Roman"/>
          <w:color w:val="000000" w:themeColor="text1"/>
          <w:sz w:val="16"/>
          <w:szCs w:val="16"/>
          <w:vertAlign w:val="superscript"/>
        </w:rPr>
        <w:t>b</w:t>
      </w:r>
      <w:r w:rsidR="00A01630">
        <w:rPr>
          <w:rFonts w:ascii="Times New Roman" w:hAnsi="Times New Roman" w:cs="Times New Roman"/>
          <w:color w:val="000000" w:themeColor="text1"/>
          <w:sz w:val="16"/>
          <w:szCs w:val="16"/>
        </w:rPr>
        <w:t>I</w:t>
      </w:r>
      <w:r w:rsidR="00A01630" w:rsidRPr="00602058">
        <w:rPr>
          <w:rFonts w:ascii="Times New Roman" w:hAnsi="Times New Roman" w:cs="Times New Roman"/>
          <w:color w:val="000000" w:themeColor="text1"/>
          <w:sz w:val="16"/>
          <w:szCs w:val="16"/>
        </w:rPr>
        <w:t>ndividual Transferable Quota</w:t>
      </w:r>
      <w:r w:rsidR="00A01630">
        <w:rPr>
          <w:rFonts w:ascii="Times New Roman" w:hAnsi="Times New Roman" w:cs="Times New Roman"/>
          <w:color w:val="000000" w:themeColor="text1"/>
          <w:sz w:val="16"/>
          <w:szCs w:val="16"/>
        </w:rPr>
        <w:t xml:space="preserve"> (ITQ)</w:t>
      </w:r>
    </w:p>
    <w:p w14:paraId="7A64EC28" w14:textId="2A828889" w:rsidR="004045BD" w:rsidRPr="00602058" w:rsidRDefault="00C13270" w:rsidP="00C13270">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vertAlign w:val="superscript"/>
        </w:rPr>
        <w:t>c</w:t>
      </w:r>
      <w:r w:rsidR="00BC180D">
        <w:rPr>
          <w:rFonts w:ascii="Times New Roman" w:hAnsi="Times New Roman" w:cs="Times New Roman"/>
          <w:color w:val="000000" w:themeColor="text1"/>
          <w:sz w:val="16"/>
          <w:szCs w:val="16"/>
        </w:rPr>
        <w:t>R</w:t>
      </w:r>
      <w:r w:rsidR="00351247">
        <w:rPr>
          <w:rFonts w:ascii="Times New Roman" w:hAnsi="Times New Roman" w:cs="Times New Roman"/>
          <w:color w:val="000000" w:themeColor="text1"/>
          <w:sz w:val="16"/>
          <w:szCs w:val="16"/>
        </w:rPr>
        <w:t>ockfish Conservation Area (RCA)</w:t>
      </w:r>
      <w:r w:rsidR="004045BD" w:rsidRPr="00602058">
        <w:rPr>
          <w:rFonts w:ascii="Times New Roman" w:hAnsi="Times New Roman" w:cs="Times New Roman"/>
          <w:color w:val="000000" w:themeColor="text1"/>
          <w:sz w:val="16"/>
          <w:szCs w:val="16"/>
        </w:rPr>
        <w:br w:type="page"/>
      </w:r>
    </w:p>
    <w:p w14:paraId="330CB5E5" w14:textId="194F0C87" w:rsidR="003E70ED" w:rsidRPr="00272F40" w:rsidRDefault="003E70ED" w:rsidP="00145B28">
      <w:pPr>
        <w:spacing w:line="240" w:lineRule="auto"/>
        <w:jc w:val="both"/>
        <w:rPr>
          <w:rFonts w:ascii="Times New Roman" w:hAnsi="Times New Roman" w:cs="Times New Roman"/>
          <w:color w:val="000000" w:themeColor="text1"/>
          <w:szCs w:val="22"/>
        </w:rPr>
      </w:pPr>
      <w:bookmarkStart w:id="18" w:name="_Ref440532125"/>
      <w:bookmarkStart w:id="19" w:name="_Ref441575955"/>
      <w:commentRangeStart w:id="20"/>
      <w:r w:rsidRPr="00272F40">
        <w:rPr>
          <w:rFonts w:ascii="Times New Roman" w:hAnsi="Times New Roman" w:cs="Times New Roman"/>
          <w:color w:val="000000" w:themeColor="text1"/>
          <w:szCs w:val="22"/>
        </w:rPr>
        <w:lastRenderedPageBreak/>
        <w:t xml:space="preserve">Table </w:t>
      </w:r>
      <w:r w:rsidRPr="00272F40">
        <w:rPr>
          <w:rFonts w:ascii="Times New Roman" w:hAnsi="Times New Roman" w:cs="Times New Roman"/>
          <w:color w:val="000000" w:themeColor="text1"/>
          <w:szCs w:val="22"/>
        </w:rPr>
        <w:fldChar w:fldCharType="begin"/>
      </w:r>
      <w:r w:rsidRPr="00272F40">
        <w:rPr>
          <w:rFonts w:ascii="Times New Roman" w:hAnsi="Times New Roman" w:cs="Times New Roman"/>
          <w:color w:val="000000" w:themeColor="text1"/>
          <w:szCs w:val="22"/>
        </w:rPr>
        <w:instrText xml:space="preserve"> SEQ Table \* MERGEFORMAT </w:instrText>
      </w:r>
      <w:r w:rsidRPr="00272F40">
        <w:rPr>
          <w:rFonts w:ascii="Times New Roman" w:hAnsi="Times New Roman" w:cs="Times New Roman"/>
          <w:color w:val="000000" w:themeColor="text1"/>
          <w:szCs w:val="22"/>
        </w:rPr>
        <w:fldChar w:fldCharType="separate"/>
      </w:r>
      <w:r w:rsidR="00B20EC7">
        <w:rPr>
          <w:rFonts w:ascii="Times New Roman" w:hAnsi="Times New Roman" w:cs="Times New Roman"/>
          <w:noProof/>
          <w:color w:val="000000" w:themeColor="text1"/>
          <w:szCs w:val="22"/>
        </w:rPr>
        <w:t>3</w:t>
      </w:r>
      <w:r w:rsidRPr="00272F40">
        <w:rPr>
          <w:rFonts w:ascii="Times New Roman" w:hAnsi="Times New Roman" w:cs="Times New Roman"/>
          <w:color w:val="000000" w:themeColor="text1"/>
          <w:szCs w:val="22"/>
        </w:rPr>
        <w:fldChar w:fldCharType="end"/>
      </w:r>
      <w:bookmarkEnd w:id="15"/>
      <w:bookmarkEnd w:id="18"/>
      <w:bookmarkEnd w:id="19"/>
      <w:r w:rsidRPr="00272F40">
        <w:rPr>
          <w:rFonts w:ascii="Times New Roman" w:hAnsi="Times New Roman" w:cs="Times New Roman"/>
          <w:color w:val="000000" w:themeColor="text1"/>
          <w:szCs w:val="22"/>
        </w:rPr>
        <w:t xml:space="preserve">. </w:t>
      </w:r>
      <w:commentRangeEnd w:id="20"/>
      <w:r w:rsidR="00C61400">
        <w:rPr>
          <w:rStyle w:val="CommentReference"/>
        </w:rPr>
        <w:commentReference w:id="20"/>
      </w:r>
      <w:r w:rsidR="004442E0" w:rsidRPr="00272F40">
        <w:rPr>
          <w:rFonts w:ascii="Times New Roman" w:hAnsi="Times New Roman" w:cs="Times New Roman"/>
          <w:color w:val="000000" w:themeColor="text1"/>
          <w:szCs w:val="22"/>
        </w:rPr>
        <w:t xml:space="preserve">Mean economic </w:t>
      </w:r>
      <w:r w:rsidR="00FC66F6" w:rsidRPr="00272F40">
        <w:rPr>
          <w:rFonts w:ascii="Times New Roman" w:hAnsi="Times New Roman" w:cs="Times New Roman"/>
          <w:color w:val="000000" w:themeColor="text1"/>
          <w:szCs w:val="22"/>
        </w:rPr>
        <w:t xml:space="preserve">and vessel characteristics for trawl vessels in the US West Coast sablefish fishery. Values are summarized by port group, where some sample sizes (n) are less than the total number of years (2009 to 2013) </w:t>
      </w:r>
      <w:r w:rsidR="00927A14" w:rsidRPr="00272F40">
        <w:rPr>
          <w:rFonts w:ascii="Times New Roman" w:hAnsi="Times New Roman" w:cs="Times New Roman"/>
          <w:color w:val="000000" w:themeColor="text1"/>
          <w:szCs w:val="22"/>
        </w:rPr>
        <w:t xml:space="preserve">to protect </w:t>
      </w:r>
      <w:r w:rsidR="00676829">
        <w:rPr>
          <w:rFonts w:ascii="Times New Roman" w:hAnsi="Times New Roman" w:cs="Times New Roman"/>
          <w:color w:val="000000" w:themeColor="text1"/>
          <w:szCs w:val="22"/>
        </w:rPr>
        <w:t>data</w:t>
      </w:r>
      <w:r w:rsidR="00676829" w:rsidRPr="00272F40">
        <w:rPr>
          <w:rFonts w:ascii="Times New Roman" w:hAnsi="Times New Roman" w:cs="Times New Roman"/>
          <w:color w:val="000000" w:themeColor="text1"/>
          <w:szCs w:val="22"/>
        </w:rPr>
        <w:t xml:space="preserve"> </w:t>
      </w:r>
      <w:r w:rsidRPr="00272F40">
        <w:rPr>
          <w:rFonts w:ascii="Times New Roman" w:hAnsi="Times New Roman" w:cs="Times New Roman"/>
          <w:color w:val="000000" w:themeColor="text1"/>
          <w:szCs w:val="22"/>
        </w:rPr>
        <w:t>confidentiality.</w:t>
      </w:r>
      <w:r w:rsidR="00701B3E" w:rsidRPr="00272F40">
        <w:rPr>
          <w:rFonts w:ascii="Times New Roman" w:hAnsi="Times New Roman" w:cs="Times New Roman"/>
          <w:color w:val="000000" w:themeColor="text1"/>
          <w:szCs w:val="22"/>
        </w:rPr>
        <w:t xml:space="preserve"> </w:t>
      </w:r>
      <w:r w:rsidR="00FC66F6" w:rsidRPr="00272F40">
        <w:rPr>
          <w:rFonts w:ascii="Times New Roman" w:hAnsi="Times New Roman" w:cs="Times New Roman"/>
          <w:color w:val="000000" w:themeColor="text1"/>
          <w:szCs w:val="22"/>
        </w:rPr>
        <w:t>V</w:t>
      </w:r>
      <w:r w:rsidR="00927A14" w:rsidRPr="00272F40">
        <w:rPr>
          <w:rFonts w:ascii="Times New Roman" w:hAnsi="Times New Roman" w:cs="Times New Roman"/>
          <w:color w:val="000000" w:themeColor="text1"/>
          <w:szCs w:val="22"/>
        </w:rPr>
        <w:t>essels were assigned to port</w:t>
      </w:r>
      <w:r w:rsidR="00FC66F6" w:rsidRPr="00272F40">
        <w:rPr>
          <w:rFonts w:ascii="Times New Roman" w:hAnsi="Times New Roman" w:cs="Times New Roman"/>
          <w:color w:val="000000" w:themeColor="text1"/>
          <w:szCs w:val="22"/>
        </w:rPr>
        <w:t xml:space="preserve"> group</w:t>
      </w:r>
      <w:r w:rsidR="00927A14" w:rsidRPr="00272F40">
        <w:rPr>
          <w:rFonts w:ascii="Times New Roman" w:hAnsi="Times New Roman" w:cs="Times New Roman"/>
          <w:color w:val="000000" w:themeColor="text1"/>
          <w:szCs w:val="22"/>
        </w:rPr>
        <w:t xml:space="preserve">s based on the port for which they had the highest ex-vessel </w:t>
      </w:r>
      <w:r w:rsidR="00FC66F6" w:rsidRPr="00272F40">
        <w:rPr>
          <w:rFonts w:ascii="Times New Roman" w:hAnsi="Times New Roman" w:cs="Times New Roman"/>
          <w:color w:val="000000" w:themeColor="text1"/>
          <w:szCs w:val="22"/>
        </w:rPr>
        <w:t xml:space="preserve">revenue </w:t>
      </w:r>
      <w:r w:rsidR="00927A14" w:rsidRPr="00272F40">
        <w:rPr>
          <w:rFonts w:ascii="Times New Roman" w:hAnsi="Times New Roman" w:cs="Times New Roman"/>
          <w:color w:val="000000" w:themeColor="text1"/>
          <w:szCs w:val="22"/>
        </w:rPr>
        <w:t>in that year.</w:t>
      </w:r>
    </w:p>
    <w:tbl>
      <w:tblPr>
        <w:tblW w:w="4622" w:type="pct"/>
        <w:jc w:val="center"/>
        <w:tblLook w:val="07E0" w:firstRow="1" w:lastRow="1" w:firstColumn="1" w:lastColumn="1" w:noHBand="1" w:noVBand="1"/>
      </w:tblPr>
      <w:tblGrid>
        <w:gridCol w:w="2320"/>
        <w:gridCol w:w="326"/>
        <w:gridCol w:w="1537"/>
        <w:gridCol w:w="1742"/>
        <w:gridCol w:w="693"/>
        <w:gridCol w:w="995"/>
        <w:gridCol w:w="1039"/>
      </w:tblGrid>
      <w:tr w:rsidR="001B0363" w:rsidRPr="00272F40" w14:paraId="3DD1A0E7" w14:textId="77777777" w:rsidTr="00897688">
        <w:trPr>
          <w:jc w:val="center"/>
        </w:trPr>
        <w:tc>
          <w:tcPr>
            <w:tcW w:w="0" w:type="auto"/>
            <w:tcBorders>
              <w:top w:val="single" w:sz="4" w:space="0" w:color="auto"/>
              <w:bottom w:val="single" w:sz="2" w:space="0" w:color="auto"/>
            </w:tcBorders>
          </w:tcPr>
          <w:p w14:paraId="78BCE6F5" w14:textId="5DE884C1" w:rsidR="003E70ED" w:rsidRPr="00272F40" w:rsidRDefault="003E70ED" w:rsidP="00897688">
            <w:pPr>
              <w:pStyle w:val="Compact"/>
              <w:rPr>
                <w:rFonts w:ascii="Times New Roman" w:hAnsi="Times New Roman" w:cs="Times New Roman"/>
                <w:sz w:val="22"/>
                <w:szCs w:val="22"/>
              </w:rPr>
            </w:pPr>
            <w:r w:rsidRPr="00272F40">
              <w:rPr>
                <w:rFonts w:ascii="Times New Roman" w:hAnsi="Times New Roman" w:cs="Times New Roman"/>
                <w:sz w:val="22"/>
                <w:szCs w:val="22"/>
              </w:rPr>
              <w:t>Port group</w:t>
            </w:r>
          </w:p>
        </w:tc>
        <w:tc>
          <w:tcPr>
            <w:tcW w:w="0" w:type="auto"/>
            <w:tcBorders>
              <w:top w:val="single" w:sz="4" w:space="0" w:color="auto"/>
              <w:bottom w:val="single" w:sz="2" w:space="0" w:color="auto"/>
            </w:tcBorders>
          </w:tcPr>
          <w:p w14:paraId="01F545F6" w14:textId="77777777" w:rsidR="003E70ED" w:rsidRPr="00272F40" w:rsidRDefault="003E70ED" w:rsidP="00897688">
            <w:pPr>
              <w:pStyle w:val="Compact"/>
              <w:rPr>
                <w:rFonts w:ascii="Times New Roman" w:hAnsi="Times New Roman" w:cs="Times New Roman"/>
                <w:sz w:val="22"/>
                <w:szCs w:val="22"/>
              </w:rPr>
            </w:pPr>
            <w:r w:rsidRPr="00272F40">
              <w:rPr>
                <w:rFonts w:ascii="Times New Roman" w:hAnsi="Times New Roman" w:cs="Times New Roman"/>
                <w:sz w:val="22"/>
                <w:szCs w:val="22"/>
              </w:rPr>
              <w:t>n</w:t>
            </w:r>
          </w:p>
        </w:tc>
        <w:tc>
          <w:tcPr>
            <w:tcW w:w="0" w:type="auto"/>
            <w:tcBorders>
              <w:top w:val="single" w:sz="4" w:space="0" w:color="auto"/>
              <w:bottom w:val="single" w:sz="2" w:space="0" w:color="auto"/>
            </w:tcBorders>
          </w:tcPr>
          <w:p w14:paraId="398992B5" w14:textId="4DCF698A" w:rsidR="003E70ED" w:rsidRPr="00272F40" w:rsidRDefault="003E70ED" w:rsidP="00897688">
            <w:pPr>
              <w:pStyle w:val="Compact"/>
              <w:rPr>
                <w:rFonts w:ascii="Times New Roman" w:hAnsi="Times New Roman" w:cs="Times New Roman"/>
                <w:sz w:val="22"/>
                <w:szCs w:val="22"/>
              </w:rPr>
            </w:pPr>
            <w:r w:rsidRPr="00272F40">
              <w:rPr>
                <w:rFonts w:ascii="Times New Roman" w:hAnsi="Times New Roman" w:cs="Times New Roman"/>
                <w:sz w:val="22"/>
                <w:szCs w:val="22"/>
              </w:rPr>
              <w:t>Fixed costs</w:t>
            </w:r>
            <w:r w:rsidR="001B0363">
              <w:rPr>
                <w:rFonts w:ascii="Times New Roman" w:hAnsi="Times New Roman" w:cs="Times New Roman"/>
                <w:sz w:val="22"/>
                <w:szCs w:val="22"/>
              </w:rPr>
              <w:t xml:space="preserve"> (USD)</w:t>
            </w:r>
          </w:p>
        </w:tc>
        <w:tc>
          <w:tcPr>
            <w:tcW w:w="0" w:type="auto"/>
            <w:tcBorders>
              <w:top w:val="single" w:sz="4" w:space="0" w:color="auto"/>
              <w:bottom w:val="single" w:sz="2" w:space="0" w:color="auto"/>
            </w:tcBorders>
          </w:tcPr>
          <w:p w14:paraId="6DCE0744" w14:textId="6F705AFB" w:rsidR="003E70ED" w:rsidRPr="00272F40" w:rsidRDefault="003E70ED" w:rsidP="00897688">
            <w:pPr>
              <w:pStyle w:val="Compact"/>
              <w:rPr>
                <w:rFonts w:ascii="Times New Roman" w:hAnsi="Times New Roman" w:cs="Times New Roman"/>
                <w:sz w:val="22"/>
                <w:szCs w:val="22"/>
              </w:rPr>
            </w:pPr>
            <w:r w:rsidRPr="00272F40">
              <w:rPr>
                <w:rFonts w:ascii="Times New Roman" w:hAnsi="Times New Roman" w:cs="Times New Roman"/>
                <w:sz w:val="22"/>
                <w:szCs w:val="22"/>
              </w:rPr>
              <w:t>Variable costs</w:t>
            </w:r>
            <w:r w:rsidR="001B0363">
              <w:rPr>
                <w:rFonts w:ascii="Times New Roman" w:hAnsi="Times New Roman" w:cs="Times New Roman"/>
                <w:sz w:val="22"/>
                <w:szCs w:val="22"/>
              </w:rPr>
              <w:t xml:space="preserve"> (USD)</w:t>
            </w:r>
          </w:p>
        </w:tc>
        <w:tc>
          <w:tcPr>
            <w:tcW w:w="0" w:type="auto"/>
            <w:tcBorders>
              <w:top w:val="single" w:sz="4" w:space="0" w:color="auto"/>
              <w:bottom w:val="single" w:sz="2" w:space="0" w:color="auto"/>
            </w:tcBorders>
          </w:tcPr>
          <w:p w14:paraId="13F9A08F" w14:textId="77777777" w:rsidR="003E70ED" w:rsidRPr="00272F40" w:rsidRDefault="003E70ED" w:rsidP="00897688">
            <w:pPr>
              <w:pStyle w:val="Compact"/>
              <w:rPr>
                <w:rFonts w:ascii="Times New Roman" w:hAnsi="Times New Roman" w:cs="Times New Roman"/>
                <w:sz w:val="22"/>
                <w:szCs w:val="22"/>
              </w:rPr>
            </w:pPr>
            <w:r w:rsidRPr="00272F40">
              <w:rPr>
                <w:rFonts w:ascii="Times New Roman" w:hAnsi="Times New Roman" w:cs="Times New Roman"/>
                <w:sz w:val="22"/>
                <w:szCs w:val="22"/>
              </w:rPr>
              <w:t>Crew</w:t>
            </w:r>
          </w:p>
        </w:tc>
        <w:tc>
          <w:tcPr>
            <w:tcW w:w="0" w:type="auto"/>
            <w:tcBorders>
              <w:top w:val="single" w:sz="4" w:space="0" w:color="auto"/>
              <w:bottom w:val="single" w:sz="2" w:space="0" w:color="auto"/>
            </w:tcBorders>
          </w:tcPr>
          <w:p w14:paraId="6A91544E" w14:textId="6EBB7AD8" w:rsidR="003E70ED" w:rsidRPr="00272F40" w:rsidRDefault="003E70ED" w:rsidP="00897688">
            <w:pPr>
              <w:pStyle w:val="Compact"/>
              <w:rPr>
                <w:rFonts w:ascii="Times New Roman" w:hAnsi="Times New Roman" w:cs="Times New Roman"/>
                <w:sz w:val="22"/>
                <w:szCs w:val="22"/>
              </w:rPr>
            </w:pPr>
            <w:r w:rsidRPr="00272F40">
              <w:rPr>
                <w:rFonts w:ascii="Times New Roman" w:hAnsi="Times New Roman" w:cs="Times New Roman"/>
                <w:sz w:val="22"/>
                <w:szCs w:val="22"/>
              </w:rPr>
              <w:t>Fuel</w:t>
            </w:r>
            <w:r w:rsidR="001B0363">
              <w:rPr>
                <w:rFonts w:ascii="Times New Roman" w:hAnsi="Times New Roman" w:cs="Times New Roman"/>
                <w:sz w:val="22"/>
                <w:szCs w:val="22"/>
              </w:rPr>
              <w:t xml:space="preserve"> (gal)</w:t>
            </w:r>
          </w:p>
        </w:tc>
        <w:tc>
          <w:tcPr>
            <w:tcW w:w="0" w:type="auto"/>
            <w:tcBorders>
              <w:top w:val="single" w:sz="4" w:space="0" w:color="auto"/>
              <w:bottom w:val="single" w:sz="2" w:space="0" w:color="auto"/>
            </w:tcBorders>
          </w:tcPr>
          <w:p w14:paraId="645C23AD" w14:textId="1303FC98" w:rsidR="003E70ED" w:rsidRPr="00272F40" w:rsidRDefault="003E70ED" w:rsidP="00897688">
            <w:pPr>
              <w:pStyle w:val="Compact"/>
              <w:rPr>
                <w:rFonts w:ascii="Times New Roman" w:hAnsi="Times New Roman" w:cs="Times New Roman"/>
                <w:sz w:val="22"/>
                <w:szCs w:val="22"/>
              </w:rPr>
            </w:pPr>
            <w:r w:rsidRPr="00272F40">
              <w:rPr>
                <w:rFonts w:ascii="Times New Roman" w:hAnsi="Times New Roman" w:cs="Times New Roman"/>
                <w:sz w:val="22"/>
                <w:szCs w:val="22"/>
              </w:rPr>
              <w:t>Speed</w:t>
            </w:r>
            <w:r w:rsidR="001B0363">
              <w:rPr>
                <w:rFonts w:ascii="Times New Roman" w:hAnsi="Times New Roman" w:cs="Times New Roman"/>
                <w:sz w:val="22"/>
                <w:szCs w:val="22"/>
              </w:rPr>
              <w:t xml:space="preserve"> (kn)</w:t>
            </w:r>
          </w:p>
        </w:tc>
      </w:tr>
      <w:tr w:rsidR="001B0363" w:rsidRPr="00272F40" w14:paraId="4D981509" w14:textId="77777777" w:rsidTr="00897688">
        <w:trPr>
          <w:jc w:val="center"/>
        </w:trPr>
        <w:tc>
          <w:tcPr>
            <w:tcW w:w="0" w:type="auto"/>
            <w:tcBorders>
              <w:top w:val="single" w:sz="2" w:space="0" w:color="auto"/>
            </w:tcBorders>
          </w:tcPr>
          <w:p w14:paraId="2E169DD4" w14:textId="7FB1CAE2" w:rsidR="006F662B" w:rsidRPr="00272F40" w:rsidRDefault="006F662B" w:rsidP="00897688">
            <w:pPr>
              <w:pStyle w:val="Compact"/>
              <w:rPr>
                <w:rFonts w:ascii="Times New Roman" w:hAnsi="Times New Roman" w:cs="Times New Roman"/>
                <w:sz w:val="22"/>
                <w:szCs w:val="22"/>
              </w:rPr>
            </w:pPr>
            <w:r w:rsidRPr="00272F40">
              <w:rPr>
                <w:rFonts w:ascii="Times New Roman" w:hAnsi="Times New Roman" w:cs="Times New Roman"/>
                <w:sz w:val="22"/>
                <w:szCs w:val="22"/>
              </w:rPr>
              <w:t>Astoria &amp; Tillamook</w:t>
            </w:r>
          </w:p>
        </w:tc>
        <w:tc>
          <w:tcPr>
            <w:tcW w:w="0" w:type="auto"/>
            <w:tcBorders>
              <w:top w:val="single" w:sz="2" w:space="0" w:color="auto"/>
            </w:tcBorders>
          </w:tcPr>
          <w:p w14:paraId="34B194AD" w14:textId="2025DA6A"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5</w:t>
            </w:r>
          </w:p>
        </w:tc>
        <w:tc>
          <w:tcPr>
            <w:tcW w:w="0" w:type="auto"/>
            <w:tcBorders>
              <w:top w:val="single" w:sz="2" w:space="0" w:color="auto"/>
            </w:tcBorders>
          </w:tcPr>
          <w:p w14:paraId="1BA16F57" w14:textId="495B1BBF"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8846</w:t>
            </w:r>
            <w:r w:rsidR="001B0363">
              <w:rPr>
                <w:rFonts w:ascii="Times New Roman" w:hAnsi="Times New Roman" w:cs="Times New Roman"/>
                <w:sz w:val="22"/>
                <w:szCs w:val="22"/>
              </w:rPr>
              <w:t>3</w:t>
            </w:r>
          </w:p>
        </w:tc>
        <w:tc>
          <w:tcPr>
            <w:tcW w:w="0" w:type="auto"/>
            <w:tcBorders>
              <w:top w:val="single" w:sz="2" w:space="0" w:color="auto"/>
            </w:tcBorders>
          </w:tcPr>
          <w:p w14:paraId="1B3922D1" w14:textId="3E34DC28"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32856</w:t>
            </w:r>
            <w:r w:rsidR="001B0363">
              <w:rPr>
                <w:rFonts w:ascii="Times New Roman" w:hAnsi="Times New Roman" w:cs="Times New Roman"/>
                <w:sz w:val="22"/>
                <w:szCs w:val="22"/>
              </w:rPr>
              <w:t>9</w:t>
            </w:r>
          </w:p>
        </w:tc>
        <w:tc>
          <w:tcPr>
            <w:tcW w:w="0" w:type="auto"/>
            <w:tcBorders>
              <w:top w:val="single" w:sz="2" w:space="0" w:color="auto"/>
            </w:tcBorders>
          </w:tcPr>
          <w:p w14:paraId="79F966F7" w14:textId="3E93A306"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1.90</w:t>
            </w:r>
          </w:p>
        </w:tc>
        <w:tc>
          <w:tcPr>
            <w:tcW w:w="0" w:type="auto"/>
            <w:tcBorders>
              <w:top w:val="single" w:sz="2" w:space="0" w:color="auto"/>
            </w:tcBorders>
          </w:tcPr>
          <w:p w14:paraId="6FF01706" w14:textId="35F6E1B3"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264.76</w:t>
            </w:r>
          </w:p>
        </w:tc>
        <w:tc>
          <w:tcPr>
            <w:tcW w:w="0" w:type="auto"/>
            <w:tcBorders>
              <w:top w:val="single" w:sz="2" w:space="0" w:color="auto"/>
            </w:tcBorders>
          </w:tcPr>
          <w:p w14:paraId="68B046C6" w14:textId="5BCE9571"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3.29</w:t>
            </w:r>
          </w:p>
        </w:tc>
      </w:tr>
      <w:tr w:rsidR="001B0363" w:rsidRPr="00272F40" w14:paraId="3D7793A6" w14:textId="77777777" w:rsidTr="00897688">
        <w:trPr>
          <w:jc w:val="center"/>
        </w:trPr>
        <w:tc>
          <w:tcPr>
            <w:tcW w:w="0" w:type="auto"/>
          </w:tcPr>
          <w:p w14:paraId="5E6BE4D1" w14:textId="7F8754C1" w:rsidR="006F662B" w:rsidRPr="00272F40" w:rsidRDefault="006F662B" w:rsidP="00897688">
            <w:pPr>
              <w:pStyle w:val="Compact"/>
              <w:rPr>
                <w:rFonts w:ascii="Times New Roman" w:hAnsi="Times New Roman" w:cs="Times New Roman"/>
                <w:sz w:val="22"/>
                <w:szCs w:val="22"/>
              </w:rPr>
            </w:pPr>
            <w:r w:rsidRPr="00272F40">
              <w:rPr>
                <w:rFonts w:ascii="Times New Roman" w:hAnsi="Times New Roman" w:cs="Times New Roman"/>
                <w:sz w:val="22"/>
                <w:szCs w:val="22"/>
              </w:rPr>
              <w:t>San Francisco &amp; Bodega Bay</w:t>
            </w:r>
          </w:p>
        </w:tc>
        <w:tc>
          <w:tcPr>
            <w:tcW w:w="0" w:type="auto"/>
          </w:tcPr>
          <w:p w14:paraId="6C360B00" w14:textId="2129346E"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3</w:t>
            </w:r>
          </w:p>
        </w:tc>
        <w:tc>
          <w:tcPr>
            <w:tcW w:w="0" w:type="auto"/>
          </w:tcPr>
          <w:p w14:paraId="70510079" w14:textId="65F6019A"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46217</w:t>
            </w:r>
          </w:p>
        </w:tc>
        <w:tc>
          <w:tcPr>
            <w:tcW w:w="0" w:type="auto"/>
          </w:tcPr>
          <w:p w14:paraId="6E8C1D5D" w14:textId="4EFECFE8"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11577</w:t>
            </w:r>
            <w:r w:rsidR="001B0363">
              <w:rPr>
                <w:rFonts w:ascii="Times New Roman" w:hAnsi="Times New Roman" w:cs="Times New Roman"/>
                <w:sz w:val="22"/>
                <w:szCs w:val="22"/>
              </w:rPr>
              <w:t>3</w:t>
            </w:r>
          </w:p>
        </w:tc>
        <w:tc>
          <w:tcPr>
            <w:tcW w:w="0" w:type="auto"/>
          </w:tcPr>
          <w:p w14:paraId="104F58EC" w14:textId="3120105A"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1.90</w:t>
            </w:r>
          </w:p>
        </w:tc>
        <w:tc>
          <w:tcPr>
            <w:tcW w:w="0" w:type="auto"/>
          </w:tcPr>
          <w:p w14:paraId="4F130B02" w14:textId="05CD1CFC"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376.27</w:t>
            </w:r>
          </w:p>
        </w:tc>
        <w:tc>
          <w:tcPr>
            <w:tcW w:w="0" w:type="auto"/>
          </w:tcPr>
          <w:p w14:paraId="289A2B30" w14:textId="5C6A5054"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2.37</w:t>
            </w:r>
          </w:p>
        </w:tc>
      </w:tr>
      <w:tr w:rsidR="001B0363" w:rsidRPr="00272F40" w14:paraId="1C10B799" w14:textId="77777777" w:rsidTr="00897688">
        <w:trPr>
          <w:jc w:val="center"/>
        </w:trPr>
        <w:tc>
          <w:tcPr>
            <w:tcW w:w="0" w:type="auto"/>
          </w:tcPr>
          <w:p w14:paraId="2F681E86" w14:textId="7A2A0A91" w:rsidR="006F662B" w:rsidRPr="00272F40" w:rsidRDefault="006F662B" w:rsidP="00897688">
            <w:pPr>
              <w:pStyle w:val="Compact"/>
              <w:rPr>
                <w:rFonts w:ascii="Times New Roman" w:hAnsi="Times New Roman" w:cs="Times New Roman"/>
                <w:sz w:val="22"/>
                <w:szCs w:val="22"/>
              </w:rPr>
            </w:pPr>
            <w:r w:rsidRPr="00272F40">
              <w:rPr>
                <w:rFonts w:ascii="Times New Roman" w:hAnsi="Times New Roman" w:cs="Times New Roman"/>
                <w:sz w:val="22"/>
                <w:szCs w:val="22"/>
              </w:rPr>
              <w:t>Coos Bay</w:t>
            </w:r>
          </w:p>
        </w:tc>
        <w:tc>
          <w:tcPr>
            <w:tcW w:w="0" w:type="auto"/>
          </w:tcPr>
          <w:p w14:paraId="4867BEA4" w14:textId="089DF78F"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w:t>
            </w:r>
          </w:p>
        </w:tc>
        <w:tc>
          <w:tcPr>
            <w:tcW w:w="0" w:type="auto"/>
          </w:tcPr>
          <w:p w14:paraId="4F0969C0" w14:textId="477DEFF7"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63002</w:t>
            </w:r>
          </w:p>
        </w:tc>
        <w:tc>
          <w:tcPr>
            <w:tcW w:w="0" w:type="auto"/>
          </w:tcPr>
          <w:p w14:paraId="372AD23A" w14:textId="38AD4462"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1361</w:t>
            </w:r>
            <w:r w:rsidR="001B0363">
              <w:rPr>
                <w:rFonts w:ascii="Times New Roman" w:hAnsi="Times New Roman" w:cs="Times New Roman"/>
                <w:sz w:val="22"/>
                <w:szCs w:val="22"/>
              </w:rPr>
              <w:t>20</w:t>
            </w:r>
          </w:p>
        </w:tc>
        <w:tc>
          <w:tcPr>
            <w:tcW w:w="0" w:type="auto"/>
          </w:tcPr>
          <w:p w14:paraId="00CFCEFF" w14:textId="55EF4353"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2.14</w:t>
            </w:r>
          </w:p>
        </w:tc>
        <w:tc>
          <w:tcPr>
            <w:tcW w:w="0" w:type="auto"/>
          </w:tcPr>
          <w:p w14:paraId="3F44AA89" w14:textId="5087E20F"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251.68</w:t>
            </w:r>
          </w:p>
        </w:tc>
        <w:tc>
          <w:tcPr>
            <w:tcW w:w="0" w:type="auto"/>
          </w:tcPr>
          <w:p w14:paraId="484F0F74" w14:textId="565340E2"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2.15</w:t>
            </w:r>
          </w:p>
        </w:tc>
      </w:tr>
      <w:tr w:rsidR="001B0363" w:rsidRPr="00272F40" w14:paraId="542AD307" w14:textId="77777777" w:rsidTr="00897688">
        <w:trPr>
          <w:jc w:val="center"/>
        </w:trPr>
        <w:tc>
          <w:tcPr>
            <w:tcW w:w="0" w:type="auto"/>
          </w:tcPr>
          <w:p w14:paraId="486035FC" w14:textId="2FFE89D1" w:rsidR="006F662B" w:rsidRPr="00272F40" w:rsidRDefault="006F662B" w:rsidP="00897688">
            <w:pPr>
              <w:pStyle w:val="Compact"/>
              <w:rPr>
                <w:rFonts w:ascii="Times New Roman" w:hAnsi="Times New Roman" w:cs="Times New Roman"/>
                <w:sz w:val="22"/>
                <w:szCs w:val="22"/>
              </w:rPr>
            </w:pPr>
            <w:r w:rsidRPr="00272F40">
              <w:rPr>
                <w:rFonts w:ascii="Times New Roman" w:hAnsi="Times New Roman" w:cs="Times New Roman"/>
                <w:sz w:val="22"/>
                <w:szCs w:val="22"/>
              </w:rPr>
              <w:t>Brookings &amp; Crescent City</w:t>
            </w:r>
          </w:p>
        </w:tc>
        <w:tc>
          <w:tcPr>
            <w:tcW w:w="0" w:type="auto"/>
          </w:tcPr>
          <w:p w14:paraId="2E03D060" w14:textId="4492C30D"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5</w:t>
            </w:r>
          </w:p>
        </w:tc>
        <w:tc>
          <w:tcPr>
            <w:tcW w:w="0" w:type="auto"/>
          </w:tcPr>
          <w:p w14:paraId="635DC5D2" w14:textId="714665C1" w:rsidR="006F662B" w:rsidRPr="00272F40" w:rsidRDefault="001B0363" w:rsidP="00897688">
            <w:pPr>
              <w:pStyle w:val="Compact"/>
              <w:jc w:val="right"/>
              <w:rPr>
                <w:rFonts w:ascii="Times New Roman" w:hAnsi="Times New Roman" w:cs="Times New Roman"/>
                <w:sz w:val="22"/>
                <w:szCs w:val="22"/>
              </w:rPr>
            </w:pPr>
            <w:r>
              <w:rPr>
                <w:rFonts w:ascii="Times New Roman" w:hAnsi="Times New Roman" w:cs="Times New Roman"/>
                <w:sz w:val="22"/>
                <w:szCs w:val="22"/>
              </w:rPr>
              <w:t>69383</w:t>
            </w:r>
          </w:p>
        </w:tc>
        <w:tc>
          <w:tcPr>
            <w:tcW w:w="0" w:type="auto"/>
          </w:tcPr>
          <w:p w14:paraId="1F7AE60D" w14:textId="19AE3209"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25462</w:t>
            </w:r>
            <w:r w:rsidR="001B0363">
              <w:rPr>
                <w:rFonts w:ascii="Times New Roman" w:hAnsi="Times New Roman" w:cs="Times New Roman"/>
                <w:sz w:val="22"/>
                <w:szCs w:val="22"/>
              </w:rPr>
              <w:t>8</w:t>
            </w:r>
          </w:p>
        </w:tc>
        <w:tc>
          <w:tcPr>
            <w:tcW w:w="0" w:type="auto"/>
          </w:tcPr>
          <w:p w14:paraId="48D8559E" w14:textId="186E0A89"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2.06</w:t>
            </w:r>
          </w:p>
        </w:tc>
        <w:tc>
          <w:tcPr>
            <w:tcW w:w="0" w:type="auto"/>
          </w:tcPr>
          <w:p w14:paraId="2E596085" w14:textId="47D7BE5E"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330.00</w:t>
            </w:r>
          </w:p>
        </w:tc>
        <w:tc>
          <w:tcPr>
            <w:tcW w:w="0" w:type="auto"/>
          </w:tcPr>
          <w:p w14:paraId="35D8AB27" w14:textId="654DBA83"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2.11</w:t>
            </w:r>
          </w:p>
        </w:tc>
      </w:tr>
      <w:tr w:rsidR="001B0363" w:rsidRPr="00272F40" w14:paraId="76D02338" w14:textId="77777777" w:rsidTr="00897688">
        <w:trPr>
          <w:jc w:val="center"/>
        </w:trPr>
        <w:tc>
          <w:tcPr>
            <w:tcW w:w="0" w:type="auto"/>
          </w:tcPr>
          <w:p w14:paraId="09EEA7E9" w14:textId="7C11B4C8" w:rsidR="006F662B" w:rsidRPr="00272F40" w:rsidRDefault="006F662B" w:rsidP="00897688">
            <w:pPr>
              <w:pStyle w:val="Compact"/>
              <w:rPr>
                <w:rFonts w:ascii="Times New Roman" w:hAnsi="Times New Roman" w:cs="Times New Roman"/>
                <w:sz w:val="22"/>
                <w:szCs w:val="22"/>
              </w:rPr>
            </w:pPr>
            <w:r w:rsidRPr="00272F40">
              <w:rPr>
                <w:rFonts w:ascii="Times New Roman" w:hAnsi="Times New Roman" w:cs="Times New Roman"/>
                <w:sz w:val="22"/>
                <w:szCs w:val="22"/>
              </w:rPr>
              <w:t>Eureka</w:t>
            </w:r>
          </w:p>
        </w:tc>
        <w:tc>
          <w:tcPr>
            <w:tcW w:w="0" w:type="auto"/>
          </w:tcPr>
          <w:p w14:paraId="23AC4C7E" w14:textId="2355AACF"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w:t>
            </w:r>
          </w:p>
        </w:tc>
        <w:tc>
          <w:tcPr>
            <w:tcW w:w="0" w:type="auto"/>
          </w:tcPr>
          <w:p w14:paraId="23FF561E" w14:textId="2A78DC60" w:rsidR="006F662B" w:rsidRPr="00272F40" w:rsidRDefault="001B0363" w:rsidP="00897688">
            <w:pPr>
              <w:pStyle w:val="Compact"/>
              <w:jc w:val="right"/>
              <w:rPr>
                <w:rFonts w:ascii="Times New Roman" w:hAnsi="Times New Roman" w:cs="Times New Roman"/>
                <w:sz w:val="22"/>
                <w:szCs w:val="22"/>
              </w:rPr>
            </w:pPr>
            <w:r>
              <w:rPr>
                <w:rFonts w:ascii="Times New Roman" w:hAnsi="Times New Roman" w:cs="Times New Roman"/>
                <w:sz w:val="22"/>
                <w:szCs w:val="22"/>
              </w:rPr>
              <w:t>78532</w:t>
            </w:r>
          </w:p>
        </w:tc>
        <w:tc>
          <w:tcPr>
            <w:tcW w:w="0" w:type="auto"/>
          </w:tcPr>
          <w:p w14:paraId="1597764C" w14:textId="70F31C07"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274664</w:t>
            </w:r>
          </w:p>
        </w:tc>
        <w:tc>
          <w:tcPr>
            <w:tcW w:w="0" w:type="auto"/>
          </w:tcPr>
          <w:p w14:paraId="6EA1FA54" w14:textId="287E2D26"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2.02</w:t>
            </w:r>
          </w:p>
        </w:tc>
        <w:tc>
          <w:tcPr>
            <w:tcW w:w="0" w:type="auto"/>
          </w:tcPr>
          <w:p w14:paraId="570D559C" w14:textId="35EB49D5"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222.92</w:t>
            </w:r>
          </w:p>
        </w:tc>
        <w:tc>
          <w:tcPr>
            <w:tcW w:w="0" w:type="auto"/>
          </w:tcPr>
          <w:p w14:paraId="359A2D7F" w14:textId="1E32DACE"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2.13</w:t>
            </w:r>
          </w:p>
        </w:tc>
      </w:tr>
      <w:tr w:rsidR="001B0363" w:rsidRPr="00272F40" w14:paraId="4C45D1D3" w14:textId="77777777" w:rsidTr="00897688">
        <w:trPr>
          <w:jc w:val="center"/>
        </w:trPr>
        <w:tc>
          <w:tcPr>
            <w:tcW w:w="0" w:type="auto"/>
          </w:tcPr>
          <w:p w14:paraId="29E4237D" w14:textId="5D8E2826" w:rsidR="006F662B" w:rsidRPr="00272F40" w:rsidRDefault="006F662B" w:rsidP="00897688">
            <w:pPr>
              <w:pStyle w:val="Compact"/>
              <w:rPr>
                <w:rFonts w:ascii="Times New Roman" w:hAnsi="Times New Roman" w:cs="Times New Roman"/>
                <w:sz w:val="22"/>
                <w:szCs w:val="22"/>
              </w:rPr>
            </w:pPr>
            <w:r w:rsidRPr="00272F40">
              <w:rPr>
                <w:rFonts w:ascii="Times New Roman" w:hAnsi="Times New Roman" w:cs="Times New Roman"/>
                <w:sz w:val="22"/>
                <w:szCs w:val="22"/>
              </w:rPr>
              <w:t>Fort Bragg</w:t>
            </w:r>
          </w:p>
        </w:tc>
        <w:tc>
          <w:tcPr>
            <w:tcW w:w="0" w:type="auto"/>
          </w:tcPr>
          <w:p w14:paraId="30324DE6" w14:textId="73897D03"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w:t>
            </w:r>
          </w:p>
        </w:tc>
        <w:tc>
          <w:tcPr>
            <w:tcW w:w="0" w:type="auto"/>
          </w:tcPr>
          <w:p w14:paraId="14E34214" w14:textId="0A112450"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120302</w:t>
            </w:r>
          </w:p>
        </w:tc>
        <w:tc>
          <w:tcPr>
            <w:tcW w:w="0" w:type="auto"/>
          </w:tcPr>
          <w:p w14:paraId="6D6AC4B7" w14:textId="57D30B8A"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22417</w:t>
            </w:r>
            <w:r w:rsidR="001B0363">
              <w:rPr>
                <w:rFonts w:ascii="Times New Roman" w:hAnsi="Times New Roman" w:cs="Times New Roman"/>
                <w:sz w:val="22"/>
                <w:szCs w:val="22"/>
              </w:rPr>
              <w:t>2</w:t>
            </w:r>
          </w:p>
        </w:tc>
        <w:tc>
          <w:tcPr>
            <w:tcW w:w="0" w:type="auto"/>
          </w:tcPr>
          <w:p w14:paraId="34099D50" w14:textId="35C0930C"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2.13</w:t>
            </w:r>
          </w:p>
        </w:tc>
        <w:tc>
          <w:tcPr>
            <w:tcW w:w="0" w:type="auto"/>
          </w:tcPr>
          <w:p w14:paraId="6FE4D137" w14:textId="264E6723"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299.09</w:t>
            </w:r>
          </w:p>
        </w:tc>
        <w:tc>
          <w:tcPr>
            <w:tcW w:w="0" w:type="auto"/>
          </w:tcPr>
          <w:p w14:paraId="383B0BF0" w14:textId="6A60E3FC"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3.28</w:t>
            </w:r>
          </w:p>
        </w:tc>
      </w:tr>
      <w:tr w:rsidR="001B0363" w:rsidRPr="00272F40" w14:paraId="44E95C2D" w14:textId="77777777" w:rsidTr="00897688">
        <w:trPr>
          <w:jc w:val="center"/>
        </w:trPr>
        <w:tc>
          <w:tcPr>
            <w:tcW w:w="0" w:type="auto"/>
          </w:tcPr>
          <w:p w14:paraId="2D8F6B1D" w14:textId="6FF66C44" w:rsidR="006F662B" w:rsidRPr="00272F40" w:rsidRDefault="006F662B" w:rsidP="00897688">
            <w:pPr>
              <w:pStyle w:val="Compact"/>
              <w:rPr>
                <w:rFonts w:ascii="Times New Roman" w:hAnsi="Times New Roman" w:cs="Times New Roman"/>
                <w:sz w:val="22"/>
                <w:szCs w:val="22"/>
              </w:rPr>
            </w:pPr>
            <w:r w:rsidRPr="00272F40">
              <w:rPr>
                <w:rFonts w:ascii="Times New Roman" w:hAnsi="Times New Roman" w:cs="Times New Roman"/>
                <w:sz w:val="22"/>
                <w:szCs w:val="22"/>
              </w:rPr>
              <w:t>Washington</w:t>
            </w:r>
          </w:p>
        </w:tc>
        <w:tc>
          <w:tcPr>
            <w:tcW w:w="0" w:type="auto"/>
          </w:tcPr>
          <w:p w14:paraId="720CFABE" w14:textId="4A387CF7"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4</w:t>
            </w:r>
          </w:p>
        </w:tc>
        <w:tc>
          <w:tcPr>
            <w:tcW w:w="0" w:type="auto"/>
          </w:tcPr>
          <w:p w14:paraId="76FC489A" w14:textId="12231572" w:rsidR="006F662B" w:rsidRPr="00272F40" w:rsidRDefault="001B0363" w:rsidP="00897688">
            <w:pPr>
              <w:pStyle w:val="Compact"/>
              <w:jc w:val="right"/>
              <w:rPr>
                <w:rFonts w:ascii="Times New Roman" w:hAnsi="Times New Roman" w:cs="Times New Roman"/>
                <w:sz w:val="22"/>
                <w:szCs w:val="22"/>
              </w:rPr>
            </w:pPr>
            <w:r>
              <w:rPr>
                <w:rFonts w:ascii="Times New Roman" w:hAnsi="Times New Roman" w:cs="Times New Roman"/>
                <w:sz w:val="22"/>
                <w:szCs w:val="22"/>
              </w:rPr>
              <w:t>235740</w:t>
            </w:r>
          </w:p>
        </w:tc>
        <w:tc>
          <w:tcPr>
            <w:tcW w:w="0" w:type="auto"/>
          </w:tcPr>
          <w:p w14:paraId="477A2645" w14:textId="4AA863E4"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4767</w:t>
            </w:r>
            <w:r w:rsidR="001B0363">
              <w:rPr>
                <w:rFonts w:ascii="Times New Roman" w:hAnsi="Times New Roman" w:cs="Times New Roman"/>
                <w:sz w:val="22"/>
                <w:szCs w:val="22"/>
              </w:rPr>
              <w:t>20</w:t>
            </w:r>
          </w:p>
        </w:tc>
        <w:tc>
          <w:tcPr>
            <w:tcW w:w="0" w:type="auto"/>
          </w:tcPr>
          <w:p w14:paraId="341AF551" w14:textId="5E158253"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2.35</w:t>
            </w:r>
          </w:p>
        </w:tc>
        <w:tc>
          <w:tcPr>
            <w:tcW w:w="0" w:type="auto"/>
          </w:tcPr>
          <w:p w14:paraId="0941EC83" w14:textId="71BF3CD3"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366.90</w:t>
            </w:r>
          </w:p>
        </w:tc>
        <w:tc>
          <w:tcPr>
            <w:tcW w:w="0" w:type="auto"/>
          </w:tcPr>
          <w:p w14:paraId="411B0707" w14:textId="57BFD98D"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3.13</w:t>
            </w:r>
          </w:p>
        </w:tc>
      </w:tr>
      <w:tr w:rsidR="001B0363" w:rsidRPr="00272F40" w14:paraId="16E5D146" w14:textId="77777777" w:rsidTr="00897688">
        <w:trPr>
          <w:jc w:val="center"/>
        </w:trPr>
        <w:tc>
          <w:tcPr>
            <w:tcW w:w="0" w:type="auto"/>
            <w:tcBorders>
              <w:bottom w:val="single" w:sz="4" w:space="0" w:color="auto"/>
            </w:tcBorders>
          </w:tcPr>
          <w:p w14:paraId="478212DF" w14:textId="74C441D9" w:rsidR="006F662B" w:rsidRPr="00272F40" w:rsidRDefault="006F662B" w:rsidP="00897688">
            <w:pPr>
              <w:pStyle w:val="Compact"/>
              <w:rPr>
                <w:rFonts w:ascii="Times New Roman" w:hAnsi="Times New Roman" w:cs="Times New Roman"/>
                <w:sz w:val="22"/>
                <w:szCs w:val="22"/>
              </w:rPr>
            </w:pPr>
            <w:r w:rsidRPr="00272F40">
              <w:rPr>
                <w:rFonts w:ascii="Times New Roman" w:hAnsi="Times New Roman" w:cs="Times New Roman"/>
                <w:sz w:val="22"/>
                <w:szCs w:val="22"/>
              </w:rPr>
              <w:t>Newport</w:t>
            </w:r>
          </w:p>
        </w:tc>
        <w:tc>
          <w:tcPr>
            <w:tcW w:w="0" w:type="auto"/>
            <w:tcBorders>
              <w:bottom w:val="single" w:sz="4" w:space="0" w:color="auto"/>
            </w:tcBorders>
          </w:tcPr>
          <w:p w14:paraId="641ADDC2" w14:textId="4BDCD6DD"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w:t>
            </w:r>
          </w:p>
        </w:tc>
        <w:tc>
          <w:tcPr>
            <w:tcW w:w="0" w:type="auto"/>
            <w:tcBorders>
              <w:bottom w:val="single" w:sz="4" w:space="0" w:color="auto"/>
            </w:tcBorders>
          </w:tcPr>
          <w:p w14:paraId="75BA5921" w14:textId="55130F42"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141720</w:t>
            </w:r>
          </w:p>
        </w:tc>
        <w:tc>
          <w:tcPr>
            <w:tcW w:w="0" w:type="auto"/>
            <w:tcBorders>
              <w:bottom w:val="single" w:sz="4" w:space="0" w:color="auto"/>
            </w:tcBorders>
          </w:tcPr>
          <w:p w14:paraId="08FA3849" w14:textId="1A45CED7"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2800</w:t>
            </w:r>
            <w:r w:rsidR="001B0363">
              <w:rPr>
                <w:rFonts w:ascii="Times New Roman" w:hAnsi="Times New Roman" w:cs="Times New Roman"/>
                <w:sz w:val="22"/>
                <w:szCs w:val="22"/>
              </w:rPr>
              <w:t>40</w:t>
            </w:r>
          </w:p>
        </w:tc>
        <w:tc>
          <w:tcPr>
            <w:tcW w:w="0" w:type="auto"/>
            <w:tcBorders>
              <w:bottom w:val="single" w:sz="4" w:space="0" w:color="auto"/>
            </w:tcBorders>
          </w:tcPr>
          <w:p w14:paraId="024DEE36" w14:textId="3D7257DB"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2.00</w:t>
            </w:r>
          </w:p>
        </w:tc>
        <w:tc>
          <w:tcPr>
            <w:tcW w:w="0" w:type="auto"/>
            <w:tcBorders>
              <w:bottom w:val="single" w:sz="4" w:space="0" w:color="auto"/>
            </w:tcBorders>
          </w:tcPr>
          <w:p w14:paraId="02B84F1C" w14:textId="5289DA93"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402.78</w:t>
            </w:r>
          </w:p>
        </w:tc>
        <w:tc>
          <w:tcPr>
            <w:tcW w:w="0" w:type="auto"/>
            <w:tcBorders>
              <w:bottom w:val="single" w:sz="4" w:space="0" w:color="auto"/>
            </w:tcBorders>
          </w:tcPr>
          <w:p w14:paraId="73BF8F35" w14:textId="5D420F9C" w:rsidR="006F662B" w:rsidRPr="00272F40" w:rsidRDefault="006F662B" w:rsidP="00897688">
            <w:pPr>
              <w:pStyle w:val="Compact"/>
              <w:jc w:val="right"/>
              <w:rPr>
                <w:rFonts w:ascii="Times New Roman" w:hAnsi="Times New Roman" w:cs="Times New Roman"/>
                <w:sz w:val="22"/>
                <w:szCs w:val="22"/>
              </w:rPr>
            </w:pPr>
            <w:r w:rsidRPr="00272F40">
              <w:rPr>
                <w:rFonts w:ascii="Times New Roman" w:hAnsi="Times New Roman" w:cs="Times New Roman"/>
                <w:sz w:val="22"/>
                <w:szCs w:val="22"/>
              </w:rPr>
              <w:t>2.67</w:t>
            </w:r>
          </w:p>
        </w:tc>
      </w:tr>
    </w:tbl>
    <w:p w14:paraId="2F06606B" w14:textId="09AAEAE9" w:rsidR="003E29F6" w:rsidRPr="00272F40" w:rsidRDefault="003E29F6" w:rsidP="00145B28">
      <w:pPr>
        <w:spacing w:line="240" w:lineRule="auto"/>
        <w:jc w:val="both"/>
        <w:rPr>
          <w:rFonts w:ascii="Times New Roman" w:hAnsi="Times New Roman" w:cs="Times New Roman"/>
          <w:color w:val="000000" w:themeColor="text1"/>
          <w:szCs w:val="22"/>
        </w:rPr>
      </w:pPr>
      <w:r w:rsidRPr="00272F40">
        <w:rPr>
          <w:rFonts w:ascii="Times New Roman" w:hAnsi="Times New Roman" w:cs="Times New Roman"/>
          <w:color w:val="000000" w:themeColor="text1"/>
          <w:szCs w:val="22"/>
        </w:rPr>
        <w:br w:type="page"/>
      </w:r>
    </w:p>
    <w:p w14:paraId="4FD904EB" w14:textId="72939604" w:rsidR="003E70ED" w:rsidRDefault="0024531A" w:rsidP="00145B28">
      <w:pPr>
        <w:spacing w:line="240" w:lineRule="auto"/>
        <w:jc w:val="both"/>
        <w:rPr>
          <w:rFonts w:ascii="Times New Roman" w:hAnsi="Times New Roman" w:cs="Times New Roman"/>
          <w:color w:val="000000" w:themeColor="text1"/>
          <w:szCs w:val="22"/>
        </w:rPr>
      </w:pPr>
      <w:bookmarkStart w:id="21" w:name="_Ref433696799"/>
      <w:bookmarkStart w:id="22" w:name="_Ref440553392"/>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B20EC7">
        <w:rPr>
          <w:rFonts w:ascii="Times New Roman" w:hAnsi="Times New Roman" w:cs="Times New Roman"/>
          <w:noProof/>
          <w:color w:val="000000" w:themeColor="text1"/>
          <w:szCs w:val="22"/>
        </w:rPr>
        <w:t>4</w:t>
      </w:r>
      <w:r>
        <w:rPr>
          <w:rFonts w:ascii="Times New Roman" w:hAnsi="Times New Roman" w:cs="Times New Roman"/>
          <w:color w:val="000000" w:themeColor="text1"/>
          <w:szCs w:val="22"/>
        </w:rPr>
        <w:fldChar w:fldCharType="end"/>
      </w:r>
      <w:bookmarkEnd w:id="21"/>
      <w:bookmarkEnd w:id="22"/>
      <w:r>
        <w:rPr>
          <w:rFonts w:ascii="Times New Roman" w:hAnsi="Times New Roman" w:cs="Times New Roman"/>
          <w:color w:val="000000" w:themeColor="text1"/>
          <w:szCs w:val="22"/>
        </w:rPr>
        <w:t xml:space="preserve">. Estimated </w:t>
      </w:r>
      <w:r w:rsidR="00A17B8D">
        <w:rPr>
          <w:rFonts w:ascii="Times New Roman" w:hAnsi="Times New Roman" w:cs="Times New Roman"/>
          <w:color w:val="000000" w:themeColor="text1"/>
          <w:szCs w:val="22"/>
        </w:rPr>
        <w:t>port group effects for the mean (</w:t>
      </w:r>
      <m:oMath>
        <m:r>
          <w:rPr>
            <w:rFonts w:ascii="Cambria Math" w:hAnsi="Cambria Math" w:cs="Times New Roman"/>
            <w:color w:val="000000" w:themeColor="text1"/>
            <w:szCs w:val="22"/>
          </w:rPr>
          <m:t>μ</m:t>
        </m:r>
      </m:oMath>
      <w:r w:rsidR="00A17B8D">
        <w:rPr>
          <w:rFonts w:ascii="Times New Roman" w:hAnsi="Times New Roman" w:cs="Times New Roman"/>
          <w:color w:val="000000" w:themeColor="text1"/>
          <w:szCs w:val="22"/>
        </w:rPr>
        <w:t>) and precision (</w:t>
      </w:r>
      <m:oMath>
        <m:r>
          <w:rPr>
            <w:rFonts w:ascii="Cambria Math" w:hAnsi="Cambria Math" w:cs="Times New Roman"/>
            <w:color w:val="000000" w:themeColor="text1"/>
            <w:szCs w:val="22"/>
          </w:rPr>
          <m:t>ϕ</m:t>
        </m:r>
      </m:oMath>
      <w:r w:rsidR="00A17B8D">
        <w:rPr>
          <w:rFonts w:ascii="Times New Roman" w:hAnsi="Times New Roman" w:cs="Times New Roman"/>
          <w:color w:val="000000" w:themeColor="text1"/>
          <w:szCs w:val="22"/>
        </w:rPr>
        <w:t xml:space="preserve">) parameters. Parameters are reported for when all other covariates are held at their mean, </w:t>
      </w:r>
      <w:r w:rsidR="00E87006">
        <w:rPr>
          <w:rFonts w:ascii="Times New Roman" w:hAnsi="Times New Roman" w:cs="Times New Roman"/>
          <w:color w:val="000000" w:themeColor="text1"/>
          <w:szCs w:val="22"/>
        </w:rPr>
        <w:t>and values are reported relative to the reference port, Astoria and Tillamook</w:t>
      </w:r>
      <w:r w:rsidR="00A17B8D">
        <w:rPr>
          <w:rFonts w:ascii="Times New Roman" w:hAnsi="Times New Roman" w:cs="Times New Roman"/>
          <w:color w:val="000000" w:themeColor="text1"/>
          <w:szCs w:val="22"/>
        </w:rPr>
        <w:t>.</w:t>
      </w:r>
      <w:r w:rsidR="00E87006">
        <w:rPr>
          <w:rFonts w:ascii="Times New Roman" w:hAnsi="Times New Roman" w:cs="Times New Roman"/>
          <w:color w:val="000000" w:themeColor="text1"/>
          <w:szCs w:val="22"/>
        </w:rPr>
        <w:t xml:space="preserve"> Port groups are listed geographically in order from north to south.</w:t>
      </w:r>
    </w:p>
    <w:tbl>
      <w:tblPr>
        <w:tblW w:w="0" w:type="auto"/>
        <w:jc w:val="center"/>
        <w:tblLook w:val="07E0" w:firstRow="1" w:lastRow="1" w:firstColumn="1" w:lastColumn="1" w:noHBand="1" w:noVBand="1"/>
      </w:tblPr>
      <w:tblGrid>
        <w:gridCol w:w="2966"/>
        <w:gridCol w:w="675"/>
        <w:gridCol w:w="675"/>
      </w:tblGrid>
      <w:tr w:rsidR="00E87006" w:rsidRPr="00E87006" w14:paraId="0CC35822" w14:textId="77777777" w:rsidTr="00D64EE9">
        <w:trPr>
          <w:jc w:val="center"/>
        </w:trPr>
        <w:tc>
          <w:tcPr>
            <w:tcW w:w="0" w:type="auto"/>
            <w:tcBorders>
              <w:top w:val="single" w:sz="4" w:space="0" w:color="auto"/>
              <w:bottom w:val="single" w:sz="2" w:space="0" w:color="auto"/>
            </w:tcBorders>
          </w:tcPr>
          <w:p w14:paraId="4E928254" w14:textId="23B2B1A2" w:rsidR="00E87006" w:rsidRPr="00E87006" w:rsidRDefault="00E87006" w:rsidP="00E87006">
            <w:pPr>
              <w:spacing w:line="240" w:lineRule="auto"/>
              <w:rPr>
                <w:rFonts w:ascii="Times New Roman" w:hAnsi="Times New Roman" w:cs="Times New Roman"/>
                <w:color w:val="000000" w:themeColor="text1"/>
                <w:szCs w:val="22"/>
                <w:lang w:val="en-US"/>
              </w:rPr>
            </w:pPr>
            <w:r w:rsidRPr="00E87006">
              <w:rPr>
                <w:rFonts w:ascii="Times New Roman" w:hAnsi="Times New Roman" w:cs="Times New Roman"/>
                <w:color w:val="000000" w:themeColor="text1"/>
                <w:szCs w:val="22"/>
                <w:lang w:val="en-US"/>
              </w:rPr>
              <w:t>port group</w:t>
            </w:r>
          </w:p>
        </w:tc>
        <w:tc>
          <w:tcPr>
            <w:tcW w:w="0" w:type="auto"/>
            <w:tcBorders>
              <w:top w:val="single" w:sz="4" w:space="0" w:color="auto"/>
              <w:bottom w:val="single" w:sz="2" w:space="0" w:color="auto"/>
            </w:tcBorders>
          </w:tcPr>
          <w:p w14:paraId="659E9D77" w14:textId="527B05F0" w:rsidR="00E87006" w:rsidRPr="00E87006" w:rsidRDefault="00E87006" w:rsidP="00E87006">
            <w:pPr>
              <w:spacing w:line="240" w:lineRule="auto"/>
              <w:jc w:val="center"/>
              <w:rPr>
                <w:rFonts w:ascii="Times New Roman" w:hAnsi="Times New Roman" w:cs="Times New Roman"/>
                <w:color w:val="000000" w:themeColor="text1"/>
                <w:szCs w:val="22"/>
                <w:lang w:val="en-US"/>
              </w:rPr>
            </w:pPr>
            <w:r w:rsidRPr="00E87006">
              <w:rPr>
                <w:rFonts w:ascii="Times New Roman" w:hAnsi="Times New Roman" w:cs="Times New Roman"/>
              </w:rPr>
              <w:t>μ</w:t>
            </w:r>
          </w:p>
        </w:tc>
        <w:tc>
          <w:tcPr>
            <w:tcW w:w="0" w:type="auto"/>
            <w:tcBorders>
              <w:top w:val="single" w:sz="4" w:space="0" w:color="auto"/>
              <w:bottom w:val="single" w:sz="2" w:space="0" w:color="auto"/>
            </w:tcBorders>
          </w:tcPr>
          <w:p w14:paraId="110BCCFA" w14:textId="0CC6E4D2" w:rsidR="00E87006" w:rsidRPr="00E87006" w:rsidRDefault="00E87006" w:rsidP="00E87006">
            <w:pPr>
              <w:spacing w:line="240" w:lineRule="auto"/>
              <w:jc w:val="center"/>
              <w:rPr>
                <w:rFonts w:ascii="Times New Roman" w:hAnsi="Times New Roman" w:cs="Times New Roman"/>
                <w:color w:val="000000" w:themeColor="text1"/>
                <w:szCs w:val="22"/>
                <w:lang w:val="en-US"/>
              </w:rPr>
            </w:pPr>
            <w:r w:rsidRPr="00E87006">
              <w:rPr>
                <w:rFonts w:ascii="Times New Roman" w:hAnsi="Times New Roman" w:cs="Times New Roman"/>
              </w:rPr>
              <w:t>ϕ</w:t>
            </w:r>
          </w:p>
        </w:tc>
      </w:tr>
      <w:tr w:rsidR="00E87006" w:rsidRPr="00E87006" w14:paraId="561180B7" w14:textId="77777777" w:rsidTr="00D64EE9">
        <w:trPr>
          <w:jc w:val="center"/>
        </w:trPr>
        <w:tc>
          <w:tcPr>
            <w:tcW w:w="0" w:type="auto"/>
            <w:tcBorders>
              <w:top w:val="single" w:sz="2" w:space="0" w:color="auto"/>
            </w:tcBorders>
          </w:tcPr>
          <w:p w14:paraId="3D18C481" w14:textId="710143EB" w:rsidR="00E87006" w:rsidRPr="00E87006" w:rsidRDefault="00E87006" w:rsidP="00E87006">
            <w:pPr>
              <w:spacing w:line="240" w:lineRule="auto"/>
              <w:rPr>
                <w:rFonts w:ascii="Times New Roman" w:hAnsi="Times New Roman" w:cs="Times New Roman"/>
                <w:color w:val="000000" w:themeColor="text1"/>
                <w:szCs w:val="22"/>
                <w:lang w:val="en-US"/>
              </w:rPr>
            </w:pPr>
            <w:r w:rsidRPr="00E87006">
              <w:rPr>
                <w:rFonts w:ascii="Times New Roman" w:hAnsi="Times New Roman" w:cs="Times New Roman"/>
              </w:rPr>
              <w:t>Washington</w:t>
            </w:r>
          </w:p>
        </w:tc>
        <w:tc>
          <w:tcPr>
            <w:tcW w:w="0" w:type="auto"/>
            <w:tcBorders>
              <w:top w:val="single" w:sz="2" w:space="0" w:color="auto"/>
            </w:tcBorders>
          </w:tcPr>
          <w:p w14:paraId="7A374C85" w14:textId="025CDC28"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-0.98</w:t>
            </w:r>
          </w:p>
        </w:tc>
        <w:tc>
          <w:tcPr>
            <w:tcW w:w="0" w:type="auto"/>
            <w:tcBorders>
              <w:top w:val="single" w:sz="2" w:space="0" w:color="auto"/>
            </w:tcBorders>
          </w:tcPr>
          <w:p w14:paraId="367F8B58" w14:textId="43CF4D74"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0.09</w:t>
            </w:r>
          </w:p>
        </w:tc>
      </w:tr>
      <w:tr w:rsidR="00E87006" w:rsidRPr="00E87006" w14:paraId="10384CCB" w14:textId="77777777" w:rsidTr="00D64EE9">
        <w:trPr>
          <w:jc w:val="center"/>
        </w:trPr>
        <w:tc>
          <w:tcPr>
            <w:tcW w:w="0" w:type="auto"/>
          </w:tcPr>
          <w:p w14:paraId="7883CCD6" w14:textId="49FD66DF" w:rsidR="00E87006" w:rsidRPr="00E87006" w:rsidRDefault="00E87006" w:rsidP="00E87006">
            <w:pPr>
              <w:spacing w:line="240" w:lineRule="auto"/>
              <w:rPr>
                <w:rFonts w:ascii="Times New Roman" w:hAnsi="Times New Roman" w:cs="Times New Roman"/>
                <w:color w:val="000000" w:themeColor="text1"/>
                <w:szCs w:val="22"/>
                <w:lang w:val="en-US"/>
              </w:rPr>
            </w:pPr>
            <w:r w:rsidRPr="00E87006">
              <w:rPr>
                <w:rFonts w:ascii="Times New Roman" w:hAnsi="Times New Roman" w:cs="Times New Roman"/>
              </w:rPr>
              <w:t>Newport</w:t>
            </w:r>
          </w:p>
        </w:tc>
        <w:tc>
          <w:tcPr>
            <w:tcW w:w="0" w:type="auto"/>
          </w:tcPr>
          <w:p w14:paraId="73561E35" w14:textId="2F2A6BBE"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-0.82</w:t>
            </w:r>
          </w:p>
        </w:tc>
        <w:tc>
          <w:tcPr>
            <w:tcW w:w="0" w:type="auto"/>
          </w:tcPr>
          <w:p w14:paraId="49D1C9D2" w14:textId="4A1FAEA8"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0.09</w:t>
            </w:r>
          </w:p>
        </w:tc>
      </w:tr>
      <w:tr w:rsidR="00E87006" w:rsidRPr="00E87006" w14:paraId="034D9EB9" w14:textId="77777777" w:rsidTr="00D64EE9">
        <w:trPr>
          <w:jc w:val="center"/>
        </w:trPr>
        <w:tc>
          <w:tcPr>
            <w:tcW w:w="0" w:type="auto"/>
          </w:tcPr>
          <w:p w14:paraId="5AE6B081" w14:textId="21095357" w:rsidR="00E87006" w:rsidRPr="00E87006" w:rsidRDefault="00E87006" w:rsidP="00E87006">
            <w:pPr>
              <w:spacing w:line="240" w:lineRule="auto"/>
              <w:rPr>
                <w:rFonts w:ascii="Times New Roman" w:hAnsi="Times New Roman" w:cs="Times New Roman"/>
                <w:color w:val="000000" w:themeColor="text1"/>
                <w:szCs w:val="22"/>
                <w:lang w:val="en-US"/>
              </w:rPr>
            </w:pPr>
            <w:r w:rsidRPr="00E87006">
              <w:rPr>
                <w:rFonts w:ascii="Times New Roman" w:hAnsi="Times New Roman" w:cs="Times New Roman"/>
              </w:rPr>
              <w:t>Brookings and Crescent City</w:t>
            </w:r>
          </w:p>
        </w:tc>
        <w:tc>
          <w:tcPr>
            <w:tcW w:w="0" w:type="auto"/>
          </w:tcPr>
          <w:p w14:paraId="5F0E3DDF" w14:textId="0737B1AB"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-0.71</w:t>
            </w:r>
          </w:p>
        </w:tc>
        <w:tc>
          <w:tcPr>
            <w:tcW w:w="0" w:type="auto"/>
          </w:tcPr>
          <w:p w14:paraId="40687B43" w14:textId="7F05680B"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0.14</w:t>
            </w:r>
          </w:p>
        </w:tc>
      </w:tr>
      <w:tr w:rsidR="00E87006" w:rsidRPr="00E87006" w14:paraId="55D50060" w14:textId="77777777" w:rsidTr="00D64EE9">
        <w:trPr>
          <w:jc w:val="center"/>
        </w:trPr>
        <w:tc>
          <w:tcPr>
            <w:tcW w:w="0" w:type="auto"/>
          </w:tcPr>
          <w:p w14:paraId="53CEC977" w14:textId="097A787B" w:rsidR="00E87006" w:rsidRPr="00E87006" w:rsidRDefault="00E87006" w:rsidP="00E87006">
            <w:pPr>
              <w:spacing w:line="240" w:lineRule="auto"/>
              <w:rPr>
                <w:rFonts w:ascii="Times New Roman" w:hAnsi="Times New Roman" w:cs="Times New Roman"/>
                <w:color w:val="000000" w:themeColor="text1"/>
                <w:szCs w:val="22"/>
                <w:lang w:val="en-US"/>
              </w:rPr>
            </w:pPr>
            <w:r w:rsidRPr="00E87006">
              <w:rPr>
                <w:rFonts w:ascii="Times New Roman" w:hAnsi="Times New Roman" w:cs="Times New Roman"/>
              </w:rPr>
              <w:t>Astoria and Tillamook</w:t>
            </w:r>
          </w:p>
        </w:tc>
        <w:tc>
          <w:tcPr>
            <w:tcW w:w="0" w:type="auto"/>
          </w:tcPr>
          <w:p w14:paraId="3F13C528" w14:textId="6EC6589D"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0.85</w:t>
            </w:r>
          </w:p>
        </w:tc>
        <w:tc>
          <w:tcPr>
            <w:tcW w:w="0" w:type="auto"/>
          </w:tcPr>
          <w:p w14:paraId="747F61BA" w14:textId="732F4374"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0.02</w:t>
            </w:r>
          </w:p>
        </w:tc>
      </w:tr>
      <w:tr w:rsidR="00E87006" w:rsidRPr="00E87006" w14:paraId="2D859D80" w14:textId="77777777" w:rsidTr="00D64EE9">
        <w:trPr>
          <w:jc w:val="center"/>
        </w:trPr>
        <w:tc>
          <w:tcPr>
            <w:tcW w:w="0" w:type="auto"/>
          </w:tcPr>
          <w:p w14:paraId="677C3A9D" w14:textId="76E11791" w:rsidR="00E87006" w:rsidRPr="00E87006" w:rsidRDefault="00E87006" w:rsidP="00E87006">
            <w:pPr>
              <w:spacing w:line="240" w:lineRule="auto"/>
              <w:rPr>
                <w:rFonts w:ascii="Times New Roman" w:hAnsi="Times New Roman" w:cs="Times New Roman"/>
                <w:color w:val="000000" w:themeColor="text1"/>
                <w:szCs w:val="22"/>
                <w:lang w:val="en-US"/>
              </w:rPr>
            </w:pPr>
            <w:r w:rsidRPr="00E87006">
              <w:rPr>
                <w:rFonts w:ascii="Times New Roman" w:hAnsi="Times New Roman" w:cs="Times New Roman"/>
              </w:rPr>
              <w:t>Coos Bay</w:t>
            </w:r>
          </w:p>
        </w:tc>
        <w:tc>
          <w:tcPr>
            <w:tcW w:w="0" w:type="auto"/>
          </w:tcPr>
          <w:p w14:paraId="23E18DC7" w14:textId="498FD34C"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-0.45</w:t>
            </w:r>
          </w:p>
        </w:tc>
        <w:tc>
          <w:tcPr>
            <w:tcW w:w="0" w:type="auto"/>
          </w:tcPr>
          <w:p w14:paraId="1F08BE9F" w14:textId="6C48C371"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0.13</w:t>
            </w:r>
          </w:p>
        </w:tc>
      </w:tr>
      <w:tr w:rsidR="00E87006" w:rsidRPr="00E87006" w14:paraId="22AC7750" w14:textId="77777777" w:rsidTr="00D64EE9">
        <w:trPr>
          <w:jc w:val="center"/>
        </w:trPr>
        <w:tc>
          <w:tcPr>
            <w:tcW w:w="0" w:type="auto"/>
          </w:tcPr>
          <w:p w14:paraId="79F7F2C4" w14:textId="48F38EF4" w:rsidR="00E87006" w:rsidRPr="00E87006" w:rsidRDefault="00E87006" w:rsidP="00E87006">
            <w:pPr>
              <w:spacing w:line="240" w:lineRule="auto"/>
              <w:rPr>
                <w:rFonts w:ascii="Times New Roman" w:hAnsi="Times New Roman" w:cs="Times New Roman"/>
                <w:color w:val="000000" w:themeColor="text1"/>
                <w:szCs w:val="22"/>
                <w:lang w:val="en-US"/>
              </w:rPr>
            </w:pPr>
            <w:r w:rsidRPr="00E87006">
              <w:rPr>
                <w:rFonts w:ascii="Times New Roman" w:hAnsi="Times New Roman" w:cs="Times New Roman"/>
              </w:rPr>
              <w:t>Eureka</w:t>
            </w:r>
          </w:p>
        </w:tc>
        <w:tc>
          <w:tcPr>
            <w:tcW w:w="0" w:type="auto"/>
          </w:tcPr>
          <w:p w14:paraId="38293D0B" w14:textId="20EA38F7"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-0.51</w:t>
            </w:r>
          </w:p>
        </w:tc>
        <w:tc>
          <w:tcPr>
            <w:tcW w:w="0" w:type="auto"/>
          </w:tcPr>
          <w:p w14:paraId="2117A1F2" w14:textId="6B85F3A7"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0.14</w:t>
            </w:r>
          </w:p>
        </w:tc>
      </w:tr>
      <w:tr w:rsidR="00E87006" w:rsidRPr="00E87006" w14:paraId="72F45FCD" w14:textId="77777777" w:rsidTr="00D64EE9">
        <w:trPr>
          <w:jc w:val="center"/>
        </w:trPr>
        <w:tc>
          <w:tcPr>
            <w:tcW w:w="0" w:type="auto"/>
            <w:tcBorders>
              <w:bottom w:val="single" w:sz="4" w:space="0" w:color="auto"/>
            </w:tcBorders>
          </w:tcPr>
          <w:p w14:paraId="4D6A0CF5" w14:textId="5D8881B4" w:rsidR="00E87006" w:rsidRPr="00E87006" w:rsidRDefault="00E87006" w:rsidP="00E87006">
            <w:pPr>
              <w:spacing w:line="240" w:lineRule="auto"/>
              <w:rPr>
                <w:rFonts w:ascii="Times New Roman" w:hAnsi="Times New Roman" w:cs="Times New Roman"/>
                <w:color w:val="000000" w:themeColor="text1"/>
                <w:szCs w:val="22"/>
                <w:lang w:val="en-US"/>
              </w:rPr>
            </w:pPr>
            <w:r w:rsidRPr="00E87006">
              <w:rPr>
                <w:rFonts w:ascii="Times New Roman" w:hAnsi="Times New Roman" w:cs="Times New Roman"/>
              </w:rPr>
              <w:t>San Francisco and Bodega Bay</w:t>
            </w:r>
          </w:p>
        </w:tc>
        <w:tc>
          <w:tcPr>
            <w:tcW w:w="0" w:type="auto"/>
            <w:tcBorders>
              <w:bottom w:val="single" w:sz="4" w:space="0" w:color="auto"/>
            </w:tcBorders>
          </w:tcPr>
          <w:p w14:paraId="787FE51F" w14:textId="37B4F585"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-1.63</w:t>
            </w:r>
          </w:p>
        </w:tc>
        <w:tc>
          <w:tcPr>
            <w:tcW w:w="0" w:type="auto"/>
            <w:tcBorders>
              <w:bottom w:val="single" w:sz="4" w:space="0" w:color="auto"/>
            </w:tcBorders>
          </w:tcPr>
          <w:p w14:paraId="5D85D976" w14:textId="72BB0B0E" w:rsidR="00E87006" w:rsidRPr="00E87006" w:rsidRDefault="00E87006" w:rsidP="00E87006">
            <w:pPr>
              <w:spacing w:line="240" w:lineRule="auto"/>
              <w:jc w:val="right"/>
              <w:rPr>
                <w:rFonts w:ascii="Times New Roman" w:hAnsi="Times New Roman" w:cs="Times New Roman"/>
                <w:color w:val="000000" w:themeColor="text1"/>
                <w:szCs w:val="22"/>
                <w:lang w:val="en-US"/>
              </w:rPr>
            </w:pPr>
            <w:r w:rsidRPr="00E87006">
              <w:rPr>
                <w:rFonts w:ascii="Times New Roman" w:hAnsi="Times New Roman" w:cs="Times New Roman"/>
              </w:rPr>
              <w:t>-0.16</w:t>
            </w:r>
          </w:p>
        </w:tc>
      </w:tr>
    </w:tbl>
    <w:p w14:paraId="4EB60B83" w14:textId="77777777" w:rsidR="0024531A" w:rsidRDefault="0024531A" w:rsidP="00145B28">
      <w:pPr>
        <w:spacing w:line="240" w:lineRule="auto"/>
        <w:jc w:val="both"/>
        <w:rPr>
          <w:rFonts w:ascii="Times New Roman" w:hAnsi="Times New Roman" w:cs="Times New Roman"/>
          <w:color w:val="000000" w:themeColor="text1"/>
          <w:szCs w:val="22"/>
        </w:rPr>
      </w:pPr>
    </w:p>
    <w:p w14:paraId="50F0A402" w14:textId="77777777" w:rsidR="006E35ED" w:rsidRDefault="006E35ED"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6EA1AD51" w14:textId="77777777" w:rsidR="00351247" w:rsidRDefault="00351247" w:rsidP="00351247">
      <w:pPr>
        <w:spacing w:line="240" w:lineRule="auto"/>
        <w:jc w:val="both"/>
        <w:rPr>
          <w:rFonts w:ascii="Times New Roman" w:hAnsi="Times New Roman" w:cs="Times New Roman"/>
          <w:color w:val="000000" w:themeColor="text1"/>
          <w:szCs w:val="22"/>
        </w:rPr>
      </w:pPr>
      <w:bookmarkStart w:id="23" w:name="_Ref439236896"/>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B20EC7">
        <w:rPr>
          <w:rFonts w:ascii="Times New Roman" w:hAnsi="Times New Roman" w:cs="Times New Roman"/>
          <w:noProof/>
          <w:color w:val="000000" w:themeColor="text1"/>
          <w:szCs w:val="22"/>
        </w:rPr>
        <w:t>5</w:t>
      </w:r>
      <w:r>
        <w:rPr>
          <w:rFonts w:ascii="Times New Roman" w:hAnsi="Times New Roman" w:cs="Times New Roman"/>
          <w:color w:val="000000" w:themeColor="text1"/>
          <w:szCs w:val="22"/>
        </w:rPr>
        <w:fldChar w:fldCharType="end"/>
      </w:r>
      <w:bookmarkEnd w:id="23"/>
      <w:r>
        <w:rPr>
          <w:rFonts w:ascii="Times New Roman" w:hAnsi="Times New Roman" w:cs="Times New Roman"/>
          <w:color w:val="000000" w:themeColor="text1"/>
          <w:szCs w:val="22"/>
        </w:rPr>
        <w:t>. Governance phases.</w:t>
      </w:r>
    </w:p>
    <w:p w14:paraId="4B82ECBE" w14:textId="77777777" w:rsidR="00351247" w:rsidRDefault="00351247" w:rsidP="00351247">
      <w:pPr>
        <w:spacing w:line="240" w:lineRule="auto"/>
        <w:jc w:val="both"/>
        <w:rPr>
          <w:rFonts w:ascii="Times New Roman" w:hAnsi="Times New Roman" w:cs="Times New Roman"/>
          <w:color w:val="000000" w:themeColor="text1"/>
          <w:szCs w:val="22"/>
        </w:rPr>
      </w:pPr>
      <w:r w:rsidRPr="006F662B">
        <w:rPr>
          <w:rFonts w:ascii="Times New Roman" w:hAnsi="Times New Roman" w:cs="Times New Roman"/>
          <w:color w:val="000000" w:themeColor="text1"/>
          <w:szCs w:val="22"/>
          <w:highlight w:val="yellow"/>
        </w:rPr>
        <w:t>Insert a table with the year and major sablefish management change or groundfish characteristic.</w:t>
      </w:r>
    </w:p>
    <w:p w14:paraId="78C119A6" w14:textId="77777777" w:rsidR="00351247" w:rsidRDefault="00351247" w:rsidP="00351247">
      <w:pPr>
        <w:spacing w:line="240" w:lineRule="auto"/>
        <w:jc w:val="both"/>
        <w:rPr>
          <w:rFonts w:ascii="Times New Roman" w:hAnsi="Times New Roman" w:cs="Times New Roman"/>
          <w:color w:val="000000" w:themeColor="text1"/>
          <w:szCs w:val="22"/>
        </w:rPr>
      </w:pPr>
    </w:p>
    <w:p w14:paraId="0A31C992" w14:textId="7B818DCA" w:rsidR="005B0222" w:rsidRPr="00543854" w:rsidRDefault="005B0222" w:rsidP="00145B28">
      <w:pPr>
        <w:spacing w:line="240" w:lineRule="auto"/>
        <w:jc w:val="both"/>
        <w:rPr>
          <w:rFonts w:ascii="Times New Roman" w:hAnsi="Times New Roman" w:cs="Times New Roman"/>
          <w:color w:val="000000" w:themeColor="text1"/>
          <w:szCs w:val="22"/>
        </w:rPr>
      </w:pPr>
      <w:r w:rsidRPr="00543854">
        <w:rPr>
          <w:rFonts w:ascii="Times New Roman" w:hAnsi="Times New Roman" w:cs="Times New Roman"/>
          <w:color w:val="000000" w:themeColor="text1"/>
          <w:szCs w:val="22"/>
        </w:rPr>
        <w:br w:type="page"/>
      </w:r>
    </w:p>
    <w:p w14:paraId="7A7A1CCB" w14:textId="464BC18E" w:rsidR="00B523F7" w:rsidRPr="00543854" w:rsidRDefault="00B523F7" w:rsidP="00145B28">
      <w:pPr>
        <w:spacing w:line="240" w:lineRule="auto"/>
        <w:jc w:val="both"/>
        <w:rPr>
          <w:rFonts w:ascii="Times New Roman" w:hAnsi="Times New Roman" w:cs="Times New Roman"/>
          <w:color w:val="000000" w:themeColor="text1"/>
          <w:szCs w:val="22"/>
        </w:rPr>
      </w:pPr>
      <w:bookmarkStart w:id="24" w:name="_Ref433441564"/>
      <w:r w:rsidRPr="00543854">
        <w:rPr>
          <w:rFonts w:ascii="Times New Roman" w:hAnsi="Times New Roman" w:cs="Times New Roman"/>
          <w:noProof/>
          <w:color w:val="000000" w:themeColor="text1"/>
          <w:szCs w:val="22"/>
        </w:rPr>
        <w:lastRenderedPageBreak/>
        <w:drawing>
          <wp:inline distT="0" distB="0" distL="0" distR="0" wp14:anchorId="69D09530" wp14:editId="6E95C77D">
            <wp:extent cx="5943600" cy="5943600"/>
            <wp:effectExtent l="0" t="0" r="0" b="0"/>
            <wp:docPr id="3" name="Picture 3" descr="C:\wcd\results\sablefishla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cd\results\sablefishland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B7584D6" w14:textId="170FF5A9" w:rsidR="0060159E" w:rsidRPr="00543854" w:rsidRDefault="0060159E" w:rsidP="00145B28">
      <w:pPr>
        <w:spacing w:line="240" w:lineRule="auto"/>
        <w:jc w:val="both"/>
        <w:rPr>
          <w:rFonts w:ascii="Times New Roman" w:hAnsi="Times New Roman" w:cs="Times New Roman"/>
          <w:color w:val="000000" w:themeColor="text1"/>
          <w:szCs w:val="22"/>
        </w:rPr>
      </w:pPr>
      <w:bookmarkStart w:id="25" w:name="_Ref440542720"/>
      <w:r w:rsidRPr="00543854">
        <w:rPr>
          <w:rFonts w:ascii="Times New Roman" w:hAnsi="Times New Roman" w:cs="Times New Roman"/>
          <w:color w:val="000000" w:themeColor="text1"/>
          <w:szCs w:val="22"/>
        </w:rPr>
        <w:t>Figure</w:t>
      </w:r>
      <w:r w:rsidR="0007701F" w:rsidRPr="00543854">
        <w:rPr>
          <w:rFonts w:ascii="Times New Roman" w:hAnsi="Times New Roman" w:cs="Times New Roman"/>
          <w:color w:val="000000" w:themeColor="text1"/>
          <w:szCs w:val="22"/>
        </w:rPr>
        <w:t xml:space="preserve"> </w:t>
      </w:r>
      <w:bookmarkStart w:id="26" w:name="landings"/>
      <w:r w:rsidR="00795949" w:rsidRPr="00543854">
        <w:rPr>
          <w:rFonts w:ascii="Times New Roman" w:hAnsi="Times New Roman" w:cs="Times New Roman"/>
          <w:color w:val="000000" w:themeColor="text1"/>
          <w:szCs w:val="22"/>
        </w:rPr>
        <w:fldChar w:fldCharType="begin"/>
      </w:r>
      <w:r w:rsidR="00795949" w:rsidRPr="00543854">
        <w:rPr>
          <w:rFonts w:ascii="Times New Roman" w:hAnsi="Times New Roman" w:cs="Times New Roman"/>
          <w:color w:val="000000" w:themeColor="text1"/>
          <w:szCs w:val="22"/>
        </w:rPr>
        <w:instrText xml:space="preserve"> SEQ Figure \* ARABIC </w:instrText>
      </w:r>
      <w:r w:rsidR="00795949" w:rsidRPr="00543854">
        <w:rPr>
          <w:rFonts w:ascii="Times New Roman" w:hAnsi="Times New Roman" w:cs="Times New Roman"/>
          <w:color w:val="000000" w:themeColor="text1"/>
          <w:szCs w:val="22"/>
        </w:rPr>
        <w:fldChar w:fldCharType="separate"/>
      </w:r>
      <w:r w:rsidR="00B20EC7">
        <w:rPr>
          <w:rFonts w:ascii="Times New Roman" w:hAnsi="Times New Roman" w:cs="Times New Roman"/>
          <w:noProof/>
          <w:color w:val="000000" w:themeColor="text1"/>
          <w:szCs w:val="22"/>
        </w:rPr>
        <w:t>1</w:t>
      </w:r>
      <w:r w:rsidR="00795949" w:rsidRPr="00543854">
        <w:rPr>
          <w:rFonts w:ascii="Times New Roman" w:hAnsi="Times New Roman" w:cs="Times New Roman"/>
          <w:color w:val="000000" w:themeColor="text1"/>
          <w:szCs w:val="22"/>
        </w:rPr>
        <w:fldChar w:fldCharType="end"/>
      </w:r>
      <w:bookmarkEnd w:id="24"/>
      <w:bookmarkEnd w:id="25"/>
      <w:bookmarkEnd w:id="26"/>
      <w:r w:rsidRPr="00543854">
        <w:rPr>
          <w:rFonts w:ascii="Times New Roman" w:hAnsi="Times New Roman" w:cs="Times New Roman"/>
          <w:color w:val="000000" w:themeColor="text1"/>
          <w:szCs w:val="22"/>
        </w:rPr>
        <w:t xml:space="preserve">. </w:t>
      </w:r>
      <w:r w:rsidR="004B15E6" w:rsidRPr="00543854">
        <w:rPr>
          <w:rFonts w:ascii="Times New Roman" w:hAnsi="Times New Roman" w:cs="Times New Roman"/>
          <w:color w:val="000000" w:themeColor="text1"/>
          <w:szCs w:val="22"/>
        </w:rPr>
        <w:t>Reconstructed sablefish landings</w:t>
      </w:r>
      <w:r w:rsidR="00832834" w:rsidRPr="00543854">
        <w:rPr>
          <w:rFonts w:ascii="Times New Roman" w:hAnsi="Times New Roman" w:cs="Times New Roman"/>
          <w:color w:val="000000" w:themeColor="text1"/>
          <w:szCs w:val="22"/>
        </w:rPr>
        <w:t xml:space="preserve"> (mt; </w:t>
      </w:r>
      <w:r w:rsidR="00676829" w:rsidRPr="00543854">
        <w:rPr>
          <w:rFonts w:ascii="Times New Roman" w:hAnsi="Times New Roman" w:cs="Times New Roman"/>
          <w:color w:val="000000" w:themeColor="text1"/>
          <w:szCs w:val="22"/>
        </w:rPr>
        <w:t xml:space="preserve">total </w:t>
      </w:r>
      <w:r w:rsidR="00832834" w:rsidRPr="00543854">
        <w:rPr>
          <w:rFonts w:ascii="Times New Roman" w:hAnsi="Times New Roman" w:cs="Times New Roman"/>
          <w:color w:val="000000" w:themeColor="text1"/>
          <w:szCs w:val="22"/>
        </w:rPr>
        <w:t xml:space="preserve">catches </w:t>
      </w:r>
      <w:r w:rsidR="00676829" w:rsidRPr="00543854">
        <w:rPr>
          <w:rFonts w:ascii="Times New Roman" w:hAnsi="Times New Roman" w:cs="Times New Roman"/>
          <w:color w:val="000000" w:themeColor="text1"/>
          <w:szCs w:val="22"/>
        </w:rPr>
        <w:t xml:space="preserve">less </w:t>
      </w:r>
      <w:r w:rsidR="00832834" w:rsidRPr="00543854">
        <w:rPr>
          <w:rFonts w:ascii="Times New Roman" w:hAnsi="Times New Roman" w:cs="Times New Roman"/>
          <w:color w:val="000000" w:themeColor="text1"/>
          <w:szCs w:val="22"/>
        </w:rPr>
        <w:t>discards)</w:t>
      </w:r>
      <w:r w:rsidR="004B15E6" w:rsidRPr="00543854">
        <w:rPr>
          <w:rFonts w:ascii="Times New Roman" w:hAnsi="Times New Roman" w:cs="Times New Roman"/>
          <w:color w:val="000000" w:themeColor="text1"/>
          <w:szCs w:val="22"/>
        </w:rPr>
        <w:t xml:space="preserve"> fro</w:t>
      </w:r>
      <w:r w:rsidR="0079618D" w:rsidRPr="00543854">
        <w:rPr>
          <w:rFonts w:ascii="Times New Roman" w:hAnsi="Times New Roman" w:cs="Times New Roman"/>
          <w:color w:val="000000" w:themeColor="text1"/>
          <w:szCs w:val="22"/>
        </w:rPr>
        <w:t xml:space="preserve">m </w:t>
      </w:r>
      <w:r w:rsidR="004B15E6" w:rsidRPr="00543854">
        <w:rPr>
          <w:rFonts w:ascii="Times New Roman" w:hAnsi="Times New Roman" w:cs="Times New Roman"/>
          <w:color w:val="000000" w:themeColor="text1"/>
          <w:szCs w:val="22"/>
        </w:rPr>
        <w:t>1</w:t>
      </w:r>
      <w:r w:rsidR="0079618D" w:rsidRPr="00543854">
        <w:rPr>
          <w:rFonts w:ascii="Times New Roman" w:hAnsi="Times New Roman" w:cs="Times New Roman"/>
          <w:color w:val="000000" w:themeColor="text1"/>
          <w:szCs w:val="22"/>
        </w:rPr>
        <w:t>900 to 2014</w:t>
      </w:r>
      <w:r w:rsidR="00832834" w:rsidRPr="00543854">
        <w:rPr>
          <w:rFonts w:ascii="Times New Roman" w:hAnsi="Times New Roman" w:cs="Times New Roman"/>
          <w:color w:val="000000" w:themeColor="text1"/>
          <w:szCs w:val="22"/>
        </w:rPr>
        <w:t xml:space="preserve"> by gear type: hook and line, pot, and trawl for all fisheries</w:t>
      </w:r>
      <w:r w:rsidR="00320EE3" w:rsidRPr="00543854">
        <w:rPr>
          <w:rFonts w:ascii="Times New Roman" w:hAnsi="Times New Roman" w:cs="Times New Roman"/>
          <w:color w:val="000000" w:themeColor="text1"/>
          <w:szCs w:val="22"/>
        </w:rPr>
        <w:t>. Landing</w:t>
      </w:r>
      <w:r w:rsidR="004B15E6" w:rsidRPr="00543854">
        <w:rPr>
          <w:rFonts w:ascii="Times New Roman" w:hAnsi="Times New Roman" w:cs="Times New Roman"/>
          <w:color w:val="000000" w:themeColor="text1"/>
          <w:szCs w:val="22"/>
        </w:rPr>
        <w:t>s include those from fore</w:t>
      </w:r>
      <w:r w:rsidR="0079618D" w:rsidRPr="00543854">
        <w:rPr>
          <w:rFonts w:ascii="Times New Roman" w:hAnsi="Times New Roman" w:cs="Times New Roman"/>
          <w:color w:val="000000" w:themeColor="text1"/>
          <w:szCs w:val="22"/>
        </w:rPr>
        <w:t xml:space="preserve">ign </w:t>
      </w:r>
      <w:r w:rsidR="004B15E6" w:rsidRPr="00543854">
        <w:rPr>
          <w:rFonts w:ascii="Times New Roman" w:hAnsi="Times New Roman" w:cs="Times New Roman"/>
          <w:color w:val="000000" w:themeColor="text1"/>
          <w:szCs w:val="22"/>
        </w:rPr>
        <w:t xml:space="preserve">vessels, which are </w:t>
      </w:r>
      <w:r w:rsidR="0079618D" w:rsidRPr="00543854">
        <w:rPr>
          <w:rFonts w:ascii="Times New Roman" w:hAnsi="Times New Roman" w:cs="Times New Roman"/>
          <w:color w:val="000000" w:themeColor="text1"/>
          <w:szCs w:val="22"/>
        </w:rPr>
        <w:t>largely responsible for the peak landings in 1976 and 1979.</w:t>
      </w:r>
      <w:r w:rsidR="00832834" w:rsidRPr="00543854">
        <w:rPr>
          <w:rFonts w:ascii="Times New Roman" w:hAnsi="Times New Roman" w:cs="Times New Roman"/>
          <w:color w:val="000000" w:themeColor="text1"/>
          <w:szCs w:val="22"/>
        </w:rPr>
        <w:t xml:space="preserve"> </w:t>
      </w:r>
      <w:r w:rsidR="005B212E" w:rsidRPr="00543854">
        <w:rPr>
          <w:rFonts w:ascii="Times New Roman" w:hAnsi="Times New Roman" w:cs="Times New Roman"/>
          <w:color w:val="000000" w:themeColor="text1"/>
          <w:szCs w:val="22"/>
        </w:rPr>
        <w:t>Black l</w:t>
      </w:r>
      <w:r w:rsidR="00832834" w:rsidRPr="00543854">
        <w:rPr>
          <w:rFonts w:ascii="Times New Roman" w:hAnsi="Times New Roman" w:cs="Times New Roman"/>
          <w:color w:val="000000" w:themeColor="text1"/>
          <w:szCs w:val="22"/>
        </w:rPr>
        <w:t xml:space="preserve">ine </w:t>
      </w:r>
      <w:r w:rsidR="005B212E" w:rsidRPr="00543854">
        <w:rPr>
          <w:rFonts w:ascii="Times New Roman" w:hAnsi="Times New Roman" w:cs="Times New Roman"/>
          <w:color w:val="000000" w:themeColor="text1"/>
          <w:szCs w:val="22"/>
        </w:rPr>
        <w:t>indicates the</w:t>
      </w:r>
      <w:r w:rsidR="002C6A42">
        <w:rPr>
          <w:rFonts w:ascii="Times New Roman" w:hAnsi="Times New Roman" w:cs="Times New Roman"/>
          <w:color w:val="000000" w:themeColor="text1"/>
          <w:szCs w:val="22"/>
        </w:rPr>
        <w:t xml:space="preserve"> harvest guideline (1995-1997),</w:t>
      </w:r>
      <w:r w:rsidR="00B77B48">
        <w:rPr>
          <w:rFonts w:ascii="Times New Roman" w:hAnsi="Times New Roman" w:cs="Times New Roman"/>
          <w:color w:val="000000" w:themeColor="text1"/>
          <w:szCs w:val="22"/>
        </w:rPr>
        <w:t xml:space="preserve"> optimum yield </w:t>
      </w:r>
      <w:r w:rsidR="002C6A42">
        <w:rPr>
          <w:rFonts w:ascii="Times New Roman" w:hAnsi="Times New Roman" w:cs="Times New Roman"/>
          <w:color w:val="000000" w:themeColor="text1"/>
          <w:szCs w:val="22"/>
        </w:rPr>
        <w:t xml:space="preserve">(1998-2010), </w:t>
      </w:r>
      <w:r w:rsidR="00B77B48">
        <w:rPr>
          <w:rFonts w:ascii="Times New Roman" w:hAnsi="Times New Roman" w:cs="Times New Roman"/>
          <w:color w:val="000000" w:themeColor="text1"/>
          <w:szCs w:val="22"/>
        </w:rPr>
        <w:t xml:space="preserve">or annual catch </w:t>
      </w:r>
      <w:r w:rsidR="005B212E" w:rsidRPr="00543854">
        <w:rPr>
          <w:rFonts w:ascii="Times New Roman" w:hAnsi="Times New Roman" w:cs="Times New Roman"/>
          <w:color w:val="000000" w:themeColor="text1"/>
          <w:szCs w:val="22"/>
        </w:rPr>
        <w:t xml:space="preserve">limit </w:t>
      </w:r>
      <w:r w:rsidR="002C6A42">
        <w:rPr>
          <w:rFonts w:ascii="Times New Roman" w:hAnsi="Times New Roman" w:cs="Times New Roman"/>
          <w:color w:val="000000" w:themeColor="text1"/>
          <w:szCs w:val="22"/>
        </w:rPr>
        <w:t xml:space="preserve">(2011-2014) </w:t>
      </w:r>
      <w:r w:rsidR="005B212E" w:rsidRPr="00543854">
        <w:rPr>
          <w:rFonts w:ascii="Times New Roman" w:hAnsi="Times New Roman" w:cs="Times New Roman"/>
          <w:color w:val="000000" w:themeColor="text1"/>
          <w:szCs w:val="22"/>
        </w:rPr>
        <w:t xml:space="preserve">for all gear types and all areas </w:t>
      </w:r>
      <w:r w:rsidR="00832834" w:rsidRPr="00543854">
        <w:rPr>
          <w:rFonts w:ascii="Times New Roman" w:hAnsi="Times New Roman" w:cs="Times New Roman"/>
          <w:color w:val="000000" w:themeColor="text1"/>
          <w:szCs w:val="22"/>
        </w:rPr>
        <w:t>from 1995 to 2014.</w:t>
      </w:r>
    </w:p>
    <w:p w14:paraId="29CBB491" w14:textId="4DB979BC" w:rsidR="004B15E6" w:rsidRPr="00543854" w:rsidRDefault="004B15E6" w:rsidP="00145B28">
      <w:pPr>
        <w:spacing w:line="240" w:lineRule="auto"/>
        <w:jc w:val="both"/>
        <w:rPr>
          <w:rFonts w:ascii="Times New Roman" w:eastAsia="Calibri" w:hAnsi="Times New Roman" w:cs="Times New Roman"/>
          <w:color w:val="000000" w:themeColor="text1"/>
          <w:szCs w:val="22"/>
        </w:rPr>
      </w:pPr>
      <w:r w:rsidRPr="00543854">
        <w:rPr>
          <w:rFonts w:ascii="Times New Roman" w:eastAsia="Calibri" w:hAnsi="Times New Roman" w:cs="Times New Roman"/>
          <w:color w:val="000000" w:themeColor="text1"/>
          <w:szCs w:val="22"/>
        </w:rPr>
        <w:br w:type="page"/>
      </w:r>
    </w:p>
    <w:p w14:paraId="6C99ADE6" w14:textId="741C4827" w:rsidR="002F5364" w:rsidRPr="00543854" w:rsidRDefault="002C6A42" w:rsidP="00145B28">
      <w:pPr>
        <w:spacing w:line="240" w:lineRule="auto"/>
        <w:jc w:val="both"/>
        <w:rPr>
          <w:rFonts w:ascii="Times New Roman" w:eastAsia="Calibri" w:hAnsi="Times New Roman" w:cs="Times New Roman"/>
          <w:color w:val="000000" w:themeColor="text1"/>
          <w:szCs w:val="22"/>
        </w:rPr>
      </w:pPr>
      <w:bookmarkStart w:id="27" w:name="_Ref433456662"/>
      <w:r w:rsidRPr="002C6A42">
        <w:rPr>
          <w:rFonts w:ascii="Times New Roman" w:eastAsia="Calibri" w:hAnsi="Times New Roman" w:cs="Times New Roman"/>
          <w:noProof/>
          <w:color w:val="000000" w:themeColor="text1"/>
          <w:szCs w:val="22"/>
        </w:rPr>
        <w:lastRenderedPageBreak/>
        <w:drawing>
          <wp:inline distT="0" distB="0" distL="0" distR="0" wp14:anchorId="7F915C06" wp14:editId="589F4026">
            <wp:extent cx="5943600" cy="5943600"/>
            <wp:effectExtent l="0" t="0" r="0" b="0"/>
            <wp:docPr id="2" name="Picture 2" descr="D:\wcd\results\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cd\results\str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EBF5A76" w14:textId="4CC76286" w:rsidR="006774D2" w:rsidRPr="00543854" w:rsidRDefault="00821574" w:rsidP="00145B28">
      <w:pPr>
        <w:spacing w:line="240" w:lineRule="auto"/>
        <w:jc w:val="both"/>
        <w:rPr>
          <w:rFonts w:ascii="Times New Roman" w:hAnsi="Times New Roman" w:cs="Times New Roman"/>
          <w:color w:val="000000" w:themeColor="text1"/>
          <w:szCs w:val="22"/>
        </w:rPr>
      </w:pPr>
      <w:bookmarkStart w:id="28" w:name="_Ref440985703"/>
      <w:r w:rsidRPr="00543854">
        <w:rPr>
          <w:rFonts w:ascii="Times New Roman" w:eastAsia="Calibri" w:hAnsi="Times New Roman" w:cs="Times New Roman"/>
          <w:color w:val="000000" w:themeColor="text1"/>
          <w:szCs w:val="22"/>
        </w:rPr>
        <w:t>Figure</w:t>
      </w:r>
      <w:r w:rsidR="00AD7045" w:rsidRPr="00543854">
        <w:rPr>
          <w:rFonts w:ascii="Times New Roman" w:eastAsia="Calibri" w:hAnsi="Times New Roman" w:cs="Times New Roman"/>
          <w:color w:val="000000" w:themeColor="text1"/>
          <w:szCs w:val="22"/>
        </w:rPr>
        <w:t xml:space="preserve"> </w:t>
      </w:r>
      <w:bookmarkStart w:id="29" w:name="studyarea"/>
      <w:r w:rsidR="00795949" w:rsidRPr="00543854">
        <w:rPr>
          <w:rFonts w:ascii="Times New Roman" w:eastAsia="Calibri" w:hAnsi="Times New Roman" w:cs="Times New Roman"/>
          <w:color w:val="000000" w:themeColor="text1"/>
          <w:szCs w:val="22"/>
        </w:rPr>
        <w:fldChar w:fldCharType="begin"/>
      </w:r>
      <w:r w:rsidR="00795949" w:rsidRPr="00543854">
        <w:rPr>
          <w:rFonts w:ascii="Times New Roman" w:eastAsia="Calibri" w:hAnsi="Times New Roman" w:cs="Times New Roman"/>
          <w:color w:val="000000" w:themeColor="text1"/>
          <w:szCs w:val="22"/>
        </w:rPr>
        <w:instrText xml:space="preserve"> SEQ Figure \* ARABIC </w:instrText>
      </w:r>
      <w:r w:rsidR="00795949" w:rsidRPr="00543854">
        <w:rPr>
          <w:rFonts w:ascii="Times New Roman" w:eastAsia="Calibri" w:hAnsi="Times New Roman" w:cs="Times New Roman"/>
          <w:color w:val="000000" w:themeColor="text1"/>
          <w:szCs w:val="22"/>
        </w:rPr>
        <w:fldChar w:fldCharType="separate"/>
      </w:r>
      <w:r w:rsidR="00B20EC7">
        <w:rPr>
          <w:rFonts w:ascii="Times New Roman" w:eastAsia="Calibri" w:hAnsi="Times New Roman" w:cs="Times New Roman"/>
          <w:noProof/>
          <w:color w:val="000000" w:themeColor="text1"/>
          <w:szCs w:val="22"/>
        </w:rPr>
        <w:t>2</w:t>
      </w:r>
      <w:r w:rsidR="00795949" w:rsidRPr="00543854">
        <w:rPr>
          <w:rFonts w:ascii="Times New Roman" w:eastAsia="Calibri" w:hAnsi="Times New Roman" w:cs="Times New Roman"/>
          <w:color w:val="000000" w:themeColor="text1"/>
          <w:szCs w:val="22"/>
        </w:rPr>
        <w:fldChar w:fldCharType="end"/>
      </w:r>
      <w:bookmarkEnd w:id="27"/>
      <w:bookmarkEnd w:id="28"/>
      <w:bookmarkEnd w:id="29"/>
      <w:r w:rsidRPr="00543854">
        <w:rPr>
          <w:rFonts w:ascii="Times New Roman" w:eastAsia="Calibri" w:hAnsi="Times New Roman" w:cs="Times New Roman"/>
          <w:color w:val="000000" w:themeColor="text1"/>
          <w:szCs w:val="22"/>
        </w:rPr>
        <w:t xml:space="preserve">. </w:t>
      </w:r>
      <w:r w:rsidR="004B15E6" w:rsidRPr="00543854">
        <w:rPr>
          <w:rFonts w:ascii="Times New Roman" w:eastAsia="Calibri" w:hAnsi="Times New Roman" w:cs="Times New Roman"/>
          <w:color w:val="000000" w:themeColor="text1"/>
          <w:szCs w:val="22"/>
        </w:rPr>
        <w:t>The g</w:t>
      </w:r>
      <w:r w:rsidRPr="00543854">
        <w:rPr>
          <w:rFonts w:ascii="Times New Roman" w:eastAsia="Calibri" w:hAnsi="Times New Roman" w:cs="Times New Roman"/>
          <w:color w:val="000000" w:themeColor="text1"/>
          <w:szCs w:val="22"/>
        </w:rPr>
        <w:t>eographical extent o</w:t>
      </w:r>
      <w:r w:rsidR="00AD7045" w:rsidRPr="00543854">
        <w:rPr>
          <w:rFonts w:ascii="Times New Roman" w:eastAsia="Calibri" w:hAnsi="Times New Roman" w:cs="Times New Roman"/>
          <w:color w:val="000000" w:themeColor="text1"/>
          <w:szCs w:val="22"/>
        </w:rPr>
        <w:t>f the</w:t>
      </w:r>
      <w:r w:rsidR="002C6A42">
        <w:rPr>
          <w:rFonts w:ascii="Times New Roman" w:eastAsia="Calibri" w:hAnsi="Times New Roman" w:cs="Times New Roman"/>
          <w:color w:val="000000" w:themeColor="text1"/>
          <w:szCs w:val="22"/>
        </w:rPr>
        <w:t xml:space="preserve"> US West Coast groundfish fishery w</w:t>
      </w:r>
      <w:r w:rsidR="004B15E6" w:rsidRPr="00543854">
        <w:rPr>
          <w:rFonts w:ascii="Times New Roman" w:eastAsia="Calibri" w:hAnsi="Times New Roman" w:cs="Times New Roman"/>
          <w:color w:val="000000" w:themeColor="text1"/>
          <w:szCs w:val="22"/>
        </w:rPr>
        <w:t xml:space="preserve">ith </w:t>
      </w:r>
      <w:r w:rsidR="0007701F" w:rsidRPr="00543854">
        <w:rPr>
          <w:rFonts w:ascii="Times New Roman" w:eastAsia="Calibri" w:hAnsi="Times New Roman" w:cs="Times New Roman"/>
          <w:color w:val="000000" w:themeColor="text1"/>
          <w:szCs w:val="22"/>
        </w:rPr>
        <w:t xml:space="preserve">dashed </w:t>
      </w:r>
      <w:r w:rsidR="004B15E6" w:rsidRPr="00543854">
        <w:rPr>
          <w:rFonts w:ascii="Times New Roman" w:eastAsia="Calibri" w:hAnsi="Times New Roman" w:cs="Times New Roman"/>
          <w:color w:val="000000" w:themeColor="text1"/>
          <w:szCs w:val="22"/>
        </w:rPr>
        <w:t>l</w:t>
      </w:r>
      <w:r w:rsidRPr="00543854">
        <w:rPr>
          <w:rFonts w:ascii="Times New Roman" w:eastAsia="Calibri" w:hAnsi="Times New Roman" w:cs="Times New Roman"/>
          <w:color w:val="000000" w:themeColor="text1"/>
          <w:szCs w:val="22"/>
        </w:rPr>
        <w:t>atitudinal lines depict</w:t>
      </w:r>
      <w:r w:rsidR="004B15E6" w:rsidRPr="00543854">
        <w:rPr>
          <w:rFonts w:ascii="Times New Roman" w:eastAsia="Calibri" w:hAnsi="Times New Roman" w:cs="Times New Roman"/>
          <w:color w:val="000000" w:themeColor="text1"/>
          <w:szCs w:val="22"/>
        </w:rPr>
        <w:t>ing</w:t>
      </w:r>
      <w:r w:rsidR="002C6A42">
        <w:rPr>
          <w:rFonts w:ascii="Times New Roman" w:eastAsia="Calibri" w:hAnsi="Times New Roman" w:cs="Times New Roman"/>
          <w:color w:val="000000" w:themeColor="text1"/>
          <w:szCs w:val="22"/>
        </w:rPr>
        <w:t xml:space="preserve"> stratum</w:t>
      </w:r>
      <w:r w:rsidRPr="00543854">
        <w:rPr>
          <w:rFonts w:ascii="Times New Roman" w:eastAsia="Calibri" w:hAnsi="Times New Roman" w:cs="Times New Roman"/>
          <w:color w:val="000000" w:themeColor="text1"/>
          <w:szCs w:val="22"/>
        </w:rPr>
        <w:t xml:space="preserve"> used to separate between </w:t>
      </w:r>
      <w:r w:rsidR="002C6A42">
        <w:rPr>
          <w:rFonts w:ascii="Times New Roman" w:eastAsia="Calibri" w:hAnsi="Times New Roman" w:cs="Times New Roman"/>
          <w:color w:val="000000" w:themeColor="text1"/>
          <w:szCs w:val="22"/>
        </w:rPr>
        <w:t>major biogeographical features: (A) Astoria Canyon, (B) Cape Blanco, (C) Cape Mendocino, and (D) Point Conception</w:t>
      </w:r>
      <w:r w:rsidRPr="00543854">
        <w:rPr>
          <w:rFonts w:ascii="Times New Roman" w:eastAsia="Calibri" w:hAnsi="Times New Roman" w:cs="Times New Roman"/>
          <w:color w:val="000000" w:themeColor="text1"/>
          <w:szCs w:val="22"/>
        </w:rPr>
        <w:t xml:space="preserve">. Unique port groups from north to south include: </w:t>
      </w:r>
      <w:r w:rsidR="00844C62" w:rsidRPr="00543854">
        <w:rPr>
          <w:rFonts w:ascii="Times New Roman" w:eastAsia="Calibri" w:hAnsi="Times New Roman" w:cs="Times New Roman"/>
          <w:color w:val="000000" w:themeColor="text1"/>
          <w:szCs w:val="22"/>
        </w:rPr>
        <w:t>(a</w:t>
      </w:r>
      <w:r w:rsidRPr="00543854">
        <w:rPr>
          <w:rFonts w:ascii="Times New Roman" w:eastAsia="Calibri" w:hAnsi="Times New Roman" w:cs="Times New Roman"/>
          <w:color w:val="000000" w:themeColor="text1"/>
          <w:szCs w:val="22"/>
        </w:rPr>
        <w:t xml:space="preserve">) Washington; </w:t>
      </w:r>
      <w:r w:rsidR="00844C62" w:rsidRPr="00543854">
        <w:rPr>
          <w:rFonts w:ascii="Times New Roman" w:eastAsia="Calibri" w:hAnsi="Times New Roman" w:cs="Times New Roman"/>
          <w:color w:val="000000" w:themeColor="text1"/>
          <w:szCs w:val="22"/>
        </w:rPr>
        <w:t>(b</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Astoria and Tillamook; </w:t>
      </w:r>
      <w:r w:rsidR="00844C62" w:rsidRPr="00543854">
        <w:rPr>
          <w:rFonts w:ascii="Times New Roman" w:eastAsia="Calibri" w:hAnsi="Times New Roman" w:cs="Times New Roman"/>
          <w:color w:val="000000" w:themeColor="text1"/>
          <w:szCs w:val="22"/>
        </w:rPr>
        <w:t>(c</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Newport; </w:t>
      </w:r>
      <w:r w:rsidR="00844C62" w:rsidRPr="00543854">
        <w:rPr>
          <w:rFonts w:ascii="Times New Roman" w:eastAsia="Calibri" w:hAnsi="Times New Roman" w:cs="Times New Roman"/>
          <w:color w:val="000000" w:themeColor="text1"/>
          <w:szCs w:val="22"/>
        </w:rPr>
        <w:t>(d</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Coos Bay; </w:t>
      </w:r>
      <w:r w:rsidR="00844C62" w:rsidRPr="00543854">
        <w:rPr>
          <w:rFonts w:ascii="Times New Roman" w:eastAsia="Calibri" w:hAnsi="Times New Roman" w:cs="Times New Roman"/>
          <w:color w:val="000000" w:themeColor="text1"/>
          <w:szCs w:val="22"/>
        </w:rPr>
        <w:t>(e</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Brookings and Crescent City; </w:t>
      </w:r>
      <w:r w:rsidR="00844C62" w:rsidRPr="00543854">
        <w:rPr>
          <w:rFonts w:ascii="Times New Roman" w:eastAsia="Calibri" w:hAnsi="Times New Roman" w:cs="Times New Roman"/>
          <w:color w:val="000000" w:themeColor="text1"/>
          <w:szCs w:val="22"/>
        </w:rPr>
        <w:t>(f</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Eureka; </w:t>
      </w:r>
      <w:r w:rsidR="00844C62" w:rsidRPr="00543854">
        <w:rPr>
          <w:rFonts w:ascii="Times New Roman" w:eastAsia="Calibri" w:hAnsi="Times New Roman" w:cs="Times New Roman"/>
          <w:color w:val="000000" w:themeColor="text1"/>
          <w:szCs w:val="22"/>
        </w:rPr>
        <w:t>(g</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Fort Bragg; </w:t>
      </w:r>
      <w:r w:rsidR="00844C62" w:rsidRPr="00543854">
        <w:rPr>
          <w:rFonts w:ascii="Times New Roman" w:eastAsia="Calibri" w:hAnsi="Times New Roman" w:cs="Times New Roman"/>
          <w:color w:val="000000" w:themeColor="text1"/>
          <w:szCs w:val="22"/>
        </w:rPr>
        <w:t>(h</w:t>
      </w:r>
      <w:r w:rsidR="004B15E6" w:rsidRPr="00543854">
        <w:rPr>
          <w:rFonts w:ascii="Times New Roman" w:eastAsia="Calibri" w:hAnsi="Times New Roman" w:cs="Times New Roman"/>
          <w:color w:val="000000" w:themeColor="text1"/>
          <w:szCs w:val="22"/>
        </w:rPr>
        <w:t xml:space="preserve">) </w:t>
      </w:r>
      <w:r w:rsidRPr="00543854">
        <w:rPr>
          <w:rFonts w:ascii="Times New Roman" w:eastAsia="Calibri" w:hAnsi="Times New Roman" w:cs="Times New Roman"/>
          <w:color w:val="000000" w:themeColor="text1"/>
          <w:szCs w:val="22"/>
        </w:rPr>
        <w:t xml:space="preserve">San Francisco and Bodega Bay; and </w:t>
      </w:r>
      <w:r w:rsidR="00844C62" w:rsidRPr="00543854">
        <w:rPr>
          <w:rFonts w:ascii="Times New Roman" w:eastAsia="Calibri" w:hAnsi="Times New Roman" w:cs="Times New Roman"/>
          <w:color w:val="000000" w:themeColor="text1"/>
          <w:szCs w:val="22"/>
        </w:rPr>
        <w:t>(</w:t>
      </w:r>
      <w:r w:rsidR="004B15E6" w:rsidRPr="00543854">
        <w:rPr>
          <w:rFonts w:ascii="Times New Roman" w:eastAsia="Calibri" w:hAnsi="Times New Roman" w:cs="Times New Roman"/>
          <w:color w:val="000000" w:themeColor="text1"/>
          <w:szCs w:val="22"/>
        </w:rPr>
        <w:t xml:space="preserve">i) </w:t>
      </w:r>
      <w:r w:rsidRPr="00543854">
        <w:rPr>
          <w:rFonts w:ascii="Times New Roman" w:eastAsia="Calibri" w:hAnsi="Times New Roman" w:cs="Times New Roman"/>
          <w:color w:val="000000" w:themeColor="text1"/>
          <w:szCs w:val="22"/>
        </w:rPr>
        <w:t>Monterey and Morro Bay.</w:t>
      </w:r>
      <w:r w:rsidR="00AD7045" w:rsidRPr="00543854">
        <w:rPr>
          <w:rFonts w:ascii="Times New Roman" w:eastAsia="Calibri" w:hAnsi="Times New Roman" w:cs="Times New Roman"/>
          <w:color w:val="000000" w:themeColor="text1"/>
          <w:szCs w:val="22"/>
        </w:rPr>
        <w:t xml:space="preserve"> </w:t>
      </w:r>
      <w:r w:rsidR="002C6A42">
        <w:rPr>
          <w:rFonts w:ascii="Times New Roman" w:eastAsia="Calibri" w:hAnsi="Times New Roman" w:cs="Times New Roman"/>
          <w:color w:val="000000" w:themeColor="text1"/>
          <w:szCs w:val="22"/>
        </w:rPr>
        <w:t>The port group Monterey and Morro Bay was excluded from the analysis because the data span the north south management line use for sablefish quota allocations at 36°N latitude.</w:t>
      </w:r>
    </w:p>
    <w:p w14:paraId="4E7DB3A6" w14:textId="0DF54993" w:rsidR="00D5495B" w:rsidRDefault="00821574" w:rsidP="00145B28">
      <w:pPr>
        <w:spacing w:line="240" w:lineRule="auto"/>
        <w:jc w:val="both"/>
        <w:rPr>
          <w:rFonts w:ascii="Times New Roman" w:eastAsia="Calibri" w:hAnsi="Times New Roman" w:cs="Times New Roman"/>
          <w:color w:val="000000" w:themeColor="text1"/>
          <w:szCs w:val="22"/>
        </w:rPr>
      </w:pPr>
      <w:r w:rsidRPr="00543854">
        <w:rPr>
          <w:rFonts w:ascii="Times New Roman" w:eastAsia="Calibri" w:hAnsi="Times New Roman" w:cs="Times New Roman"/>
          <w:color w:val="000000" w:themeColor="text1"/>
          <w:szCs w:val="22"/>
        </w:rPr>
        <w:t xml:space="preserve"> </w:t>
      </w:r>
    </w:p>
    <w:p w14:paraId="16145622" w14:textId="77777777" w:rsidR="00D5495B" w:rsidRDefault="00D5495B">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5876DFE" w14:textId="77777777" w:rsidR="00D5495B" w:rsidRPr="00543854" w:rsidRDefault="00D5495B" w:rsidP="00D5495B">
      <w:pPr>
        <w:pStyle w:val="Caption"/>
        <w:jc w:val="both"/>
        <w:rPr>
          <w:rFonts w:cs="Times New Roman"/>
        </w:rPr>
      </w:pPr>
      <w:bookmarkStart w:id="30" w:name="_Ref440570277"/>
      <w:r w:rsidRPr="00543854">
        <w:rPr>
          <w:rFonts w:cs="Times New Roman"/>
          <w:noProof/>
        </w:rPr>
        <w:lastRenderedPageBreak/>
        <w:drawing>
          <wp:inline distT="0" distB="0" distL="0" distR="0" wp14:anchorId="4DC127BF" wp14:editId="061EA43B">
            <wp:extent cx="5943600" cy="5943600"/>
            <wp:effectExtent l="0" t="0" r="0" b="0"/>
            <wp:docPr id="19" name="Picture 19" descr="C:\wcd\results\abu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wcd\results\abund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7936CC8" w14:textId="6E041292" w:rsidR="00D5495B" w:rsidRPr="00543854" w:rsidRDefault="00D5495B" w:rsidP="00D5495B">
      <w:pPr>
        <w:pStyle w:val="Caption"/>
        <w:jc w:val="both"/>
        <w:rPr>
          <w:rFonts w:cs="Times New Roman"/>
        </w:rPr>
      </w:pPr>
      <w:bookmarkStart w:id="31" w:name="_Ref440570326"/>
      <w:r w:rsidRPr="00543854">
        <w:rPr>
          <w:rFonts w:cs="Times New Roman"/>
        </w:rPr>
        <w:t xml:space="preserve">Figure </w:t>
      </w:r>
      <w:r w:rsidRPr="00543854">
        <w:rPr>
          <w:rFonts w:cs="Times New Roman"/>
        </w:rPr>
        <w:fldChar w:fldCharType="begin"/>
      </w:r>
      <w:r w:rsidRPr="00543854">
        <w:rPr>
          <w:rFonts w:cs="Times New Roman"/>
        </w:rPr>
        <w:instrText xml:space="preserve"> SEQ Figure \* ARABIC </w:instrText>
      </w:r>
      <w:r w:rsidRPr="00543854">
        <w:rPr>
          <w:rFonts w:cs="Times New Roman"/>
        </w:rPr>
        <w:fldChar w:fldCharType="separate"/>
      </w:r>
      <w:r w:rsidR="00B20EC7">
        <w:rPr>
          <w:rFonts w:cs="Times New Roman"/>
          <w:noProof/>
        </w:rPr>
        <w:t>3</w:t>
      </w:r>
      <w:r w:rsidRPr="00543854">
        <w:rPr>
          <w:rFonts w:cs="Times New Roman"/>
          <w:noProof/>
        </w:rPr>
        <w:fldChar w:fldCharType="end"/>
      </w:r>
      <w:bookmarkEnd w:id="30"/>
      <w:bookmarkEnd w:id="31"/>
      <w:r w:rsidRPr="00543854">
        <w:rPr>
          <w:rFonts w:cs="Times New Roman"/>
        </w:rPr>
        <w:t xml:space="preserve">. Positive tows (kg) from the Northwest </w:t>
      </w:r>
      <w:r>
        <w:rPr>
          <w:rFonts w:cs="Times New Roman"/>
        </w:rPr>
        <w:t>Fisheries Science Center Shelf-S</w:t>
      </w:r>
      <w:r w:rsidRPr="00543854">
        <w:rPr>
          <w:rFonts w:cs="Times New Roman"/>
        </w:rPr>
        <w:t>lope survey from 2003 to 2014. Panels display data for a single species across all years, where the size of the transparent circle is relative to the species specific weight in a given tow. From left to right, top to bottom, species are: sablefish, Pacific ocean perch (POP), darkblotched rockfish, cowcod</w:t>
      </w:r>
      <w:r w:rsidR="00AC5BE0">
        <w:rPr>
          <w:rFonts w:cs="Times New Roman"/>
        </w:rPr>
        <w:t xml:space="preserve"> rockfish</w:t>
      </w:r>
      <w:r w:rsidRPr="00543854">
        <w:rPr>
          <w:rFonts w:cs="Times New Roman"/>
        </w:rPr>
        <w:t>, boacaccio</w:t>
      </w:r>
      <w:r w:rsidR="00AC5BE0">
        <w:rPr>
          <w:rFonts w:cs="Times New Roman"/>
        </w:rPr>
        <w:t xml:space="preserve"> rockfish</w:t>
      </w:r>
      <w:r w:rsidRPr="00543854">
        <w:rPr>
          <w:rFonts w:cs="Times New Roman"/>
        </w:rPr>
        <w:t xml:space="preserve">, and yelloweye rockfish. </w:t>
      </w:r>
    </w:p>
    <w:p w14:paraId="39C677F8" w14:textId="77777777" w:rsidR="0007701F" w:rsidRPr="00543854" w:rsidRDefault="0007701F" w:rsidP="00145B28">
      <w:pPr>
        <w:spacing w:line="240" w:lineRule="auto"/>
        <w:jc w:val="both"/>
        <w:rPr>
          <w:rFonts w:ascii="Times New Roman" w:eastAsia="Calibri" w:hAnsi="Times New Roman" w:cs="Times New Roman"/>
          <w:color w:val="000000" w:themeColor="text1"/>
          <w:szCs w:val="22"/>
        </w:rPr>
      </w:pPr>
    </w:p>
    <w:p w14:paraId="2CC6DEEA" w14:textId="77777777" w:rsidR="0007701F" w:rsidRPr="00543854" w:rsidRDefault="0007701F" w:rsidP="00145B28">
      <w:pPr>
        <w:spacing w:line="240" w:lineRule="auto"/>
        <w:jc w:val="both"/>
        <w:rPr>
          <w:rFonts w:ascii="Times New Roman" w:eastAsia="Calibri" w:hAnsi="Times New Roman" w:cs="Times New Roman"/>
          <w:color w:val="000000" w:themeColor="text1"/>
          <w:szCs w:val="22"/>
        </w:rPr>
      </w:pPr>
      <w:r w:rsidRPr="00543854">
        <w:rPr>
          <w:rFonts w:ascii="Times New Roman" w:eastAsia="Calibri" w:hAnsi="Times New Roman" w:cs="Times New Roman"/>
          <w:color w:val="000000" w:themeColor="text1"/>
          <w:szCs w:val="22"/>
        </w:rPr>
        <w:br w:type="page"/>
      </w:r>
    </w:p>
    <w:p w14:paraId="4FE19A1C" w14:textId="77777777" w:rsidR="00ED6AD9" w:rsidRDefault="00ED6AD9" w:rsidP="00145B28">
      <w:pPr>
        <w:pStyle w:val="Caption"/>
        <w:jc w:val="both"/>
        <w:rPr>
          <w:rFonts w:cs="Times New Roman"/>
        </w:rPr>
      </w:pPr>
      <w:bookmarkStart w:id="32" w:name="_Ref433530344"/>
    </w:p>
    <w:p w14:paraId="768553B0" w14:textId="77777777" w:rsidR="00ED6AD9" w:rsidRDefault="00ED6AD9" w:rsidP="00145B28">
      <w:pPr>
        <w:pStyle w:val="Caption"/>
        <w:jc w:val="both"/>
        <w:rPr>
          <w:rFonts w:cs="Times New Roman"/>
        </w:rPr>
      </w:pPr>
    </w:p>
    <w:p w14:paraId="737A9A9B" w14:textId="77777777" w:rsidR="00ED6AD9" w:rsidRDefault="00AC5BE0" w:rsidP="00145B28">
      <w:pPr>
        <w:pStyle w:val="Caption"/>
        <w:jc w:val="both"/>
        <w:rPr>
          <w:rFonts w:cs="Times New Roman"/>
        </w:rPr>
      </w:pPr>
      <w:r w:rsidRPr="00AC5BE0">
        <w:rPr>
          <w:rFonts w:cs="Times New Roman"/>
          <w:noProof/>
        </w:rPr>
        <w:drawing>
          <wp:inline distT="0" distB="0" distL="0" distR="0" wp14:anchorId="6C5515E7" wp14:editId="7CF412F7">
            <wp:extent cx="5943600" cy="4955359"/>
            <wp:effectExtent l="0" t="0" r="0" b="0"/>
            <wp:docPr id="1" name="Picture 1" descr="D:\wcd\results\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cd\results\dendro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55359"/>
                    </a:xfrm>
                    <a:prstGeom prst="rect">
                      <a:avLst/>
                    </a:prstGeom>
                    <a:noFill/>
                    <a:ln>
                      <a:noFill/>
                    </a:ln>
                  </pic:spPr>
                </pic:pic>
              </a:graphicData>
            </a:graphic>
          </wp:inline>
        </w:drawing>
      </w:r>
      <w:bookmarkStart w:id="33" w:name="_Ref440438445"/>
    </w:p>
    <w:p w14:paraId="694F9D40" w14:textId="418A1E46" w:rsidR="00DF7E7E" w:rsidRPr="00543854" w:rsidRDefault="00DF7E7E" w:rsidP="00145B28">
      <w:pPr>
        <w:pStyle w:val="Caption"/>
        <w:jc w:val="both"/>
        <w:rPr>
          <w:rFonts w:cs="Times New Roman"/>
        </w:rPr>
      </w:pPr>
      <w:bookmarkStart w:id="34" w:name="_Ref441638032"/>
      <w:r w:rsidRPr="00543854">
        <w:rPr>
          <w:rFonts w:cs="Times New Roman"/>
        </w:rPr>
        <w:t xml:space="preserve">Figure </w:t>
      </w:r>
      <w:r w:rsidRPr="00543854">
        <w:rPr>
          <w:rFonts w:cs="Times New Roman"/>
        </w:rPr>
        <w:fldChar w:fldCharType="begin"/>
      </w:r>
      <w:r w:rsidRPr="00543854">
        <w:rPr>
          <w:rFonts w:cs="Times New Roman"/>
        </w:rPr>
        <w:instrText xml:space="preserve"> SEQ Figure \* MERGEFORMAT </w:instrText>
      </w:r>
      <w:r w:rsidRPr="00543854">
        <w:rPr>
          <w:rFonts w:cs="Times New Roman"/>
        </w:rPr>
        <w:fldChar w:fldCharType="separate"/>
      </w:r>
      <w:r w:rsidR="00B20EC7">
        <w:rPr>
          <w:rFonts w:cs="Times New Roman"/>
          <w:noProof/>
        </w:rPr>
        <w:t>4</w:t>
      </w:r>
      <w:r w:rsidRPr="00543854">
        <w:rPr>
          <w:rFonts w:cs="Times New Roman"/>
        </w:rPr>
        <w:fldChar w:fldCharType="end"/>
      </w:r>
      <w:bookmarkEnd w:id="33"/>
      <w:bookmarkEnd w:id="34"/>
      <w:r w:rsidRPr="00543854">
        <w:rPr>
          <w:rFonts w:cs="Times New Roman"/>
        </w:rPr>
        <w:t xml:space="preserve">. </w:t>
      </w:r>
      <w:r w:rsidR="00145B28" w:rsidRPr="00543854">
        <w:rPr>
          <w:rFonts w:cs="Times New Roman"/>
        </w:rPr>
        <w:t>A d</w:t>
      </w:r>
      <w:r w:rsidR="0086534A" w:rsidRPr="00543854">
        <w:rPr>
          <w:rFonts w:cs="Times New Roman"/>
        </w:rPr>
        <w:t xml:space="preserve">endrogram </w:t>
      </w:r>
      <w:r w:rsidR="00422173" w:rsidRPr="00543854">
        <w:rPr>
          <w:rFonts w:cs="Times New Roman"/>
        </w:rPr>
        <w:t>derived from</w:t>
      </w:r>
      <w:r w:rsidR="0086534A" w:rsidRPr="00543854">
        <w:rPr>
          <w:rFonts w:cs="Times New Roman"/>
        </w:rPr>
        <w:t xml:space="preserve"> </w:t>
      </w:r>
      <w:r w:rsidR="00145B28" w:rsidRPr="00543854">
        <w:rPr>
          <w:rFonts w:cs="Times New Roman"/>
        </w:rPr>
        <w:t xml:space="preserve">a </w:t>
      </w:r>
      <w:r w:rsidR="0086534A" w:rsidRPr="00543854">
        <w:rPr>
          <w:rFonts w:cs="Times New Roman"/>
        </w:rPr>
        <w:t>hierarchical cluster</w:t>
      </w:r>
      <w:r w:rsidR="00422173" w:rsidRPr="00543854">
        <w:rPr>
          <w:rFonts w:cs="Times New Roman"/>
        </w:rPr>
        <w:t xml:space="preserve">ing algorithm applied to </w:t>
      </w:r>
      <w:r w:rsidR="0086534A" w:rsidRPr="00543854">
        <w:rPr>
          <w:rFonts w:cs="Times New Roman"/>
        </w:rPr>
        <w:t>gear</w:t>
      </w:r>
      <w:r w:rsidR="00261955" w:rsidRPr="00543854">
        <w:rPr>
          <w:rFonts w:cs="Times New Roman"/>
        </w:rPr>
        <w:t>-</w:t>
      </w:r>
      <w:r w:rsidR="0086534A" w:rsidRPr="00543854">
        <w:rPr>
          <w:rFonts w:cs="Times New Roman"/>
        </w:rPr>
        <w:t>specific landings f</w:t>
      </w:r>
      <w:r w:rsidR="00422173" w:rsidRPr="00543854">
        <w:rPr>
          <w:rFonts w:cs="Times New Roman"/>
        </w:rPr>
        <w:t>rom</w:t>
      </w:r>
      <w:r w:rsidR="0086534A" w:rsidRPr="00543854">
        <w:rPr>
          <w:rFonts w:cs="Times New Roman"/>
        </w:rPr>
        <w:t xml:space="preserve"> the US West Coast sablefish fishery. </w:t>
      </w:r>
      <w:r w:rsidR="00EA4E9B" w:rsidRPr="00543854">
        <w:rPr>
          <w:rFonts w:cs="Times New Roman"/>
        </w:rPr>
        <w:t xml:space="preserve">Upper inset shows the </w:t>
      </w:r>
      <w:r w:rsidR="00AC5BE0">
        <w:rPr>
          <w:rFonts w:cs="Times New Roman"/>
        </w:rPr>
        <w:t xml:space="preserve">average silhouette width used to determine the optimal number of clusters (3). </w:t>
      </w:r>
      <w:r w:rsidR="00EA4E9B" w:rsidRPr="00543854">
        <w:rPr>
          <w:rFonts w:cs="Times New Roman"/>
        </w:rPr>
        <w:t xml:space="preserve">Optimal clustering is </w:t>
      </w:r>
      <w:r w:rsidR="0086534A" w:rsidRPr="00543854">
        <w:rPr>
          <w:rFonts w:cs="Times New Roman"/>
        </w:rPr>
        <w:t xml:space="preserve">denoted by </w:t>
      </w:r>
      <w:r w:rsidR="00EA4E9B" w:rsidRPr="00543854">
        <w:rPr>
          <w:rFonts w:cs="Times New Roman"/>
        </w:rPr>
        <w:t xml:space="preserve">dashed </w:t>
      </w:r>
      <w:r w:rsidR="0086534A" w:rsidRPr="00543854">
        <w:rPr>
          <w:rFonts w:cs="Times New Roman"/>
        </w:rPr>
        <w:t xml:space="preserve">black boxes. </w:t>
      </w:r>
    </w:p>
    <w:p w14:paraId="45CF622A" w14:textId="06281B88" w:rsidR="00CE2AEE" w:rsidRDefault="00543854">
      <w:pPr>
        <w:rPr>
          <w:rFonts w:ascii="Times New Roman" w:hAnsi="Times New Roman" w:cs="Times New Roman"/>
        </w:rPr>
      </w:pPr>
      <w:r w:rsidRPr="00543854">
        <w:rPr>
          <w:rFonts w:ascii="Times New Roman" w:hAnsi="Times New Roman" w:cs="Times New Roman"/>
        </w:rPr>
        <w:br w:type="page"/>
      </w:r>
    </w:p>
    <w:p w14:paraId="1A713EA2" w14:textId="19898043" w:rsidR="00543854" w:rsidRDefault="00CE2AEE">
      <w:pPr>
        <w:rPr>
          <w:rFonts w:ascii="Times New Roman" w:hAnsi="Times New Roman" w:cs="Times New Roman"/>
        </w:rPr>
      </w:pPr>
      <w:r w:rsidRPr="00CE2AEE">
        <w:rPr>
          <w:rFonts w:ascii="Times New Roman" w:hAnsi="Times New Roman" w:cs="Times New Roman"/>
          <w:noProof/>
        </w:rPr>
        <w:lastRenderedPageBreak/>
        <w:drawing>
          <wp:inline distT="0" distB="0" distL="0" distR="0" wp14:anchorId="1A6F4553" wp14:editId="33CA5C01">
            <wp:extent cx="5943600" cy="5943600"/>
            <wp:effectExtent l="0" t="0" r="0" b="0"/>
            <wp:docPr id="4" name="Picture 4" descr="D:\wcd\results\nm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cd\results\nm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DA1DD25" w14:textId="6DF18E8A" w:rsidR="00CE2AEE" w:rsidRPr="00543854" w:rsidRDefault="00CE2AEE">
      <w:pPr>
        <w:rPr>
          <w:rFonts w:ascii="Times New Roman" w:hAnsi="Times New Roman" w:cs="Times New Roman"/>
        </w:rPr>
      </w:pPr>
      <w:bookmarkStart w:id="35" w:name="_Ref441637819"/>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MERGEFORMAT </w:instrText>
      </w:r>
      <w:r>
        <w:rPr>
          <w:rFonts w:ascii="Times New Roman" w:hAnsi="Times New Roman" w:cs="Times New Roman"/>
        </w:rPr>
        <w:fldChar w:fldCharType="separate"/>
      </w:r>
      <w:r w:rsidR="00B20EC7">
        <w:rPr>
          <w:rFonts w:ascii="Times New Roman" w:hAnsi="Times New Roman" w:cs="Times New Roman"/>
          <w:noProof/>
        </w:rPr>
        <w:t>5</w:t>
      </w:r>
      <w:r>
        <w:rPr>
          <w:rFonts w:ascii="Times New Roman" w:hAnsi="Times New Roman" w:cs="Times New Roman"/>
        </w:rPr>
        <w:fldChar w:fldCharType="end"/>
      </w:r>
      <w:bookmarkEnd w:id="35"/>
      <w:r>
        <w:rPr>
          <w:rFonts w:ascii="Times New Roman" w:hAnsi="Times New Roman" w:cs="Times New Roman"/>
        </w:rPr>
        <w:t xml:space="preserve">. </w:t>
      </w:r>
      <w:r w:rsidR="00C42B05">
        <w:rPr>
          <w:rFonts w:ascii="Times New Roman" w:hAnsi="Times New Roman" w:cs="Times New Roman"/>
        </w:rPr>
        <w:t xml:space="preserve">Two-dimensional non-metric multidimensional scaling (NMDS) results of the proportion of sablefish landings caught by gear type from 1982 to 2014. Gear types include pots (POT), hook and line (HKL), and trawl (HKL) gears. </w:t>
      </w:r>
    </w:p>
    <w:p w14:paraId="595AC895" w14:textId="71676A96" w:rsidR="00543854" w:rsidRPr="00543854" w:rsidRDefault="00031C7E" w:rsidP="00543854">
      <w:pPr>
        <w:rPr>
          <w:rFonts w:ascii="Times New Roman" w:hAnsi="Times New Roman" w:cs="Times New Roman"/>
        </w:rPr>
      </w:pPr>
      <w:r>
        <w:rPr>
          <w:rFonts w:ascii="Times New Roman" w:hAnsi="Times New Roman" w:cs="Times New Roman"/>
          <w:noProof/>
        </w:rPr>
        <w:lastRenderedPageBreak/>
        <w:drawing>
          <wp:inline distT="0" distB="0" distL="0" distR="0" wp14:anchorId="20973AB6" wp14:editId="701520F5">
            <wp:extent cx="5943600" cy="4946514"/>
            <wp:effectExtent l="0" t="0" r="0" b="6985"/>
            <wp:docPr id="8" name="Picture 8" descr="C:\wcd\results\simpsonsd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cd\results\simpsonsdivers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46514"/>
                    </a:xfrm>
                    <a:prstGeom prst="rect">
                      <a:avLst/>
                    </a:prstGeom>
                    <a:noFill/>
                    <a:ln>
                      <a:noFill/>
                    </a:ln>
                  </pic:spPr>
                </pic:pic>
              </a:graphicData>
            </a:graphic>
          </wp:inline>
        </w:drawing>
      </w:r>
    </w:p>
    <w:p w14:paraId="4DD3DE14" w14:textId="77228EFE" w:rsidR="00543854" w:rsidRPr="00543854" w:rsidRDefault="00543854" w:rsidP="00543854">
      <w:pPr>
        <w:rPr>
          <w:rFonts w:ascii="Times New Roman" w:hAnsi="Times New Roman" w:cs="Times New Roman"/>
        </w:rPr>
      </w:pPr>
      <w:bookmarkStart w:id="36" w:name="_Ref441049502"/>
      <w:r w:rsidRPr="00543854">
        <w:rPr>
          <w:rFonts w:ascii="Times New Roman" w:hAnsi="Times New Roman" w:cs="Times New Roman"/>
        </w:rPr>
        <w:t xml:space="preserve">Figure </w:t>
      </w:r>
      <w:r w:rsidRPr="00543854">
        <w:rPr>
          <w:rFonts w:ascii="Times New Roman" w:hAnsi="Times New Roman" w:cs="Times New Roman"/>
        </w:rPr>
        <w:fldChar w:fldCharType="begin"/>
      </w:r>
      <w:r w:rsidRPr="00543854">
        <w:rPr>
          <w:rFonts w:ascii="Times New Roman" w:hAnsi="Times New Roman" w:cs="Times New Roman"/>
        </w:rPr>
        <w:instrText xml:space="preserve"> SEQ Figure \* MERGEFORMAT </w:instrText>
      </w:r>
      <w:r w:rsidRPr="00543854">
        <w:rPr>
          <w:rFonts w:ascii="Times New Roman" w:hAnsi="Times New Roman" w:cs="Times New Roman"/>
        </w:rPr>
        <w:fldChar w:fldCharType="separate"/>
      </w:r>
      <w:r w:rsidR="00B20EC7">
        <w:rPr>
          <w:rFonts w:ascii="Times New Roman" w:hAnsi="Times New Roman" w:cs="Times New Roman"/>
          <w:noProof/>
        </w:rPr>
        <w:t>6</w:t>
      </w:r>
      <w:r w:rsidRPr="00543854">
        <w:rPr>
          <w:rFonts w:ascii="Times New Roman" w:hAnsi="Times New Roman" w:cs="Times New Roman"/>
        </w:rPr>
        <w:fldChar w:fldCharType="end"/>
      </w:r>
      <w:bookmarkEnd w:id="36"/>
      <w:r w:rsidRPr="00543854">
        <w:rPr>
          <w:rFonts w:ascii="Times New Roman" w:hAnsi="Times New Roman" w:cs="Times New Roman"/>
        </w:rPr>
        <w:t xml:space="preserve">. Simpson diversity index of landings by gear type for the US West Coast sablefish fishery. </w:t>
      </w:r>
      <w:r>
        <w:rPr>
          <w:rFonts w:ascii="Times New Roman" w:hAnsi="Times New Roman" w:cs="Times New Roman"/>
        </w:rPr>
        <w:t xml:space="preserve">Higher values indicate increasing evenness among landings from each gear type. Landings by gear type were summed across all port groups for a given year. </w:t>
      </w:r>
      <w:r w:rsidR="00031C7E">
        <w:rPr>
          <w:rFonts w:ascii="Times New Roman" w:hAnsi="Times New Roman" w:cs="Times New Roman"/>
        </w:rPr>
        <w:t xml:space="preserve">Vertical dashed line at 1982 indicates the first year that federal management regulations were implemented in the fishery. </w:t>
      </w:r>
      <w:r w:rsidR="00D433D4">
        <w:rPr>
          <w:rFonts w:ascii="Times New Roman" w:hAnsi="Times New Roman" w:cs="Times New Roman"/>
        </w:rPr>
        <w:t>Horizontal d</w:t>
      </w:r>
      <w:r>
        <w:rPr>
          <w:rFonts w:ascii="Times New Roman" w:hAnsi="Times New Roman" w:cs="Times New Roman"/>
        </w:rPr>
        <w:t>ashed lines indicate mean evenness for a given range of years: 1900 to present (lower) and 1982 to present (upper). Black marks on the x axis indicate years where the evenness is below the mean evenness since 1982.</w:t>
      </w:r>
      <w:r w:rsidR="00D433D4">
        <w:rPr>
          <w:rFonts w:ascii="Times New Roman" w:hAnsi="Times New Roman" w:cs="Times New Roman"/>
        </w:rPr>
        <w:t xml:space="preserve"> </w:t>
      </w:r>
    </w:p>
    <w:p w14:paraId="292E9155" w14:textId="77777777" w:rsidR="00DF7E7E" w:rsidRPr="00543854" w:rsidRDefault="00DF7E7E" w:rsidP="00145B28">
      <w:pPr>
        <w:jc w:val="both"/>
        <w:rPr>
          <w:rFonts w:ascii="Times New Roman" w:hAnsi="Times New Roman" w:cs="Times New Roman"/>
          <w:iCs/>
          <w:color w:val="000000" w:themeColor="text1"/>
          <w:szCs w:val="18"/>
        </w:rPr>
      </w:pPr>
      <w:r w:rsidRPr="00543854">
        <w:rPr>
          <w:rFonts w:ascii="Times New Roman" w:hAnsi="Times New Roman" w:cs="Times New Roman"/>
        </w:rPr>
        <w:br w:type="page"/>
      </w:r>
    </w:p>
    <w:p w14:paraId="3AAE0633" w14:textId="33E17318" w:rsidR="009359C0" w:rsidRDefault="000028F1" w:rsidP="00145B28">
      <w:pPr>
        <w:jc w:val="both"/>
        <w:rPr>
          <w:rFonts w:ascii="Times New Roman" w:hAnsi="Times New Roman" w:cs="Times New Roman"/>
          <w:iCs/>
          <w:color w:val="000000" w:themeColor="text1"/>
          <w:szCs w:val="18"/>
        </w:rPr>
      </w:pPr>
      <w:r w:rsidRPr="000028F1">
        <w:rPr>
          <w:rFonts w:ascii="Times New Roman" w:hAnsi="Times New Roman" w:cs="Times New Roman"/>
          <w:iCs/>
          <w:noProof/>
          <w:color w:val="000000" w:themeColor="text1"/>
          <w:szCs w:val="18"/>
        </w:rPr>
        <w:lastRenderedPageBreak/>
        <w:drawing>
          <wp:inline distT="0" distB="0" distL="0" distR="0" wp14:anchorId="72D8DFBD" wp14:editId="46C923D6">
            <wp:extent cx="5943600" cy="5943600"/>
            <wp:effectExtent l="0" t="0" r="0" b="0"/>
            <wp:docPr id="6" name="Picture 6" descr="D:\wcd\results\landings_tra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cd\results\landings_traw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8413ABD" w14:textId="1E926C28" w:rsidR="000028F1" w:rsidRDefault="000028F1" w:rsidP="00145B28">
      <w:pPr>
        <w:jc w:val="both"/>
        <w:rPr>
          <w:rFonts w:ascii="Times New Roman" w:hAnsi="Times New Roman" w:cs="Times New Roman"/>
          <w:iCs/>
          <w:color w:val="000000" w:themeColor="text1"/>
          <w:szCs w:val="18"/>
        </w:rPr>
      </w:pPr>
      <w:bookmarkStart w:id="37" w:name="_Ref441647075"/>
      <w:r>
        <w:rPr>
          <w:rFonts w:ascii="Times New Roman" w:hAnsi="Times New Roman" w:cs="Times New Roman"/>
          <w:iCs/>
          <w:color w:val="000000" w:themeColor="text1"/>
          <w:szCs w:val="18"/>
        </w:rPr>
        <w:t xml:space="preserve">Figure </w:t>
      </w:r>
      <w:r>
        <w:rPr>
          <w:rFonts w:ascii="Times New Roman" w:hAnsi="Times New Roman" w:cs="Times New Roman"/>
          <w:iCs/>
          <w:color w:val="000000" w:themeColor="text1"/>
          <w:szCs w:val="18"/>
        </w:rPr>
        <w:fldChar w:fldCharType="begin"/>
      </w:r>
      <w:r>
        <w:rPr>
          <w:rFonts w:ascii="Times New Roman" w:hAnsi="Times New Roman" w:cs="Times New Roman"/>
          <w:iCs/>
          <w:color w:val="000000" w:themeColor="text1"/>
          <w:szCs w:val="18"/>
        </w:rPr>
        <w:instrText xml:space="preserve"> SEQ Figure \* MERGEFORMAT </w:instrText>
      </w:r>
      <w:r>
        <w:rPr>
          <w:rFonts w:ascii="Times New Roman" w:hAnsi="Times New Roman" w:cs="Times New Roman"/>
          <w:iCs/>
          <w:color w:val="000000" w:themeColor="text1"/>
          <w:szCs w:val="18"/>
        </w:rPr>
        <w:fldChar w:fldCharType="separate"/>
      </w:r>
      <w:r w:rsidR="00B20EC7">
        <w:rPr>
          <w:rFonts w:ascii="Times New Roman" w:hAnsi="Times New Roman" w:cs="Times New Roman"/>
          <w:iCs/>
          <w:noProof/>
          <w:color w:val="000000" w:themeColor="text1"/>
          <w:szCs w:val="18"/>
        </w:rPr>
        <w:t>7</w:t>
      </w:r>
      <w:r>
        <w:rPr>
          <w:rFonts w:ascii="Times New Roman" w:hAnsi="Times New Roman" w:cs="Times New Roman"/>
          <w:iCs/>
          <w:color w:val="000000" w:themeColor="text1"/>
          <w:szCs w:val="18"/>
        </w:rPr>
        <w:fldChar w:fldCharType="end"/>
      </w:r>
      <w:bookmarkEnd w:id="37"/>
      <w:r>
        <w:rPr>
          <w:rFonts w:ascii="Times New Roman" w:hAnsi="Times New Roman" w:cs="Times New Roman"/>
          <w:iCs/>
          <w:color w:val="000000" w:themeColor="text1"/>
          <w:szCs w:val="18"/>
        </w:rPr>
        <w:t xml:space="preserve">. Landings (catch minus discards; mt) of sablefish caught by the Limited Entry (LE) trawl sector of the US West Coast groudfish fishery using trawl gear from 2009 to 2013 by port group (rows). Port groups are listed geographically from north (top) to south (bottom). Numerical values on the x-axis of the top row are annual catch limits (optimal yields prior to 2011) assigned to the LE trawl sector of the US West Coast groundfish fishery fishing north of 36°N latitude and the vertical dashed line indicates the </w:t>
      </w:r>
      <w:r w:rsidR="006441ED">
        <w:rPr>
          <w:rFonts w:ascii="Times New Roman" w:hAnsi="Times New Roman" w:cs="Times New Roman"/>
          <w:iCs/>
          <w:color w:val="000000" w:themeColor="text1"/>
          <w:szCs w:val="18"/>
        </w:rPr>
        <w:t xml:space="preserve">implementation of an </w:t>
      </w:r>
      <w:r>
        <w:rPr>
          <w:rFonts w:ascii="Times New Roman" w:hAnsi="Times New Roman" w:cs="Times New Roman"/>
          <w:iCs/>
          <w:color w:val="000000" w:themeColor="text1"/>
          <w:szCs w:val="18"/>
        </w:rPr>
        <w:t xml:space="preserve">individual transferable quota system. Missing data points had </w:t>
      </w:r>
      <w:r w:rsidR="006441ED">
        <w:rPr>
          <w:rFonts w:ascii="Times New Roman" w:hAnsi="Times New Roman" w:cs="Times New Roman"/>
          <w:iCs/>
          <w:color w:val="000000" w:themeColor="text1"/>
          <w:szCs w:val="18"/>
        </w:rPr>
        <w:t xml:space="preserve">reported </w:t>
      </w:r>
      <w:r>
        <w:rPr>
          <w:rFonts w:ascii="Times New Roman" w:hAnsi="Times New Roman" w:cs="Times New Roman"/>
          <w:iCs/>
          <w:color w:val="000000" w:themeColor="text1"/>
          <w:szCs w:val="18"/>
        </w:rPr>
        <w:t>landings but data were withheld to protect vessel confidentiality.</w:t>
      </w:r>
    </w:p>
    <w:p w14:paraId="65BFC7BB" w14:textId="54523994" w:rsidR="000028F1" w:rsidRDefault="000028F1">
      <w:pPr>
        <w:rPr>
          <w:rFonts w:ascii="Times New Roman" w:hAnsi="Times New Roman" w:cs="Times New Roman"/>
          <w:iCs/>
          <w:color w:val="000000" w:themeColor="text1"/>
          <w:szCs w:val="18"/>
        </w:rPr>
      </w:pPr>
      <w:r>
        <w:rPr>
          <w:rFonts w:ascii="Times New Roman" w:hAnsi="Times New Roman" w:cs="Times New Roman"/>
          <w:iCs/>
          <w:color w:val="000000" w:themeColor="text1"/>
          <w:szCs w:val="18"/>
        </w:rPr>
        <w:br w:type="page"/>
      </w:r>
    </w:p>
    <w:p w14:paraId="3BFA7EF2" w14:textId="7715D7C3" w:rsidR="005C2096" w:rsidRPr="00543854" w:rsidRDefault="00FA6F20" w:rsidP="00145B28">
      <w:pPr>
        <w:spacing w:line="240" w:lineRule="auto"/>
        <w:jc w:val="both"/>
        <w:rPr>
          <w:rFonts w:ascii="Times New Roman" w:hAnsi="Times New Roman" w:cs="Times New Roman"/>
        </w:rPr>
      </w:pPr>
      <w:bookmarkStart w:id="38" w:name="_Ref433534641"/>
      <w:bookmarkEnd w:id="32"/>
      <w:r w:rsidRPr="00FA6F20">
        <w:rPr>
          <w:rFonts w:ascii="Times New Roman" w:hAnsi="Times New Roman" w:cs="Times New Roman"/>
          <w:noProof/>
        </w:rPr>
        <w:lastRenderedPageBreak/>
        <w:drawing>
          <wp:inline distT="0" distB="0" distL="0" distR="0" wp14:anchorId="4262E2CB" wp14:editId="36BE696C">
            <wp:extent cx="5943600" cy="5943600"/>
            <wp:effectExtent l="0" t="0" r="0" b="0"/>
            <wp:docPr id="10" name="Picture 10" descr="D:\wcd\results\index_speciesbystrata_no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cd\results\index_speciesbystrata_nodep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81A54B6" w14:textId="0F775A41" w:rsidR="00BC7FD5" w:rsidRPr="00543854" w:rsidRDefault="00BC7FD5" w:rsidP="00145B28">
      <w:pPr>
        <w:spacing w:line="240" w:lineRule="auto"/>
        <w:jc w:val="both"/>
        <w:rPr>
          <w:rFonts w:ascii="Times New Roman" w:hAnsi="Times New Roman" w:cs="Times New Roman"/>
        </w:rPr>
      </w:pPr>
      <w:bookmarkStart w:id="39" w:name="_Ref440571613"/>
      <w:commentRangeStart w:id="40"/>
      <w:r w:rsidRPr="00543854">
        <w:rPr>
          <w:rFonts w:ascii="Times New Roman" w:hAnsi="Times New Roman" w:cs="Times New Roman"/>
        </w:rPr>
        <w:t xml:space="preserve">Figure </w:t>
      </w:r>
      <w:r w:rsidRPr="00543854">
        <w:rPr>
          <w:rFonts w:ascii="Times New Roman" w:hAnsi="Times New Roman" w:cs="Times New Roman"/>
        </w:rPr>
        <w:fldChar w:fldCharType="begin"/>
      </w:r>
      <w:r w:rsidRPr="00543854">
        <w:rPr>
          <w:rFonts w:ascii="Times New Roman" w:hAnsi="Times New Roman" w:cs="Times New Roman"/>
        </w:rPr>
        <w:instrText xml:space="preserve"> SEQ Figure \* ARABIC  \* MERGEFORMAT </w:instrText>
      </w:r>
      <w:r w:rsidRPr="00543854">
        <w:rPr>
          <w:rFonts w:ascii="Times New Roman" w:hAnsi="Times New Roman" w:cs="Times New Roman"/>
        </w:rPr>
        <w:fldChar w:fldCharType="separate"/>
      </w:r>
      <w:r w:rsidR="00B20EC7">
        <w:rPr>
          <w:rFonts w:ascii="Times New Roman" w:hAnsi="Times New Roman" w:cs="Times New Roman"/>
          <w:noProof/>
        </w:rPr>
        <w:t>8</w:t>
      </w:r>
      <w:r w:rsidRPr="00543854">
        <w:rPr>
          <w:rFonts w:ascii="Times New Roman" w:hAnsi="Times New Roman" w:cs="Times New Roman"/>
        </w:rPr>
        <w:fldChar w:fldCharType="end"/>
      </w:r>
      <w:bookmarkEnd w:id="38"/>
      <w:bookmarkEnd w:id="39"/>
      <w:r w:rsidRPr="00543854">
        <w:rPr>
          <w:rFonts w:ascii="Times New Roman" w:hAnsi="Times New Roman" w:cs="Times New Roman"/>
        </w:rPr>
        <w:t xml:space="preserve">. </w:t>
      </w:r>
      <w:commentRangeEnd w:id="40"/>
      <w:r w:rsidR="00AC5BE0">
        <w:rPr>
          <w:rStyle w:val="CommentReference"/>
        </w:rPr>
        <w:commentReference w:id="40"/>
      </w:r>
      <w:r w:rsidR="00261955" w:rsidRPr="00543854">
        <w:rPr>
          <w:rFonts w:ascii="Times New Roman" w:hAnsi="Times New Roman" w:cs="Times New Roman"/>
        </w:rPr>
        <w:t>Species-</w:t>
      </w:r>
      <w:r w:rsidR="00711C6F">
        <w:rPr>
          <w:rFonts w:ascii="Times New Roman" w:hAnsi="Times New Roman" w:cs="Times New Roman"/>
        </w:rPr>
        <w:t>s</w:t>
      </w:r>
      <w:r w:rsidRPr="00543854">
        <w:rPr>
          <w:rFonts w:ascii="Times New Roman" w:hAnsi="Times New Roman" w:cs="Times New Roman"/>
        </w:rPr>
        <w:t xml:space="preserve">pecific relative indexes of abundances </w:t>
      </w:r>
      <w:r w:rsidR="00711C6F">
        <w:rPr>
          <w:rFonts w:ascii="Times New Roman" w:hAnsi="Times New Roman" w:cs="Times New Roman"/>
        </w:rPr>
        <w:t>by latitudinal stratum</w:t>
      </w:r>
      <w:r w:rsidRPr="00543854">
        <w:rPr>
          <w:rFonts w:ascii="Times New Roman" w:hAnsi="Times New Roman" w:cs="Times New Roman"/>
        </w:rPr>
        <w:t xml:space="preserve"> </w:t>
      </w:r>
      <w:r w:rsidR="00712764" w:rsidRPr="00543854">
        <w:rPr>
          <w:rFonts w:ascii="Times New Roman" w:hAnsi="Times New Roman" w:cs="Times New Roman"/>
        </w:rPr>
        <w:t xml:space="preserve">estimated from </w:t>
      </w:r>
      <w:r w:rsidRPr="00543854">
        <w:rPr>
          <w:rFonts w:ascii="Times New Roman" w:hAnsi="Times New Roman" w:cs="Times New Roman"/>
        </w:rPr>
        <w:t xml:space="preserve">delta-generalized linear mixed effects models </w:t>
      </w:r>
      <w:r w:rsidR="00712764" w:rsidRPr="00543854">
        <w:rPr>
          <w:rFonts w:ascii="Times New Roman" w:hAnsi="Times New Roman" w:cs="Times New Roman"/>
        </w:rPr>
        <w:t xml:space="preserve">fit to data from the </w:t>
      </w:r>
      <w:r w:rsidRPr="00543854">
        <w:rPr>
          <w:rFonts w:ascii="Times New Roman" w:hAnsi="Times New Roman" w:cs="Times New Roman"/>
        </w:rPr>
        <w:t>Northwest Fisheries Science Shelf-</w:t>
      </w:r>
      <w:r w:rsidR="00462597">
        <w:rPr>
          <w:rFonts w:ascii="Times New Roman" w:hAnsi="Times New Roman" w:cs="Times New Roman"/>
        </w:rPr>
        <w:t>S</w:t>
      </w:r>
      <w:r w:rsidRPr="00543854">
        <w:rPr>
          <w:rFonts w:ascii="Times New Roman" w:hAnsi="Times New Roman" w:cs="Times New Roman"/>
        </w:rPr>
        <w:t xml:space="preserve">lope survey trawl. </w:t>
      </w:r>
      <w:r w:rsidR="00711C6F">
        <w:rPr>
          <w:rFonts w:ascii="Times New Roman" w:hAnsi="Times New Roman" w:cs="Times New Roman"/>
        </w:rPr>
        <w:t>Three latitudinal stratum</w:t>
      </w:r>
      <w:r w:rsidRPr="00543854">
        <w:rPr>
          <w:rFonts w:ascii="Times New Roman" w:hAnsi="Times New Roman" w:cs="Times New Roman"/>
        </w:rPr>
        <w:t xml:space="preserve"> (</w:t>
      </w:r>
      <w:r w:rsidR="007F5BAB" w:rsidRPr="00543854">
        <w:rPr>
          <w:rFonts w:ascii="Times New Roman" w:hAnsi="Times New Roman" w:cs="Times New Roman"/>
        </w:rPr>
        <w:t>columns</w:t>
      </w:r>
      <w:r w:rsidRPr="00543854">
        <w:rPr>
          <w:rFonts w:ascii="Times New Roman" w:hAnsi="Times New Roman" w:cs="Times New Roman"/>
        </w:rPr>
        <w:t xml:space="preserve">) </w:t>
      </w:r>
      <w:r w:rsidR="00711C6F">
        <w:rPr>
          <w:rFonts w:ascii="Times New Roman" w:hAnsi="Times New Roman" w:cs="Times New Roman"/>
        </w:rPr>
        <w:t xml:space="preserve">were included, representing prominent biogeophysical features </w:t>
      </w:r>
      <w:r w:rsidRPr="00543854">
        <w:rPr>
          <w:rFonts w:ascii="Times New Roman" w:hAnsi="Times New Roman" w:cs="Times New Roman"/>
        </w:rPr>
        <w:t xml:space="preserve">along the US West Coast: (A) </w:t>
      </w:r>
      <w:r w:rsidR="00AC5BE0">
        <w:rPr>
          <w:rFonts w:ascii="Times New Roman" w:eastAsia="Calibri" w:hAnsi="Times New Roman" w:cs="Times New Roman"/>
          <w:color w:val="000000" w:themeColor="text1"/>
          <w:szCs w:val="22"/>
        </w:rPr>
        <w:t xml:space="preserve">Astoria Canyon (46°15’N), </w:t>
      </w:r>
      <w:r w:rsidR="00AC5BE0" w:rsidRPr="00543854">
        <w:rPr>
          <w:rFonts w:ascii="Times New Roman" w:hAnsi="Times New Roman" w:cs="Times New Roman"/>
        </w:rPr>
        <w:t xml:space="preserve">(B) </w:t>
      </w:r>
      <w:r w:rsidR="00AC5BE0">
        <w:rPr>
          <w:rFonts w:ascii="Times New Roman" w:eastAsia="Calibri" w:hAnsi="Times New Roman" w:cs="Times New Roman"/>
          <w:color w:val="000000" w:themeColor="text1"/>
          <w:szCs w:val="22"/>
        </w:rPr>
        <w:t xml:space="preserve">Cape Blanco (42°50’N), </w:t>
      </w:r>
      <w:r w:rsidR="00AC5BE0" w:rsidRPr="00543854">
        <w:rPr>
          <w:rFonts w:ascii="Times New Roman" w:hAnsi="Times New Roman" w:cs="Times New Roman"/>
        </w:rPr>
        <w:t xml:space="preserve">(C) </w:t>
      </w:r>
      <w:r w:rsidR="00AC5BE0">
        <w:rPr>
          <w:rFonts w:ascii="Times New Roman" w:eastAsia="Calibri" w:hAnsi="Times New Roman" w:cs="Times New Roman"/>
          <w:color w:val="000000" w:themeColor="text1"/>
          <w:szCs w:val="22"/>
        </w:rPr>
        <w:t xml:space="preserve">Cape Mendocino (40°26’N), and </w:t>
      </w:r>
      <w:r w:rsidR="00AC5BE0" w:rsidRPr="00543854">
        <w:rPr>
          <w:rFonts w:ascii="Times New Roman" w:hAnsi="Times New Roman" w:cs="Times New Roman"/>
        </w:rPr>
        <w:t xml:space="preserve">(D) </w:t>
      </w:r>
      <w:r w:rsidR="00AC5BE0">
        <w:rPr>
          <w:rFonts w:ascii="Times New Roman" w:eastAsia="Calibri" w:hAnsi="Times New Roman" w:cs="Times New Roman"/>
          <w:color w:val="000000" w:themeColor="text1"/>
          <w:szCs w:val="22"/>
        </w:rPr>
        <w:t>Point Conception (34°27’N)</w:t>
      </w:r>
      <w:r w:rsidRPr="00543854">
        <w:rPr>
          <w:rFonts w:ascii="Times New Roman" w:hAnsi="Times New Roman" w:cs="Times New Roman"/>
        </w:rPr>
        <w:t xml:space="preserve">. Results are presented for </w:t>
      </w:r>
      <w:r w:rsidR="00AC5BE0">
        <w:rPr>
          <w:rFonts w:ascii="Times New Roman" w:hAnsi="Times New Roman" w:cs="Times New Roman"/>
        </w:rPr>
        <w:t>three</w:t>
      </w:r>
      <w:r w:rsidRPr="00543854">
        <w:rPr>
          <w:rFonts w:ascii="Times New Roman" w:hAnsi="Times New Roman" w:cs="Times New Roman"/>
        </w:rPr>
        <w:t xml:space="preserve"> overfished species </w:t>
      </w:r>
      <w:r w:rsidR="00AC5BE0">
        <w:rPr>
          <w:rFonts w:ascii="Times New Roman" w:hAnsi="Times New Roman" w:cs="Times New Roman"/>
        </w:rPr>
        <w:t xml:space="preserve">(bocaccio rockfish (“bocaccio”), darkblotched rockfish (“darkblotched”), and Pacific ocean perch (POP)) </w:t>
      </w:r>
      <w:r w:rsidRPr="00543854">
        <w:rPr>
          <w:rFonts w:ascii="Times New Roman" w:hAnsi="Times New Roman" w:cs="Times New Roman"/>
        </w:rPr>
        <w:t>and sablefish (</w:t>
      </w:r>
      <w:r w:rsidR="007F5BAB" w:rsidRPr="00543854">
        <w:rPr>
          <w:rFonts w:ascii="Times New Roman" w:hAnsi="Times New Roman" w:cs="Times New Roman"/>
        </w:rPr>
        <w:t>rows</w:t>
      </w:r>
      <w:r w:rsidRPr="00543854">
        <w:rPr>
          <w:rFonts w:ascii="Times New Roman" w:hAnsi="Times New Roman" w:cs="Times New Roman"/>
        </w:rPr>
        <w:t>). Indices were generated using data from 200</w:t>
      </w:r>
      <w:r w:rsidR="00AC5BE0">
        <w:rPr>
          <w:rFonts w:ascii="Times New Roman" w:hAnsi="Times New Roman" w:cs="Times New Roman"/>
        </w:rPr>
        <w:t>3</w:t>
      </w:r>
      <w:r w:rsidRPr="00543854">
        <w:rPr>
          <w:rFonts w:ascii="Times New Roman" w:hAnsi="Times New Roman" w:cs="Times New Roman"/>
        </w:rPr>
        <w:t xml:space="preserve"> to 2014, but results are only shown for 2009 to 2013 because those </w:t>
      </w:r>
      <w:r w:rsidR="00326C21" w:rsidRPr="00543854">
        <w:rPr>
          <w:rFonts w:ascii="Times New Roman" w:hAnsi="Times New Roman" w:cs="Times New Roman"/>
        </w:rPr>
        <w:t>represent the years for</w:t>
      </w:r>
      <w:r w:rsidR="00BF254F" w:rsidRPr="00543854">
        <w:rPr>
          <w:rFonts w:ascii="Times New Roman" w:hAnsi="Times New Roman" w:cs="Times New Roman"/>
        </w:rPr>
        <w:softHyphen/>
      </w:r>
      <w:r w:rsidR="00BF254F" w:rsidRPr="00543854">
        <w:rPr>
          <w:rFonts w:ascii="Times New Roman" w:hAnsi="Times New Roman" w:cs="Times New Roman"/>
        </w:rPr>
        <w:softHyphen/>
      </w:r>
      <w:r w:rsidR="00326C21" w:rsidRPr="00543854">
        <w:rPr>
          <w:rFonts w:ascii="Times New Roman" w:hAnsi="Times New Roman" w:cs="Times New Roman"/>
        </w:rPr>
        <w:t xml:space="preserve"> which </w:t>
      </w:r>
      <w:r w:rsidRPr="00543854">
        <w:rPr>
          <w:rFonts w:ascii="Times New Roman" w:hAnsi="Times New Roman" w:cs="Times New Roman"/>
        </w:rPr>
        <w:t>economic data was also available.</w:t>
      </w:r>
    </w:p>
    <w:p w14:paraId="37D2501C" w14:textId="36478CFD" w:rsidR="00D25EB6" w:rsidRPr="00543854" w:rsidRDefault="00D25EB6" w:rsidP="00145B28">
      <w:pPr>
        <w:jc w:val="both"/>
        <w:rPr>
          <w:rFonts w:ascii="Times New Roman" w:hAnsi="Times New Roman" w:cs="Times New Roman"/>
        </w:rPr>
      </w:pPr>
      <w:r w:rsidRPr="00543854">
        <w:rPr>
          <w:rFonts w:ascii="Times New Roman" w:hAnsi="Times New Roman" w:cs="Times New Roman"/>
        </w:rPr>
        <w:br w:type="page"/>
      </w:r>
    </w:p>
    <w:p w14:paraId="71F8860C" w14:textId="255ABD4B" w:rsidR="00D25EB6" w:rsidRPr="00543854" w:rsidRDefault="00012785" w:rsidP="00145B28">
      <w:pPr>
        <w:spacing w:line="240" w:lineRule="auto"/>
        <w:jc w:val="both"/>
        <w:rPr>
          <w:rFonts w:ascii="Times New Roman" w:hAnsi="Times New Roman" w:cs="Times New Roman"/>
        </w:rPr>
      </w:pPr>
      <w:r w:rsidRPr="00543854">
        <w:rPr>
          <w:rFonts w:ascii="Times New Roman" w:hAnsi="Times New Roman" w:cs="Times New Roman"/>
        </w:rPr>
        <w:lastRenderedPageBreak/>
        <w:t xml:space="preserve"> </w:t>
      </w:r>
      <w:r w:rsidR="00D25EB6" w:rsidRPr="00543854">
        <w:rPr>
          <w:rFonts w:ascii="Times New Roman" w:hAnsi="Times New Roman" w:cs="Times New Roman"/>
        </w:rPr>
        <w:softHyphen/>
      </w:r>
      <w:r w:rsidR="00D25EB6" w:rsidRPr="00543854">
        <w:rPr>
          <w:rFonts w:ascii="Times New Roman" w:hAnsi="Times New Roman" w:cs="Times New Roman"/>
        </w:rPr>
        <w:softHyphen/>
      </w:r>
      <w:r w:rsidR="00D25EB6" w:rsidRPr="00543854">
        <w:rPr>
          <w:rFonts w:ascii="Times New Roman" w:hAnsi="Times New Roman" w:cs="Times New Roman"/>
        </w:rPr>
        <w:softHyphen/>
      </w:r>
      <w:r w:rsidR="00BA12FD" w:rsidRPr="00BA12FD">
        <w:rPr>
          <w:rFonts w:ascii="Times New Roman" w:hAnsi="Times New Roman" w:cs="Times New Roman"/>
          <w:noProof/>
        </w:rPr>
        <w:drawing>
          <wp:inline distT="0" distB="0" distL="0" distR="0" wp14:anchorId="487E32B1" wp14:editId="66DF3DC3">
            <wp:extent cx="5943600" cy="6826885"/>
            <wp:effectExtent l="0" t="0" r="0" b="0"/>
            <wp:docPr id="11" name="Picture 11" descr="D:\wcd\results\gam_marginal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cd\results\gam_marginalpredi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26885"/>
                    </a:xfrm>
                    <a:prstGeom prst="rect">
                      <a:avLst/>
                    </a:prstGeom>
                    <a:noFill/>
                    <a:ln>
                      <a:noFill/>
                    </a:ln>
                  </pic:spPr>
                </pic:pic>
              </a:graphicData>
            </a:graphic>
          </wp:inline>
        </w:drawing>
      </w:r>
    </w:p>
    <w:p w14:paraId="14729468" w14:textId="38BBF8BA" w:rsidR="009A7FA3" w:rsidRDefault="00D25EB6" w:rsidP="00145B28">
      <w:pPr>
        <w:spacing w:line="240" w:lineRule="auto"/>
        <w:jc w:val="both"/>
        <w:rPr>
          <w:rFonts w:ascii="Times New Roman" w:hAnsi="Times New Roman" w:cs="Times New Roman"/>
        </w:rPr>
      </w:pPr>
      <w:bookmarkStart w:id="41" w:name="_Ref440555738"/>
      <w:r w:rsidRPr="00543854">
        <w:rPr>
          <w:rFonts w:ascii="Times New Roman" w:hAnsi="Times New Roman" w:cs="Times New Roman"/>
        </w:rPr>
        <w:t xml:space="preserve">Figure </w:t>
      </w:r>
      <w:r w:rsidRPr="00543854">
        <w:rPr>
          <w:rFonts w:ascii="Times New Roman" w:hAnsi="Times New Roman" w:cs="Times New Roman"/>
        </w:rPr>
        <w:fldChar w:fldCharType="begin"/>
      </w:r>
      <w:r w:rsidRPr="00543854">
        <w:rPr>
          <w:rFonts w:ascii="Times New Roman" w:hAnsi="Times New Roman" w:cs="Times New Roman"/>
        </w:rPr>
        <w:instrText xml:space="preserve"> SEQ Figure \* MERGEFORMAT </w:instrText>
      </w:r>
      <w:r w:rsidRPr="00543854">
        <w:rPr>
          <w:rFonts w:ascii="Times New Roman" w:hAnsi="Times New Roman" w:cs="Times New Roman"/>
        </w:rPr>
        <w:fldChar w:fldCharType="separate"/>
      </w:r>
      <w:r w:rsidR="00B20EC7">
        <w:rPr>
          <w:rFonts w:ascii="Times New Roman" w:hAnsi="Times New Roman" w:cs="Times New Roman"/>
          <w:noProof/>
        </w:rPr>
        <w:t>9</w:t>
      </w:r>
      <w:r w:rsidRPr="00543854">
        <w:rPr>
          <w:rFonts w:ascii="Times New Roman" w:hAnsi="Times New Roman" w:cs="Times New Roman"/>
        </w:rPr>
        <w:fldChar w:fldCharType="end"/>
      </w:r>
      <w:bookmarkEnd w:id="41"/>
      <w:r w:rsidRPr="00543854">
        <w:rPr>
          <w:rFonts w:ascii="Times New Roman" w:hAnsi="Times New Roman" w:cs="Times New Roman"/>
        </w:rPr>
        <w:t xml:space="preserve">. </w:t>
      </w:r>
      <w:r w:rsidR="00BA12FD">
        <w:rPr>
          <w:rFonts w:ascii="Times New Roman" w:hAnsi="Times New Roman" w:cs="Times New Roman"/>
        </w:rPr>
        <w:t>Marginal prediction intervals (90%; dashed lines)</w:t>
      </w:r>
      <w:r w:rsidRPr="00543854">
        <w:rPr>
          <w:rFonts w:ascii="Times New Roman" w:hAnsi="Times New Roman" w:cs="Times New Roman"/>
        </w:rPr>
        <w:t xml:space="preserve"> for </w:t>
      </w:r>
      <w:r w:rsidR="00FA6F20">
        <w:rPr>
          <w:rFonts w:ascii="Times New Roman" w:hAnsi="Times New Roman" w:cs="Times New Roman"/>
        </w:rPr>
        <w:t>number of vessels and crew, where each variable relates to the mean and precision parameters, respectively. Predictions are attainment within a port group, where attainment is the proportion of the annual catch limit of sablefish assigned to the Limited Entry trawl sector of the US West Coast groundfish fishery l</w:t>
      </w:r>
      <w:r w:rsidR="00BA12FD">
        <w:rPr>
          <w:rFonts w:ascii="Times New Roman" w:hAnsi="Times New Roman" w:cs="Times New Roman"/>
        </w:rPr>
        <w:t xml:space="preserve">anded in a port group by trawl gear. </w:t>
      </w:r>
      <w:r w:rsidRPr="00543854">
        <w:rPr>
          <w:rFonts w:ascii="Times New Roman" w:hAnsi="Times New Roman" w:cs="Times New Roman"/>
        </w:rPr>
        <w:t>Rug marks on axes indicate observed levels for each predictor value.</w:t>
      </w:r>
    </w:p>
    <w:p w14:paraId="73115FF3" w14:textId="77777777" w:rsidR="009A7FA3" w:rsidRDefault="009A7FA3">
      <w:pPr>
        <w:rPr>
          <w:rFonts w:ascii="Times New Roman" w:hAnsi="Times New Roman" w:cs="Times New Roman"/>
        </w:rPr>
      </w:pPr>
      <w:r>
        <w:rPr>
          <w:rFonts w:ascii="Times New Roman" w:hAnsi="Times New Roman" w:cs="Times New Roman"/>
        </w:rPr>
        <w:br w:type="page"/>
      </w:r>
    </w:p>
    <w:p w14:paraId="0A974297" w14:textId="61580DA0" w:rsidR="00D25EB6" w:rsidRDefault="009A7FA3" w:rsidP="00145B28">
      <w:pPr>
        <w:spacing w:line="240" w:lineRule="auto"/>
        <w:jc w:val="both"/>
        <w:rPr>
          <w:rFonts w:ascii="Times New Roman" w:hAnsi="Times New Roman" w:cs="Times New Roman"/>
        </w:rPr>
      </w:pPr>
      <w:r>
        <w:rPr>
          <w:rFonts w:ascii="Times New Roman" w:hAnsi="Times New Roman" w:cs="Times New Roman"/>
        </w:rPr>
        <w:lastRenderedPageBreak/>
        <w:t xml:space="preserve">Appendix </w:t>
      </w:r>
      <w:r>
        <w:rPr>
          <w:rFonts w:ascii="Times New Roman" w:hAnsi="Times New Roman" w:cs="Times New Roman"/>
        </w:rPr>
        <w:fldChar w:fldCharType="begin"/>
      </w:r>
      <w:r>
        <w:rPr>
          <w:rFonts w:ascii="Times New Roman" w:hAnsi="Times New Roman" w:cs="Times New Roman"/>
        </w:rPr>
        <w:instrText xml:space="preserve"> SEQ Appendix \* MERGEFORMAT </w:instrText>
      </w:r>
      <w:r>
        <w:rPr>
          <w:rFonts w:ascii="Times New Roman" w:hAnsi="Times New Roman" w:cs="Times New Roman"/>
        </w:rPr>
        <w:fldChar w:fldCharType="separate"/>
      </w:r>
      <w:r w:rsidR="00B20EC7">
        <w:rPr>
          <w:rFonts w:ascii="Times New Roman" w:hAnsi="Times New Roman" w:cs="Times New Roman"/>
          <w:noProof/>
        </w:rPr>
        <w:t>1</w:t>
      </w:r>
      <w:r>
        <w:rPr>
          <w:rFonts w:ascii="Times New Roman" w:hAnsi="Times New Roman" w:cs="Times New Roman"/>
        </w:rPr>
        <w:fldChar w:fldCharType="end"/>
      </w:r>
    </w:p>
    <w:p w14:paraId="5F483684" w14:textId="77777777" w:rsidR="00711C6F" w:rsidRPr="00543854" w:rsidRDefault="00711C6F" w:rsidP="00711C6F">
      <w:pPr>
        <w:jc w:val="both"/>
        <w:rPr>
          <w:rFonts w:ascii="Times New Roman" w:hAnsi="Times New Roman" w:cs="Times New Roman"/>
        </w:rPr>
      </w:pPr>
      <w:r w:rsidRPr="00543854">
        <w:rPr>
          <w:rFonts w:ascii="Times New Roman" w:hAnsi="Times New Roman" w:cs="Times New Roman"/>
          <w:noProof/>
        </w:rPr>
        <w:drawing>
          <wp:inline distT="0" distB="0" distL="0" distR="0" wp14:anchorId="38E09062" wp14:editId="1A0FCCDB">
            <wp:extent cx="5943600" cy="5943600"/>
            <wp:effectExtent l="0" t="0" r="0" b="0"/>
            <wp:docPr id="7" name="Picture 7" descr="C:\wcd\results\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cd\results\distribu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7C4198F" w14:textId="0BAFDF63" w:rsidR="00711C6F" w:rsidRDefault="00711C6F" w:rsidP="00145B28">
      <w:pPr>
        <w:spacing w:line="240" w:lineRule="auto"/>
        <w:jc w:val="both"/>
        <w:rPr>
          <w:rFonts w:ascii="Times New Roman" w:eastAsia="Calibri" w:hAnsi="Times New Roman" w:cs="Times New Roman"/>
          <w:color w:val="000000" w:themeColor="text1"/>
          <w:szCs w:val="22"/>
        </w:rPr>
      </w:pPr>
      <w:r>
        <w:rPr>
          <w:rFonts w:ascii="Times New Roman" w:hAnsi="Times New Roman" w:cs="Times New Roman"/>
        </w:rPr>
        <w:t xml:space="preserve">A1 </w:t>
      </w:r>
      <w:r>
        <w:rPr>
          <w:rFonts w:ascii="Times New Roman" w:hAnsi="Times New Roman" w:cs="Times New Roman"/>
        </w:rPr>
        <w:fldChar w:fldCharType="begin"/>
      </w:r>
      <w:r>
        <w:rPr>
          <w:rFonts w:ascii="Times New Roman" w:hAnsi="Times New Roman" w:cs="Times New Roman"/>
        </w:rPr>
        <w:instrText xml:space="preserve"> SEQ A \* MERGEFORMAT </w:instrText>
      </w:r>
      <w:r>
        <w:rPr>
          <w:rFonts w:ascii="Times New Roman" w:hAnsi="Times New Roman" w:cs="Times New Roman"/>
        </w:rPr>
        <w:fldChar w:fldCharType="separate"/>
      </w:r>
      <w:r w:rsidR="00B20EC7">
        <w:rPr>
          <w:rFonts w:ascii="Times New Roman" w:hAnsi="Times New Roman" w:cs="Times New Roman"/>
          <w:noProof/>
        </w:rPr>
        <w:t>1</w:t>
      </w:r>
      <w:r>
        <w:rPr>
          <w:rFonts w:ascii="Times New Roman" w:hAnsi="Times New Roman" w:cs="Times New Roman"/>
        </w:rPr>
        <w:fldChar w:fldCharType="end"/>
      </w:r>
      <w:r w:rsidRPr="00543854">
        <w:rPr>
          <w:rFonts w:ascii="Times New Roman" w:hAnsi="Times New Roman" w:cs="Times New Roman"/>
        </w:rPr>
        <w:t>. Comparisons between sample and t</w:t>
      </w:r>
      <w:r w:rsidRPr="00543854">
        <w:rPr>
          <w:rFonts w:ascii="Times New Roman" w:hAnsi="Times New Roman" w:cs="Times New Roman"/>
          <w:iCs/>
          <w:color w:val="000000" w:themeColor="text1"/>
          <w:szCs w:val="18"/>
        </w:rPr>
        <w:t xml:space="preserve">heoretical quantiles for a standard normal distribution (upper) and a </w:t>
      </w:r>
      <w:r>
        <w:rPr>
          <w:rFonts w:ascii="Times New Roman" w:hAnsi="Times New Roman" w:cs="Times New Roman"/>
          <w:iCs/>
          <w:color w:val="000000" w:themeColor="text1"/>
          <w:szCs w:val="18"/>
        </w:rPr>
        <w:t>b</w:t>
      </w:r>
      <w:r w:rsidRPr="00543854">
        <w:rPr>
          <w:rFonts w:ascii="Times New Roman" w:hAnsi="Times New Roman" w:cs="Times New Roman"/>
          <w:iCs/>
          <w:color w:val="000000" w:themeColor="text1"/>
          <w:szCs w:val="18"/>
        </w:rPr>
        <w:t>eta distribution with mean of 0.083 and variance of 0.0035 (lower). Histogram displays the frequency of proportions of port specific sablefish landings caught using trawl gear within the limited entry (LE) groundfish trawl fishery (right).</w:t>
      </w:r>
      <w:r>
        <w:rPr>
          <w:rFonts w:ascii="Times New Roman" w:hAnsi="Times New Roman" w:cs="Times New Roman"/>
          <w:iCs/>
          <w:color w:val="000000" w:themeColor="text1"/>
          <w:szCs w:val="18"/>
        </w:rPr>
        <w:t xml:space="preserve"> </w:t>
      </w:r>
      <w:r>
        <w:rPr>
          <w:rFonts w:ascii="Times New Roman" w:eastAsia="Calibri" w:hAnsi="Times New Roman" w:cs="Times New Roman"/>
          <w:color w:val="000000" w:themeColor="text1"/>
          <w:szCs w:val="22"/>
        </w:rPr>
        <w:t xml:space="preserve">The distribution of the response variable was better fit by a beta distribution, with a </w:t>
      </w:r>
      <w:r>
        <w:rPr>
          <w:rFonts w:ascii="Times New Roman" w:hAnsi="Times New Roman" w:cs="Times New Roman"/>
          <w:iCs/>
          <w:color w:val="000000" w:themeColor="text1"/>
          <w:szCs w:val="18"/>
        </w:rPr>
        <w:t xml:space="preserve">mean of 0.083 and variance of 0.0035, </w:t>
      </w:r>
      <w:r>
        <w:rPr>
          <w:rFonts w:ascii="Times New Roman" w:eastAsia="Calibri" w:hAnsi="Times New Roman" w:cs="Times New Roman"/>
          <w:color w:val="000000" w:themeColor="text1"/>
          <w:szCs w:val="22"/>
        </w:rPr>
        <w:t>than a standard normal distribution.</w:t>
      </w:r>
    </w:p>
    <w:p w14:paraId="0CD53509" w14:textId="77777777" w:rsidR="00711C6F" w:rsidRDefault="00711C6F" w:rsidP="00145B28">
      <w:pPr>
        <w:spacing w:line="240" w:lineRule="auto"/>
        <w:jc w:val="both"/>
        <w:rPr>
          <w:rFonts w:ascii="Times New Roman" w:hAnsi="Times New Roman" w:cs="Times New Roman"/>
        </w:rPr>
      </w:pPr>
    </w:p>
    <w:p w14:paraId="1CCADAD2" w14:textId="77777777" w:rsidR="00711C6F" w:rsidRDefault="00711C6F">
      <w:pPr>
        <w:rPr>
          <w:rFonts w:ascii="Times New Roman" w:hAnsi="Times New Roman" w:cs="Times New Roman"/>
        </w:rPr>
      </w:pPr>
      <w:r>
        <w:rPr>
          <w:rFonts w:ascii="Times New Roman" w:hAnsi="Times New Roman" w:cs="Times New Roman"/>
        </w:rPr>
        <w:br w:type="page"/>
      </w:r>
    </w:p>
    <w:p w14:paraId="147FA74D" w14:textId="52302A12" w:rsidR="009A7FA3" w:rsidRPr="00543854" w:rsidRDefault="009A7FA3" w:rsidP="00711C6F">
      <w:pPr>
        <w:spacing w:line="240" w:lineRule="auto"/>
        <w:jc w:val="both"/>
        <w:rPr>
          <w:rFonts w:ascii="Times New Roman" w:hAnsi="Times New Roman" w:cs="Times New Roman"/>
        </w:rPr>
      </w:pPr>
      <w:commentRangeStart w:id="42"/>
      <w:r>
        <w:rPr>
          <w:rFonts w:ascii="Times New Roman" w:hAnsi="Times New Roman" w:cs="Times New Roman"/>
        </w:rPr>
        <w:lastRenderedPageBreak/>
        <w:t>Convergence diagnostics of delta-GLMMs for index of abundance data regarding each modelled species.</w:t>
      </w:r>
      <w:commentRangeEnd w:id="42"/>
      <w:r>
        <w:rPr>
          <w:rStyle w:val="CommentReference"/>
        </w:rPr>
        <w:commentReference w:id="42"/>
      </w:r>
    </w:p>
    <w:sectPr w:rsidR="009A7FA3" w:rsidRPr="00543854" w:rsidSect="002F536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elli Johnson" w:date="2016-01-14T22:12:00Z" w:initials="KFJ">
    <w:p w14:paraId="5B23B3EF" w14:textId="77777777" w:rsidR="00BC6AB9" w:rsidRDefault="00BC6AB9">
      <w:pPr>
        <w:pStyle w:val="CommentText"/>
      </w:pPr>
      <w:r>
        <w:rPr>
          <w:rStyle w:val="CommentReference"/>
        </w:rPr>
        <w:annotationRef/>
      </w:r>
    </w:p>
    <w:p w14:paraId="1CCC16D7" w14:textId="10B24175" w:rsidR="00BC6AB9" w:rsidRDefault="00BC6AB9">
      <w:pPr>
        <w:pStyle w:val="CommentText"/>
      </w:pPr>
      <w:r>
        <w:t>Ana Spalding will help fill out this section.</w:t>
      </w:r>
    </w:p>
    <w:p w14:paraId="7F6CEC4D" w14:textId="77777777" w:rsidR="00BC6AB9" w:rsidRDefault="00BC6AB9">
      <w:pPr>
        <w:pStyle w:val="CommentText"/>
      </w:pPr>
    </w:p>
    <w:p w14:paraId="672B4B5E" w14:textId="03BAB8EF" w:rsidR="00BC6AB9" w:rsidRDefault="00BC6AB9">
      <w:pPr>
        <w:pStyle w:val="CommentText"/>
      </w:pPr>
      <w:r>
        <w:t>Jenkins thesis</w:t>
      </w:r>
    </w:p>
    <w:p w14:paraId="69A29662" w14:textId="77777777" w:rsidR="00BC6AB9" w:rsidRDefault="00BC6AB9">
      <w:pPr>
        <w:pStyle w:val="CommentText"/>
      </w:pPr>
    </w:p>
    <w:p w14:paraId="00AC8620" w14:textId="73A9B1DF" w:rsidR="00BC6AB9" w:rsidRDefault="00BC6AB9">
      <w:pPr>
        <w:pStyle w:val="CommentText"/>
      </w:pPr>
      <w:r>
        <w:t>economic report from NWFSC</w:t>
      </w:r>
    </w:p>
    <w:p w14:paraId="23E6ECA5" w14:textId="77777777" w:rsidR="00BC6AB9" w:rsidRDefault="00BC6AB9">
      <w:pPr>
        <w:pStyle w:val="CommentText"/>
      </w:pPr>
    </w:p>
    <w:p w14:paraId="3D0D3817" w14:textId="6642E8B3" w:rsidR="00BC6AB9" w:rsidRDefault="00BC6AB9">
      <w:pPr>
        <w:pStyle w:val="CommentText"/>
      </w:pPr>
      <w:hyperlink r:id="rId1" w:history="1">
        <w:r w:rsidRPr="00D903A0">
          <w:rPr>
            <w:rStyle w:val="Hyperlink"/>
          </w:rPr>
          <w:t>http://www.noaa.gov/iea/Assets/iea/california/Report/pdf/10.Human%20Dimensions_2013.pdf</w:t>
        </w:r>
      </w:hyperlink>
    </w:p>
    <w:p w14:paraId="4CDDB2A1" w14:textId="77777777" w:rsidR="00BC6AB9" w:rsidRDefault="00BC6AB9">
      <w:pPr>
        <w:pStyle w:val="CommentText"/>
      </w:pPr>
    </w:p>
    <w:p w14:paraId="664FF9BC" w14:textId="4CA7ED15" w:rsidR="00BC6AB9" w:rsidRPr="0077211B" w:rsidRDefault="00BC6AB9">
      <w:pPr>
        <w:pStyle w:val="CommentText"/>
      </w:pPr>
      <w:r>
        <w:t xml:space="preserve">van Putten </w:t>
      </w:r>
      <w:r>
        <w:rPr>
          <w:i/>
        </w:rPr>
        <w:t>et al</w:t>
      </w:r>
      <w:r>
        <w:t>. (2013) gives an example of what information should be placed here, but they list more policy information than we will because that will be part of the results section as well</w:t>
      </w:r>
    </w:p>
  </w:comment>
  <w:comment w:id="4" w:author="Punt, Andre (O&amp;A, Hobart)" w:date="2016-01-20T23:17:00Z" w:initials="PA(H">
    <w:p w14:paraId="46964ABE" w14:textId="621A0005" w:rsidR="00BC6AB9" w:rsidRDefault="00BC6AB9">
      <w:pPr>
        <w:pStyle w:val="CommentText"/>
      </w:pPr>
      <w:r>
        <w:rPr>
          <w:rStyle w:val="CommentReference"/>
        </w:rPr>
        <w:annotationRef/>
      </w:r>
      <w:r>
        <w:t>Further explain what this means</w:t>
      </w:r>
    </w:p>
  </w:comment>
  <w:comment w:id="5" w:author="Kelli Johnson" w:date="2016-01-13T10:22:00Z" w:initials="KFJ">
    <w:p w14:paraId="0E588E24" w14:textId="77777777" w:rsidR="00BC6AB9" w:rsidRDefault="00BC6AB9" w:rsidP="009F6115">
      <w:pPr>
        <w:pStyle w:val="CommentText"/>
      </w:pPr>
      <w:r>
        <w:rPr>
          <w:rStyle w:val="CommentReference"/>
        </w:rPr>
        <w:annotationRef/>
      </w:r>
      <w:r>
        <w:t>If I use log density for model selection:</w:t>
      </w:r>
    </w:p>
    <w:p w14:paraId="15674DA7" w14:textId="77777777" w:rsidR="00BC6AB9" w:rsidRDefault="00BC6AB9" w:rsidP="009F6115">
      <w:pPr>
        <w:pStyle w:val="CommentText"/>
      </w:pPr>
    </w:p>
    <w:p w14:paraId="5A115EEB" w14:textId="77777777" w:rsidR="00BC6AB9" w:rsidRDefault="00BC6AB9" w:rsidP="009F6115">
      <w:pPr>
        <w:pStyle w:val="CommentText"/>
      </w:pPr>
      <w:r>
        <w:t xml:space="preserve">“the model that best fit the data was chosen </w:t>
      </w:r>
      <w:r w:rsidRPr="008A0C6B">
        <w:t>by summing the log density for both model, integrating over all parameters</w:t>
      </w:r>
      <w:r>
        <w:t xml:space="preserve"> (Hooten and Hobbs, 2015)”</w:t>
      </w:r>
    </w:p>
    <w:p w14:paraId="0A22A599" w14:textId="677353E8" w:rsidR="00BC6AB9" w:rsidRDefault="00BC6AB9" w:rsidP="009F6115">
      <w:pPr>
        <w:pStyle w:val="CommentText"/>
      </w:pPr>
      <w:r>
        <w:t xml:space="preserve"> </w:t>
      </w:r>
    </w:p>
    <w:p w14:paraId="6E379294" w14:textId="77777777" w:rsidR="00BC6AB9" w:rsidRDefault="00BC6AB9" w:rsidP="009F6115">
      <w:pPr>
        <w:pStyle w:val="CommentText"/>
      </w:pPr>
      <w:r>
        <w:t>Hooten, M. B., and Hobbs, N. T. 2015. A guide to Bayesian model selection for ecologists. Ecological Monographs, 85: 3-28.</w:t>
      </w:r>
    </w:p>
  </w:comment>
  <w:comment w:id="6" w:author="Kelli Johnson" w:date="2016-01-26T11:48:00Z" w:initials="KJ">
    <w:p w14:paraId="19E6A31F" w14:textId="450ABB44" w:rsidR="00BC6AB9" w:rsidRDefault="00BC6AB9" w:rsidP="0062532A">
      <w:pPr>
        <w:spacing w:line="240" w:lineRule="auto"/>
        <w:ind w:firstLine="720"/>
        <w:jc w:val="both"/>
        <w:rPr>
          <w:rFonts w:ascii="Times New Roman" w:eastAsia="Calibri" w:hAnsi="Times New Roman" w:cs="Times New Roman"/>
          <w:color w:val="000000" w:themeColor="text1"/>
          <w:szCs w:val="22"/>
        </w:rPr>
      </w:pPr>
      <w:r>
        <w:rPr>
          <w:rStyle w:val="CommentReference"/>
        </w:rPr>
        <w:annotationRef/>
      </w:r>
      <w:r>
        <w:rPr>
          <w:rFonts w:ascii="Times New Roman" w:eastAsia="Calibri" w:hAnsi="Times New Roman" w:cs="Times New Roman"/>
          <w:color w:val="000000" w:themeColor="text1"/>
          <w:szCs w:val="22"/>
        </w:rPr>
        <w:t xml:space="preserve">Find a place either in the methods or the discussion to talk about the spatial management of other species with respect to the north-south PFMC management boundary located at </w:t>
      </w:r>
      <w:r w:rsidRPr="00087DED">
        <w:rPr>
          <w:rFonts w:ascii="Times New Roman" w:eastAsia="Calibri" w:hAnsi="Times New Roman" w:cs="Times New Roman"/>
          <w:color w:val="000000" w:themeColor="text1"/>
          <w:szCs w:val="22"/>
        </w:rPr>
        <w:t>40°</w:t>
      </w:r>
      <w:r>
        <w:rPr>
          <w:rFonts w:ascii="Times New Roman" w:eastAsia="Calibri" w:hAnsi="Times New Roman" w:cs="Times New Roman"/>
          <w:color w:val="000000" w:themeColor="text1"/>
          <w:szCs w:val="22"/>
        </w:rPr>
        <w:t>1</w:t>
      </w:r>
      <w:r w:rsidRPr="00087DED">
        <w:rPr>
          <w:rFonts w:ascii="Times New Roman" w:eastAsia="Calibri" w:hAnsi="Times New Roman" w:cs="Times New Roman"/>
          <w:color w:val="000000" w:themeColor="text1"/>
          <w:szCs w:val="22"/>
        </w:rPr>
        <w:t>0’N</w:t>
      </w:r>
      <w:r>
        <w:rPr>
          <w:rFonts w:ascii="Times New Roman" w:eastAsia="Calibri" w:hAnsi="Times New Roman" w:cs="Times New Roman"/>
          <w:color w:val="000000" w:themeColor="text1"/>
          <w:szCs w:val="22"/>
        </w:rPr>
        <w:t>.</w:t>
      </w:r>
    </w:p>
    <w:p w14:paraId="4E8504AE" w14:textId="601167DE" w:rsidR="00BC6AB9" w:rsidRDefault="00BC6AB9">
      <w:pPr>
        <w:pStyle w:val="CommentText"/>
      </w:pPr>
    </w:p>
  </w:comment>
  <w:comment w:id="9" w:author="Punt, Andre (O&amp;A, Hobart)" w:date="2016-01-15T04:41:00Z" w:initials="PA(H">
    <w:p w14:paraId="3F8CC0BD" w14:textId="77777777" w:rsidR="00BC6AB9" w:rsidRDefault="00BC6AB9" w:rsidP="00351247">
      <w:pPr>
        <w:pStyle w:val="CommentText"/>
      </w:pPr>
      <w:r>
        <w:rPr>
          <w:rStyle w:val="CommentReference"/>
        </w:rPr>
        <w:annotationRef/>
      </w:r>
      <w:r>
        <w:t>First reference to trip limits</w:t>
      </w:r>
    </w:p>
  </w:comment>
  <w:comment w:id="10" w:author="Kelli Johnson" w:date="2016-01-12T15:47:00Z" w:initials="KFJ">
    <w:p w14:paraId="5024EC19" w14:textId="2F762F59" w:rsidR="00BC6AB9" w:rsidRDefault="00BC6AB9">
      <w:pPr>
        <w:pStyle w:val="CommentText"/>
      </w:pPr>
      <w:r>
        <w:rPr>
          <w:rStyle w:val="CommentReference"/>
        </w:rPr>
        <w:annotationRef/>
      </w:r>
      <w:r>
        <w:t xml:space="preserve">I have a large number of references, and I am wondering if some need to be culled? </w:t>
      </w:r>
    </w:p>
  </w:comment>
  <w:comment w:id="11" w:author="Kelli Johnson" w:date="2016-01-13T18:41:00Z" w:initials="KFJ">
    <w:p w14:paraId="7CED3431" w14:textId="06D1B2AF" w:rsidR="00BC6AB9" w:rsidRDefault="00BC6AB9">
      <w:pPr>
        <w:pStyle w:val="CommentText"/>
      </w:pPr>
      <w:r>
        <w:rPr>
          <w:rStyle w:val="CommentReference"/>
        </w:rPr>
        <w:annotationRef/>
      </w:r>
      <w:r>
        <w:t>Not sure if this reference is formatted correctly.</w:t>
      </w:r>
    </w:p>
  </w:comment>
  <w:comment w:id="12" w:author="Kelli Johnson" w:date="2016-01-23T05:07:00Z" w:initials="KJ">
    <w:p w14:paraId="06113657" w14:textId="01972DCB" w:rsidR="00BC6AB9" w:rsidRDefault="00BC6AB9">
      <w:pPr>
        <w:pStyle w:val="CommentText"/>
      </w:pPr>
      <w:r>
        <w:rPr>
          <w:rStyle w:val="CommentReference"/>
        </w:rPr>
        <w:annotationRef/>
      </w:r>
      <w:r>
        <w:t>Check format of reference</w:t>
      </w:r>
    </w:p>
  </w:comment>
  <w:comment w:id="13" w:author="Kelli Johnson" w:date="2016-01-12T11:59:00Z" w:initials="KFJ">
    <w:p w14:paraId="6580BF8C" w14:textId="762B9F0E" w:rsidR="00BC6AB9" w:rsidRDefault="00BC6AB9">
      <w:pPr>
        <w:pStyle w:val="CommentText"/>
      </w:pPr>
      <w:r>
        <w:rPr>
          <w:rStyle w:val="CommentReference"/>
        </w:rPr>
        <w:annotationRef/>
      </w:r>
      <w:r>
        <w:t>Not sure if this is formatted appropriately.</w:t>
      </w:r>
    </w:p>
  </w:comment>
  <w:comment w:id="17" w:author="Kelli Johnson" w:date="2016-01-14T22:01:00Z" w:initials="KFJ">
    <w:p w14:paraId="6908E867" w14:textId="7C72A0A9" w:rsidR="00BC6AB9" w:rsidRDefault="00BC6AB9" w:rsidP="00900A4A">
      <w:pPr>
        <w:pStyle w:val="CommentText"/>
      </w:pPr>
      <w:r>
        <w:rPr>
          <w:rStyle w:val="CommentReference"/>
        </w:rPr>
        <w:annotationRef/>
      </w:r>
      <w:r>
        <w:t>Add hypothesized relationship for each variable.</w:t>
      </w:r>
    </w:p>
  </w:comment>
  <w:comment w:id="20" w:author="Kelli Johnson" w:date="2016-01-27T10:22:00Z" w:initials="KJ">
    <w:p w14:paraId="0340254F" w14:textId="0357F482" w:rsidR="00BC6AB9" w:rsidRDefault="00BC6AB9">
      <w:pPr>
        <w:pStyle w:val="CommentText"/>
      </w:pPr>
      <w:r>
        <w:rPr>
          <w:rStyle w:val="CommentReference"/>
        </w:rPr>
        <w:annotationRef/>
      </w:r>
      <w:r>
        <w:t>Need to add remaining predictor variables to table</w:t>
      </w:r>
    </w:p>
  </w:comment>
  <w:comment w:id="40" w:author="Kelli Johnson" w:date="2016-01-26T15:50:00Z" w:initials="KJ">
    <w:p w14:paraId="2889F08B" w14:textId="54591E1B" w:rsidR="00BC6AB9" w:rsidRDefault="00BC6AB9">
      <w:pPr>
        <w:pStyle w:val="CommentText"/>
      </w:pPr>
      <w:r>
        <w:rPr>
          <w:rStyle w:val="CommentReference"/>
        </w:rPr>
        <w:annotationRef/>
      </w:r>
      <w:r>
        <w:t xml:space="preserve">Need to add confidence intervals to the figure. </w:t>
      </w:r>
    </w:p>
  </w:comment>
  <w:comment w:id="42" w:author="Kelli Johnson" w:date="2016-01-26T03:08:00Z" w:initials="KJ">
    <w:p w14:paraId="35CC6F86" w14:textId="1F393298" w:rsidR="00BC6AB9" w:rsidRDefault="00BC6AB9">
      <w:pPr>
        <w:pStyle w:val="CommentText"/>
      </w:pPr>
      <w:r>
        <w:rPr>
          <w:rStyle w:val="CommentReference"/>
        </w:rPr>
        <w:annotationRef/>
      </w:r>
      <w:r>
        <w:t>Need to insert plots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4FF9BC" w15:done="0"/>
  <w15:commentEx w15:paraId="46964ABE" w15:done="0"/>
  <w15:commentEx w15:paraId="6E379294" w15:done="0"/>
  <w15:commentEx w15:paraId="4E8504AE" w15:done="0"/>
  <w15:commentEx w15:paraId="3F8CC0BD" w15:done="0"/>
  <w15:commentEx w15:paraId="5024EC19" w15:done="0"/>
  <w15:commentEx w15:paraId="7CED3431" w15:done="0"/>
  <w15:commentEx w15:paraId="06113657" w15:done="0"/>
  <w15:commentEx w15:paraId="6580BF8C" w15:done="0"/>
  <w15:commentEx w15:paraId="6908E867" w15:done="0"/>
  <w15:commentEx w15:paraId="0340254F" w15:done="0"/>
  <w15:commentEx w15:paraId="2889F08B" w15:done="0"/>
  <w15:commentEx w15:paraId="35CC6F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41E"/>
    <w:multiLevelType w:val="hybridMultilevel"/>
    <w:tmpl w:val="D83ACABC"/>
    <w:lvl w:ilvl="0" w:tplc="8B5E0F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92B4270"/>
    <w:multiLevelType w:val="hybridMultilevel"/>
    <w:tmpl w:val="EF483C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2C5464"/>
    <w:multiLevelType w:val="hybridMultilevel"/>
    <w:tmpl w:val="8F401E7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D2F7291"/>
    <w:multiLevelType w:val="hybridMultilevel"/>
    <w:tmpl w:val="4A82F4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B11E03"/>
    <w:multiLevelType w:val="hybridMultilevel"/>
    <w:tmpl w:val="D60AC484"/>
    <w:lvl w:ilvl="0" w:tplc="6142A8D8">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9F311F"/>
    <w:multiLevelType w:val="hybridMultilevel"/>
    <w:tmpl w:val="DE20F790"/>
    <w:lvl w:ilvl="0" w:tplc="6C56BB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9D765D7"/>
    <w:multiLevelType w:val="hybridMultilevel"/>
    <w:tmpl w:val="A454BB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86B21A0"/>
    <w:multiLevelType w:val="hybridMultilevel"/>
    <w:tmpl w:val="F8F80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13"/>
  </w:num>
  <w:num w:numId="4">
    <w:abstractNumId w:val="1"/>
  </w:num>
  <w:num w:numId="5">
    <w:abstractNumId w:val="8"/>
  </w:num>
  <w:num w:numId="6">
    <w:abstractNumId w:val="2"/>
  </w:num>
  <w:num w:numId="7">
    <w:abstractNumId w:val="7"/>
  </w:num>
  <w:num w:numId="8">
    <w:abstractNumId w:val="4"/>
  </w:num>
  <w:num w:numId="9">
    <w:abstractNumId w:val="15"/>
  </w:num>
  <w:num w:numId="10">
    <w:abstractNumId w:val="17"/>
  </w:num>
  <w:num w:numId="11">
    <w:abstractNumId w:val="12"/>
  </w:num>
  <w:num w:numId="12">
    <w:abstractNumId w:val="9"/>
  </w:num>
  <w:num w:numId="13">
    <w:abstractNumId w:val="5"/>
  </w:num>
  <w:num w:numId="14">
    <w:abstractNumId w:val="10"/>
  </w:num>
  <w:num w:numId="15">
    <w:abstractNumId w:val="14"/>
  </w:num>
  <w:num w:numId="16">
    <w:abstractNumId w:val="3"/>
  </w:num>
  <w:num w:numId="17">
    <w:abstractNumId w:val="0"/>
  </w:num>
  <w:num w:numId="18">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4D2"/>
    <w:rsid w:val="000028F1"/>
    <w:rsid w:val="00003223"/>
    <w:rsid w:val="000057C7"/>
    <w:rsid w:val="00007A9A"/>
    <w:rsid w:val="0001277E"/>
    <w:rsid w:val="00012785"/>
    <w:rsid w:val="0001291A"/>
    <w:rsid w:val="00013E51"/>
    <w:rsid w:val="0002136C"/>
    <w:rsid w:val="000223F7"/>
    <w:rsid w:val="00022581"/>
    <w:rsid w:val="0002304B"/>
    <w:rsid w:val="000241E4"/>
    <w:rsid w:val="00031C7E"/>
    <w:rsid w:val="000349A4"/>
    <w:rsid w:val="00035246"/>
    <w:rsid w:val="00035785"/>
    <w:rsid w:val="00037737"/>
    <w:rsid w:val="0004068C"/>
    <w:rsid w:val="00041E49"/>
    <w:rsid w:val="00042A8A"/>
    <w:rsid w:val="00042CE1"/>
    <w:rsid w:val="000529BD"/>
    <w:rsid w:val="00056286"/>
    <w:rsid w:val="0006075F"/>
    <w:rsid w:val="00064E51"/>
    <w:rsid w:val="00065647"/>
    <w:rsid w:val="000706BB"/>
    <w:rsid w:val="00071F88"/>
    <w:rsid w:val="000768E1"/>
    <w:rsid w:val="0007701F"/>
    <w:rsid w:val="0008093F"/>
    <w:rsid w:val="00080C56"/>
    <w:rsid w:val="000816FD"/>
    <w:rsid w:val="00084900"/>
    <w:rsid w:val="000870D9"/>
    <w:rsid w:val="00087DED"/>
    <w:rsid w:val="00087E7C"/>
    <w:rsid w:val="00091453"/>
    <w:rsid w:val="00092656"/>
    <w:rsid w:val="000944CC"/>
    <w:rsid w:val="000949CA"/>
    <w:rsid w:val="00095809"/>
    <w:rsid w:val="000A11B8"/>
    <w:rsid w:val="000A213F"/>
    <w:rsid w:val="000A2691"/>
    <w:rsid w:val="000A5ADE"/>
    <w:rsid w:val="000A7E06"/>
    <w:rsid w:val="000B16D8"/>
    <w:rsid w:val="000B629F"/>
    <w:rsid w:val="000B6DDA"/>
    <w:rsid w:val="000B72A7"/>
    <w:rsid w:val="000C1705"/>
    <w:rsid w:val="000C27E9"/>
    <w:rsid w:val="000C5109"/>
    <w:rsid w:val="000C51BD"/>
    <w:rsid w:val="000C7788"/>
    <w:rsid w:val="000D1401"/>
    <w:rsid w:val="000D28E3"/>
    <w:rsid w:val="000D2D0F"/>
    <w:rsid w:val="000D5531"/>
    <w:rsid w:val="000D6536"/>
    <w:rsid w:val="000E10CC"/>
    <w:rsid w:val="000E2F5F"/>
    <w:rsid w:val="000E33ED"/>
    <w:rsid w:val="000E5268"/>
    <w:rsid w:val="000F05CA"/>
    <w:rsid w:val="000F48C1"/>
    <w:rsid w:val="000F5A05"/>
    <w:rsid w:val="000F5BAC"/>
    <w:rsid w:val="000F6042"/>
    <w:rsid w:val="00102E07"/>
    <w:rsid w:val="0010599A"/>
    <w:rsid w:val="0011367C"/>
    <w:rsid w:val="00113F8E"/>
    <w:rsid w:val="001147A4"/>
    <w:rsid w:val="00115E77"/>
    <w:rsid w:val="0011688F"/>
    <w:rsid w:val="001203E8"/>
    <w:rsid w:val="001234B2"/>
    <w:rsid w:val="00126AA3"/>
    <w:rsid w:val="001312D2"/>
    <w:rsid w:val="00131BF9"/>
    <w:rsid w:val="00132C69"/>
    <w:rsid w:val="00134C66"/>
    <w:rsid w:val="00137E6E"/>
    <w:rsid w:val="00144C42"/>
    <w:rsid w:val="00145B28"/>
    <w:rsid w:val="0015176C"/>
    <w:rsid w:val="00152B26"/>
    <w:rsid w:val="00153212"/>
    <w:rsid w:val="0015337D"/>
    <w:rsid w:val="00153A44"/>
    <w:rsid w:val="00153DB8"/>
    <w:rsid w:val="001620FF"/>
    <w:rsid w:val="0016301A"/>
    <w:rsid w:val="00163E01"/>
    <w:rsid w:val="001737E3"/>
    <w:rsid w:val="0018006A"/>
    <w:rsid w:val="0018544D"/>
    <w:rsid w:val="00190CCA"/>
    <w:rsid w:val="00192836"/>
    <w:rsid w:val="00195A34"/>
    <w:rsid w:val="001974C2"/>
    <w:rsid w:val="001A0124"/>
    <w:rsid w:val="001A1BF2"/>
    <w:rsid w:val="001A3E17"/>
    <w:rsid w:val="001A4FD7"/>
    <w:rsid w:val="001A51D8"/>
    <w:rsid w:val="001A546F"/>
    <w:rsid w:val="001A653E"/>
    <w:rsid w:val="001A7148"/>
    <w:rsid w:val="001B0363"/>
    <w:rsid w:val="001B16CB"/>
    <w:rsid w:val="001B2327"/>
    <w:rsid w:val="001B2C07"/>
    <w:rsid w:val="001B5074"/>
    <w:rsid w:val="001B681C"/>
    <w:rsid w:val="001C06C3"/>
    <w:rsid w:val="001C227A"/>
    <w:rsid w:val="001C2728"/>
    <w:rsid w:val="001C5B88"/>
    <w:rsid w:val="001D1071"/>
    <w:rsid w:val="001D3C5E"/>
    <w:rsid w:val="001D3D6B"/>
    <w:rsid w:val="001E24AB"/>
    <w:rsid w:val="001E32E0"/>
    <w:rsid w:val="001E4648"/>
    <w:rsid w:val="001E5916"/>
    <w:rsid w:val="001E6AA2"/>
    <w:rsid w:val="001E7E41"/>
    <w:rsid w:val="001F5E9D"/>
    <w:rsid w:val="001F6CBD"/>
    <w:rsid w:val="001F736A"/>
    <w:rsid w:val="0020013B"/>
    <w:rsid w:val="00200BBF"/>
    <w:rsid w:val="00201FBE"/>
    <w:rsid w:val="00203ADF"/>
    <w:rsid w:val="0020715C"/>
    <w:rsid w:val="002078DB"/>
    <w:rsid w:val="00211DCA"/>
    <w:rsid w:val="002133DF"/>
    <w:rsid w:val="0021535C"/>
    <w:rsid w:val="00215BD3"/>
    <w:rsid w:val="00221142"/>
    <w:rsid w:val="002217A0"/>
    <w:rsid w:val="002221F5"/>
    <w:rsid w:val="00222F92"/>
    <w:rsid w:val="00223AC6"/>
    <w:rsid w:val="00223AD7"/>
    <w:rsid w:val="00225251"/>
    <w:rsid w:val="00227475"/>
    <w:rsid w:val="0023221F"/>
    <w:rsid w:val="0023266C"/>
    <w:rsid w:val="002326AB"/>
    <w:rsid w:val="002433FA"/>
    <w:rsid w:val="00244E89"/>
    <w:rsid w:val="002451E2"/>
    <w:rsid w:val="002452B6"/>
    <w:rsid w:val="0024531A"/>
    <w:rsid w:val="0024543C"/>
    <w:rsid w:val="002511C0"/>
    <w:rsid w:val="00252249"/>
    <w:rsid w:val="00255E09"/>
    <w:rsid w:val="00261955"/>
    <w:rsid w:val="00261F65"/>
    <w:rsid w:val="002702A1"/>
    <w:rsid w:val="00270B8E"/>
    <w:rsid w:val="00271031"/>
    <w:rsid w:val="00272F40"/>
    <w:rsid w:val="00275590"/>
    <w:rsid w:val="00275A4D"/>
    <w:rsid w:val="00276DB4"/>
    <w:rsid w:val="00277B2F"/>
    <w:rsid w:val="00280DA6"/>
    <w:rsid w:val="0028219E"/>
    <w:rsid w:val="00284505"/>
    <w:rsid w:val="00284FA7"/>
    <w:rsid w:val="002868A2"/>
    <w:rsid w:val="002870FE"/>
    <w:rsid w:val="00291D23"/>
    <w:rsid w:val="00294423"/>
    <w:rsid w:val="002954C9"/>
    <w:rsid w:val="002955AA"/>
    <w:rsid w:val="0029598D"/>
    <w:rsid w:val="002A03D6"/>
    <w:rsid w:val="002A1238"/>
    <w:rsid w:val="002A2FC1"/>
    <w:rsid w:val="002A4096"/>
    <w:rsid w:val="002B002B"/>
    <w:rsid w:val="002B1893"/>
    <w:rsid w:val="002B5671"/>
    <w:rsid w:val="002B732E"/>
    <w:rsid w:val="002C0412"/>
    <w:rsid w:val="002C288F"/>
    <w:rsid w:val="002C36A8"/>
    <w:rsid w:val="002C6A42"/>
    <w:rsid w:val="002C7227"/>
    <w:rsid w:val="002D2E2D"/>
    <w:rsid w:val="002D4D40"/>
    <w:rsid w:val="002D5F2C"/>
    <w:rsid w:val="002D6259"/>
    <w:rsid w:val="002E1838"/>
    <w:rsid w:val="002E2B59"/>
    <w:rsid w:val="002E4916"/>
    <w:rsid w:val="002E54BB"/>
    <w:rsid w:val="002F1B15"/>
    <w:rsid w:val="002F5364"/>
    <w:rsid w:val="00300DB2"/>
    <w:rsid w:val="0030363A"/>
    <w:rsid w:val="003036D2"/>
    <w:rsid w:val="00307357"/>
    <w:rsid w:val="00307B9A"/>
    <w:rsid w:val="00310437"/>
    <w:rsid w:val="0031172A"/>
    <w:rsid w:val="00312152"/>
    <w:rsid w:val="003122B6"/>
    <w:rsid w:val="00312935"/>
    <w:rsid w:val="0031403B"/>
    <w:rsid w:val="003154CB"/>
    <w:rsid w:val="00320950"/>
    <w:rsid w:val="00320DDA"/>
    <w:rsid w:val="00320EE3"/>
    <w:rsid w:val="00320FAA"/>
    <w:rsid w:val="003218D7"/>
    <w:rsid w:val="00324A1C"/>
    <w:rsid w:val="0032550F"/>
    <w:rsid w:val="00325C1A"/>
    <w:rsid w:val="00326C21"/>
    <w:rsid w:val="00330A14"/>
    <w:rsid w:val="00331226"/>
    <w:rsid w:val="003316CC"/>
    <w:rsid w:val="003321F1"/>
    <w:rsid w:val="00334852"/>
    <w:rsid w:val="003364D3"/>
    <w:rsid w:val="003368C6"/>
    <w:rsid w:val="00341BB0"/>
    <w:rsid w:val="003457CA"/>
    <w:rsid w:val="00346961"/>
    <w:rsid w:val="00351247"/>
    <w:rsid w:val="003553A2"/>
    <w:rsid w:val="00356DC7"/>
    <w:rsid w:val="00362B65"/>
    <w:rsid w:val="00362DB8"/>
    <w:rsid w:val="00363038"/>
    <w:rsid w:val="00364BD1"/>
    <w:rsid w:val="00364DE0"/>
    <w:rsid w:val="00367129"/>
    <w:rsid w:val="00367276"/>
    <w:rsid w:val="003678E5"/>
    <w:rsid w:val="0037503C"/>
    <w:rsid w:val="00375A5E"/>
    <w:rsid w:val="00380029"/>
    <w:rsid w:val="00381DC0"/>
    <w:rsid w:val="003820DE"/>
    <w:rsid w:val="00382C27"/>
    <w:rsid w:val="00383F95"/>
    <w:rsid w:val="00385E7E"/>
    <w:rsid w:val="003863CF"/>
    <w:rsid w:val="00387E75"/>
    <w:rsid w:val="00390CB8"/>
    <w:rsid w:val="00392ADD"/>
    <w:rsid w:val="00397DEA"/>
    <w:rsid w:val="003A259E"/>
    <w:rsid w:val="003A63FD"/>
    <w:rsid w:val="003B07C2"/>
    <w:rsid w:val="003B1511"/>
    <w:rsid w:val="003B2991"/>
    <w:rsid w:val="003B2E81"/>
    <w:rsid w:val="003B5EB9"/>
    <w:rsid w:val="003B75C4"/>
    <w:rsid w:val="003C20E3"/>
    <w:rsid w:val="003C29E6"/>
    <w:rsid w:val="003C2CEE"/>
    <w:rsid w:val="003C2F10"/>
    <w:rsid w:val="003C34FF"/>
    <w:rsid w:val="003C5668"/>
    <w:rsid w:val="003C6203"/>
    <w:rsid w:val="003C6F20"/>
    <w:rsid w:val="003D520E"/>
    <w:rsid w:val="003D5992"/>
    <w:rsid w:val="003E0404"/>
    <w:rsid w:val="003E1C97"/>
    <w:rsid w:val="003E1EC8"/>
    <w:rsid w:val="003E29F6"/>
    <w:rsid w:val="003E304C"/>
    <w:rsid w:val="003E6253"/>
    <w:rsid w:val="003E70ED"/>
    <w:rsid w:val="003F162E"/>
    <w:rsid w:val="003F1ECD"/>
    <w:rsid w:val="003F4165"/>
    <w:rsid w:val="004045BD"/>
    <w:rsid w:val="00405C30"/>
    <w:rsid w:val="00407081"/>
    <w:rsid w:val="00407A14"/>
    <w:rsid w:val="00407D63"/>
    <w:rsid w:val="00410D5B"/>
    <w:rsid w:val="00411007"/>
    <w:rsid w:val="0041118E"/>
    <w:rsid w:val="00412700"/>
    <w:rsid w:val="00416F9F"/>
    <w:rsid w:val="00421372"/>
    <w:rsid w:val="00422173"/>
    <w:rsid w:val="004229B6"/>
    <w:rsid w:val="00423613"/>
    <w:rsid w:val="00423E3B"/>
    <w:rsid w:val="00424859"/>
    <w:rsid w:val="00427338"/>
    <w:rsid w:val="004324D2"/>
    <w:rsid w:val="00432F46"/>
    <w:rsid w:val="00434F8C"/>
    <w:rsid w:val="00436031"/>
    <w:rsid w:val="00442231"/>
    <w:rsid w:val="004442E0"/>
    <w:rsid w:val="00444DD6"/>
    <w:rsid w:val="00446514"/>
    <w:rsid w:val="00446CEE"/>
    <w:rsid w:val="00446D20"/>
    <w:rsid w:val="00453F36"/>
    <w:rsid w:val="004552AD"/>
    <w:rsid w:val="00455E68"/>
    <w:rsid w:val="00456F13"/>
    <w:rsid w:val="0045724D"/>
    <w:rsid w:val="0046081B"/>
    <w:rsid w:val="00462597"/>
    <w:rsid w:val="0046338B"/>
    <w:rsid w:val="00463F20"/>
    <w:rsid w:val="0046523C"/>
    <w:rsid w:val="00470131"/>
    <w:rsid w:val="00470E52"/>
    <w:rsid w:val="00473D38"/>
    <w:rsid w:val="00474CCC"/>
    <w:rsid w:val="00476EF8"/>
    <w:rsid w:val="0047725A"/>
    <w:rsid w:val="0048082C"/>
    <w:rsid w:val="00485EDC"/>
    <w:rsid w:val="00491703"/>
    <w:rsid w:val="00492C73"/>
    <w:rsid w:val="00495436"/>
    <w:rsid w:val="004A08C0"/>
    <w:rsid w:val="004A0A62"/>
    <w:rsid w:val="004B15E6"/>
    <w:rsid w:val="004B1661"/>
    <w:rsid w:val="004B1A98"/>
    <w:rsid w:val="004B239C"/>
    <w:rsid w:val="004B3E72"/>
    <w:rsid w:val="004B546D"/>
    <w:rsid w:val="004B6E27"/>
    <w:rsid w:val="004C2F81"/>
    <w:rsid w:val="004C66F7"/>
    <w:rsid w:val="004C6A4F"/>
    <w:rsid w:val="004C79B9"/>
    <w:rsid w:val="004D0A97"/>
    <w:rsid w:val="004D3972"/>
    <w:rsid w:val="004D44DA"/>
    <w:rsid w:val="004D48BE"/>
    <w:rsid w:val="004D581A"/>
    <w:rsid w:val="004D5CBB"/>
    <w:rsid w:val="004E46B7"/>
    <w:rsid w:val="004F1C07"/>
    <w:rsid w:val="004F2D33"/>
    <w:rsid w:val="004F2EC6"/>
    <w:rsid w:val="004F3422"/>
    <w:rsid w:val="004F462D"/>
    <w:rsid w:val="004F5553"/>
    <w:rsid w:val="004F611A"/>
    <w:rsid w:val="004F6E01"/>
    <w:rsid w:val="0050481A"/>
    <w:rsid w:val="00506881"/>
    <w:rsid w:val="00511BC4"/>
    <w:rsid w:val="0051304E"/>
    <w:rsid w:val="0052117D"/>
    <w:rsid w:val="005312CF"/>
    <w:rsid w:val="00533C3F"/>
    <w:rsid w:val="00534137"/>
    <w:rsid w:val="00535070"/>
    <w:rsid w:val="00535598"/>
    <w:rsid w:val="00537787"/>
    <w:rsid w:val="00537C4B"/>
    <w:rsid w:val="00537D78"/>
    <w:rsid w:val="00541C7A"/>
    <w:rsid w:val="00541D62"/>
    <w:rsid w:val="00542632"/>
    <w:rsid w:val="00543854"/>
    <w:rsid w:val="00544AC7"/>
    <w:rsid w:val="00547DB1"/>
    <w:rsid w:val="00552BA5"/>
    <w:rsid w:val="00554337"/>
    <w:rsid w:val="005608C0"/>
    <w:rsid w:val="00560CC3"/>
    <w:rsid w:val="00560F42"/>
    <w:rsid w:val="005616B1"/>
    <w:rsid w:val="00562373"/>
    <w:rsid w:val="00562564"/>
    <w:rsid w:val="00571BA6"/>
    <w:rsid w:val="00576519"/>
    <w:rsid w:val="00577885"/>
    <w:rsid w:val="0058043C"/>
    <w:rsid w:val="00581373"/>
    <w:rsid w:val="005819AB"/>
    <w:rsid w:val="005847FA"/>
    <w:rsid w:val="00584A0E"/>
    <w:rsid w:val="005866AE"/>
    <w:rsid w:val="00586880"/>
    <w:rsid w:val="005879D7"/>
    <w:rsid w:val="005A0E60"/>
    <w:rsid w:val="005A1957"/>
    <w:rsid w:val="005A34CD"/>
    <w:rsid w:val="005A5122"/>
    <w:rsid w:val="005A773F"/>
    <w:rsid w:val="005A7B06"/>
    <w:rsid w:val="005B0222"/>
    <w:rsid w:val="005B0443"/>
    <w:rsid w:val="005B1A32"/>
    <w:rsid w:val="005B212E"/>
    <w:rsid w:val="005B7A37"/>
    <w:rsid w:val="005B7E23"/>
    <w:rsid w:val="005C2096"/>
    <w:rsid w:val="005C3BBA"/>
    <w:rsid w:val="005C4725"/>
    <w:rsid w:val="005C57C2"/>
    <w:rsid w:val="005C6B98"/>
    <w:rsid w:val="005D0E53"/>
    <w:rsid w:val="005D13A0"/>
    <w:rsid w:val="005D2480"/>
    <w:rsid w:val="005E4461"/>
    <w:rsid w:val="005E4D0D"/>
    <w:rsid w:val="005E57D3"/>
    <w:rsid w:val="005E599A"/>
    <w:rsid w:val="005E62CE"/>
    <w:rsid w:val="005E7A67"/>
    <w:rsid w:val="00600A6D"/>
    <w:rsid w:val="0060159E"/>
    <w:rsid w:val="00602058"/>
    <w:rsid w:val="0060306A"/>
    <w:rsid w:val="006031FC"/>
    <w:rsid w:val="00604D48"/>
    <w:rsid w:val="00604F62"/>
    <w:rsid w:val="00607117"/>
    <w:rsid w:val="0061144D"/>
    <w:rsid w:val="0061171E"/>
    <w:rsid w:val="00611CF8"/>
    <w:rsid w:val="0061208B"/>
    <w:rsid w:val="00612DB2"/>
    <w:rsid w:val="00613514"/>
    <w:rsid w:val="00615B3B"/>
    <w:rsid w:val="00615D35"/>
    <w:rsid w:val="00616D8A"/>
    <w:rsid w:val="00616F3C"/>
    <w:rsid w:val="0061712B"/>
    <w:rsid w:val="00622360"/>
    <w:rsid w:val="00622EDA"/>
    <w:rsid w:val="00623D53"/>
    <w:rsid w:val="0062531E"/>
    <w:rsid w:val="0062532A"/>
    <w:rsid w:val="006253F0"/>
    <w:rsid w:val="006259C2"/>
    <w:rsid w:val="00625B17"/>
    <w:rsid w:val="0062751D"/>
    <w:rsid w:val="00631F13"/>
    <w:rsid w:val="00632069"/>
    <w:rsid w:val="00632250"/>
    <w:rsid w:val="00632960"/>
    <w:rsid w:val="0063382B"/>
    <w:rsid w:val="00633E29"/>
    <w:rsid w:val="00635E11"/>
    <w:rsid w:val="006441ED"/>
    <w:rsid w:val="0064482C"/>
    <w:rsid w:val="006476E7"/>
    <w:rsid w:val="00650B21"/>
    <w:rsid w:val="00651E83"/>
    <w:rsid w:val="00652615"/>
    <w:rsid w:val="00662BF5"/>
    <w:rsid w:val="006654C6"/>
    <w:rsid w:val="00666827"/>
    <w:rsid w:val="00666FF7"/>
    <w:rsid w:val="00671442"/>
    <w:rsid w:val="006715BA"/>
    <w:rsid w:val="00672F3C"/>
    <w:rsid w:val="00673287"/>
    <w:rsid w:val="00673B27"/>
    <w:rsid w:val="00674029"/>
    <w:rsid w:val="0067564D"/>
    <w:rsid w:val="00676829"/>
    <w:rsid w:val="0067695E"/>
    <w:rsid w:val="006772F2"/>
    <w:rsid w:val="006774D2"/>
    <w:rsid w:val="00680B87"/>
    <w:rsid w:val="006839B0"/>
    <w:rsid w:val="00685C04"/>
    <w:rsid w:val="00686D95"/>
    <w:rsid w:val="00686E23"/>
    <w:rsid w:val="00687A63"/>
    <w:rsid w:val="00691FA2"/>
    <w:rsid w:val="00693FE3"/>
    <w:rsid w:val="0069409C"/>
    <w:rsid w:val="006949B8"/>
    <w:rsid w:val="00695C18"/>
    <w:rsid w:val="00695E7E"/>
    <w:rsid w:val="006977F9"/>
    <w:rsid w:val="00697DC4"/>
    <w:rsid w:val="006A0BA1"/>
    <w:rsid w:val="006A1347"/>
    <w:rsid w:val="006A2584"/>
    <w:rsid w:val="006A3A4B"/>
    <w:rsid w:val="006A59DF"/>
    <w:rsid w:val="006B1BAC"/>
    <w:rsid w:val="006B670F"/>
    <w:rsid w:val="006B6C73"/>
    <w:rsid w:val="006B6D62"/>
    <w:rsid w:val="006B7F30"/>
    <w:rsid w:val="006C1183"/>
    <w:rsid w:val="006C2C4E"/>
    <w:rsid w:val="006C6500"/>
    <w:rsid w:val="006C66B1"/>
    <w:rsid w:val="006D23AB"/>
    <w:rsid w:val="006D395D"/>
    <w:rsid w:val="006D55D3"/>
    <w:rsid w:val="006D59F8"/>
    <w:rsid w:val="006E07B6"/>
    <w:rsid w:val="006E0E0E"/>
    <w:rsid w:val="006E35ED"/>
    <w:rsid w:val="006E5AD7"/>
    <w:rsid w:val="006E5C5D"/>
    <w:rsid w:val="006E7A53"/>
    <w:rsid w:val="006F662B"/>
    <w:rsid w:val="006F671D"/>
    <w:rsid w:val="006F7A9B"/>
    <w:rsid w:val="00701B3E"/>
    <w:rsid w:val="0071042E"/>
    <w:rsid w:val="00711C6F"/>
    <w:rsid w:val="00712764"/>
    <w:rsid w:val="0071287E"/>
    <w:rsid w:val="00712932"/>
    <w:rsid w:val="00713E18"/>
    <w:rsid w:val="00715721"/>
    <w:rsid w:val="00717B85"/>
    <w:rsid w:val="0072325E"/>
    <w:rsid w:val="0072369D"/>
    <w:rsid w:val="007262D5"/>
    <w:rsid w:val="0072750B"/>
    <w:rsid w:val="00727651"/>
    <w:rsid w:val="00727D51"/>
    <w:rsid w:val="00727EF1"/>
    <w:rsid w:val="007305C4"/>
    <w:rsid w:val="00731395"/>
    <w:rsid w:val="0073342A"/>
    <w:rsid w:val="00733CEB"/>
    <w:rsid w:val="007345BF"/>
    <w:rsid w:val="00736C04"/>
    <w:rsid w:val="0073764E"/>
    <w:rsid w:val="007379FB"/>
    <w:rsid w:val="007408FA"/>
    <w:rsid w:val="00742F9F"/>
    <w:rsid w:val="00747884"/>
    <w:rsid w:val="00752CFA"/>
    <w:rsid w:val="00760619"/>
    <w:rsid w:val="00761E23"/>
    <w:rsid w:val="00763DBD"/>
    <w:rsid w:val="007659BF"/>
    <w:rsid w:val="00767826"/>
    <w:rsid w:val="0077211B"/>
    <w:rsid w:val="00773691"/>
    <w:rsid w:val="0077488E"/>
    <w:rsid w:val="00775504"/>
    <w:rsid w:val="00775E0B"/>
    <w:rsid w:val="007822B2"/>
    <w:rsid w:val="007846D9"/>
    <w:rsid w:val="007868AD"/>
    <w:rsid w:val="00786BA6"/>
    <w:rsid w:val="00790A9B"/>
    <w:rsid w:val="007933D3"/>
    <w:rsid w:val="00793CFA"/>
    <w:rsid w:val="00795949"/>
    <w:rsid w:val="0079618D"/>
    <w:rsid w:val="00797831"/>
    <w:rsid w:val="007A4A26"/>
    <w:rsid w:val="007A5FD4"/>
    <w:rsid w:val="007A6F98"/>
    <w:rsid w:val="007B13C0"/>
    <w:rsid w:val="007B1F6A"/>
    <w:rsid w:val="007B276B"/>
    <w:rsid w:val="007B2933"/>
    <w:rsid w:val="007B7BDE"/>
    <w:rsid w:val="007C11D1"/>
    <w:rsid w:val="007C14DE"/>
    <w:rsid w:val="007C2011"/>
    <w:rsid w:val="007C271E"/>
    <w:rsid w:val="007C2CCF"/>
    <w:rsid w:val="007C39B3"/>
    <w:rsid w:val="007C534E"/>
    <w:rsid w:val="007C6EB1"/>
    <w:rsid w:val="007D56FE"/>
    <w:rsid w:val="007D6BA3"/>
    <w:rsid w:val="007D6EF9"/>
    <w:rsid w:val="007D7C70"/>
    <w:rsid w:val="007D7E2D"/>
    <w:rsid w:val="007E4AB4"/>
    <w:rsid w:val="007E57DD"/>
    <w:rsid w:val="007F1FF1"/>
    <w:rsid w:val="007F282D"/>
    <w:rsid w:val="007F5BAB"/>
    <w:rsid w:val="008057DB"/>
    <w:rsid w:val="0081198A"/>
    <w:rsid w:val="00821574"/>
    <w:rsid w:val="00822376"/>
    <w:rsid w:val="00823CA5"/>
    <w:rsid w:val="00825A32"/>
    <w:rsid w:val="00827808"/>
    <w:rsid w:val="00827A17"/>
    <w:rsid w:val="00827BE6"/>
    <w:rsid w:val="00832834"/>
    <w:rsid w:val="008328B4"/>
    <w:rsid w:val="00832AEE"/>
    <w:rsid w:val="008336CB"/>
    <w:rsid w:val="0083435F"/>
    <w:rsid w:val="00835FCE"/>
    <w:rsid w:val="008372D3"/>
    <w:rsid w:val="00840324"/>
    <w:rsid w:val="00841225"/>
    <w:rsid w:val="00841B0F"/>
    <w:rsid w:val="008436F0"/>
    <w:rsid w:val="00844B73"/>
    <w:rsid w:val="00844C62"/>
    <w:rsid w:val="008453BF"/>
    <w:rsid w:val="00845792"/>
    <w:rsid w:val="00850F6E"/>
    <w:rsid w:val="00852BB2"/>
    <w:rsid w:val="008533D7"/>
    <w:rsid w:val="00863535"/>
    <w:rsid w:val="00864D31"/>
    <w:rsid w:val="00864D40"/>
    <w:rsid w:val="0086534A"/>
    <w:rsid w:val="008665AD"/>
    <w:rsid w:val="008704A5"/>
    <w:rsid w:val="00872142"/>
    <w:rsid w:val="0087218B"/>
    <w:rsid w:val="00873E8D"/>
    <w:rsid w:val="008747B7"/>
    <w:rsid w:val="008758C9"/>
    <w:rsid w:val="00883C79"/>
    <w:rsid w:val="008867E3"/>
    <w:rsid w:val="0088786D"/>
    <w:rsid w:val="00887CB0"/>
    <w:rsid w:val="008939EE"/>
    <w:rsid w:val="00893E38"/>
    <w:rsid w:val="00894BFE"/>
    <w:rsid w:val="00895C4E"/>
    <w:rsid w:val="00896C6E"/>
    <w:rsid w:val="00897688"/>
    <w:rsid w:val="008A0C6B"/>
    <w:rsid w:val="008A192B"/>
    <w:rsid w:val="008A2F2F"/>
    <w:rsid w:val="008A362E"/>
    <w:rsid w:val="008A4C88"/>
    <w:rsid w:val="008A6B98"/>
    <w:rsid w:val="008A6D63"/>
    <w:rsid w:val="008B1410"/>
    <w:rsid w:val="008B36C0"/>
    <w:rsid w:val="008B3D8B"/>
    <w:rsid w:val="008C02B9"/>
    <w:rsid w:val="008C0847"/>
    <w:rsid w:val="008D0335"/>
    <w:rsid w:val="008D1EAE"/>
    <w:rsid w:val="008D3B85"/>
    <w:rsid w:val="008D3E53"/>
    <w:rsid w:val="008D67AC"/>
    <w:rsid w:val="008D7616"/>
    <w:rsid w:val="008E0C6B"/>
    <w:rsid w:val="008E0E76"/>
    <w:rsid w:val="008E6339"/>
    <w:rsid w:val="008E64A1"/>
    <w:rsid w:val="008E7526"/>
    <w:rsid w:val="008E75FA"/>
    <w:rsid w:val="008F556E"/>
    <w:rsid w:val="008F688D"/>
    <w:rsid w:val="008F7F63"/>
    <w:rsid w:val="00900A4A"/>
    <w:rsid w:val="00901409"/>
    <w:rsid w:val="00901A1F"/>
    <w:rsid w:val="009041EF"/>
    <w:rsid w:val="00905F44"/>
    <w:rsid w:val="009103DC"/>
    <w:rsid w:val="00912FBA"/>
    <w:rsid w:val="009164E2"/>
    <w:rsid w:val="00917D30"/>
    <w:rsid w:val="009207A3"/>
    <w:rsid w:val="00920ECE"/>
    <w:rsid w:val="009216ED"/>
    <w:rsid w:val="00923BF4"/>
    <w:rsid w:val="00925CE4"/>
    <w:rsid w:val="0092679C"/>
    <w:rsid w:val="00927128"/>
    <w:rsid w:val="00927A14"/>
    <w:rsid w:val="0093123E"/>
    <w:rsid w:val="00931550"/>
    <w:rsid w:val="0093159A"/>
    <w:rsid w:val="00931F53"/>
    <w:rsid w:val="009320BD"/>
    <w:rsid w:val="0093362A"/>
    <w:rsid w:val="0093388C"/>
    <w:rsid w:val="00933BD1"/>
    <w:rsid w:val="009359C0"/>
    <w:rsid w:val="00935CD5"/>
    <w:rsid w:val="009412C8"/>
    <w:rsid w:val="00943415"/>
    <w:rsid w:val="009447CA"/>
    <w:rsid w:val="00944B98"/>
    <w:rsid w:val="00950496"/>
    <w:rsid w:val="00954E03"/>
    <w:rsid w:val="0095671F"/>
    <w:rsid w:val="00960834"/>
    <w:rsid w:val="009620A7"/>
    <w:rsid w:val="00962165"/>
    <w:rsid w:val="00963CF4"/>
    <w:rsid w:val="00963D8F"/>
    <w:rsid w:val="00964C23"/>
    <w:rsid w:val="00964DCC"/>
    <w:rsid w:val="00967D35"/>
    <w:rsid w:val="0097089C"/>
    <w:rsid w:val="0097391A"/>
    <w:rsid w:val="00975DE5"/>
    <w:rsid w:val="0097704F"/>
    <w:rsid w:val="00980811"/>
    <w:rsid w:val="00993E96"/>
    <w:rsid w:val="00994E26"/>
    <w:rsid w:val="009A2783"/>
    <w:rsid w:val="009A4B46"/>
    <w:rsid w:val="009A5AD0"/>
    <w:rsid w:val="009A7FA3"/>
    <w:rsid w:val="009B09ED"/>
    <w:rsid w:val="009B1162"/>
    <w:rsid w:val="009B169E"/>
    <w:rsid w:val="009B5D51"/>
    <w:rsid w:val="009B6C62"/>
    <w:rsid w:val="009B6FC3"/>
    <w:rsid w:val="009C6EF0"/>
    <w:rsid w:val="009D193E"/>
    <w:rsid w:val="009D2194"/>
    <w:rsid w:val="009D37DB"/>
    <w:rsid w:val="009D3CB6"/>
    <w:rsid w:val="009D6BB1"/>
    <w:rsid w:val="009E2CF3"/>
    <w:rsid w:val="009E57CD"/>
    <w:rsid w:val="009E6635"/>
    <w:rsid w:val="009F04B3"/>
    <w:rsid w:val="009F07D1"/>
    <w:rsid w:val="009F6115"/>
    <w:rsid w:val="009F714C"/>
    <w:rsid w:val="00A01630"/>
    <w:rsid w:val="00A06079"/>
    <w:rsid w:val="00A14803"/>
    <w:rsid w:val="00A14E07"/>
    <w:rsid w:val="00A17B8D"/>
    <w:rsid w:val="00A22A31"/>
    <w:rsid w:val="00A22BCC"/>
    <w:rsid w:val="00A23000"/>
    <w:rsid w:val="00A232A5"/>
    <w:rsid w:val="00A243DE"/>
    <w:rsid w:val="00A279D5"/>
    <w:rsid w:val="00A30842"/>
    <w:rsid w:val="00A318F1"/>
    <w:rsid w:val="00A31DE5"/>
    <w:rsid w:val="00A33FC2"/>
    <w:rsid w:val="00A35729"/>
    <w:rsid w:val="00A35C16"/>
    <w:rsid w:val="00A43F92"/>
    <w:rsid w:val="00A45EAE"/>
    <w:rsid w:val="00A526F9"/>
    <w:rsid w:val="00A5458F"/>
    <w:rsid w:val="00A56258"/>
    <w:rsid w:val="00A574B5"/>
    <w:rsid w:val="00A578BA"/>
    <w:rsid w:val="00A57E8C"/>
    <w:rsid w:val="00A65EB7"/>
    <w:rsid w:val="00A729A0"/>
    <w:rsid w:val="00A73C5E"/>
    <w:rsid w:val="00A74DE1"/>
    <w:rsid w:val="00A84FAF"/>
    <w:rsid w:val="00A866B0"/>
    <w:rsid w:val="00A873A7"/>
    <w:rsid w:val="00A87735"/>
    <w:rsid w:val="00A87C43"/>
    <w:rsid w:val="00A90939"/>
    <w:rsid w:val="00A91211"/>
    <w:rsid w:val="00A9186A"/>
    <w:rsid w:val="00A91D5B"/>
    <w:rsid w:val="00A92091"/>
    <w:rsid w:val="00A93993"/>
    <w:rsid w:val="00A951EC"/>
    <w:rsid w:val="00A96289"/>
    <w:rsid w:val="00A965AA"/>
    <w:rsid w:val="00A96AD3"/>
    <w:rsid w:val="00AA14B9"/>
    <w:rsid w:val="00AA1E00"/>
    <w:rsid w:val="00AA2B46"/>
    <w:rsid w:val="00AA3DB7"/>
    <w:rsid w:val="00AA5426"/>
    <w:rsid w:val="00AA583A"/>
    <w:rsid w:val="00AB09E6"/>
    <w:rsid w:val="00AB38D9"/>
    <w:rsid w:val="00AB3C1B"/>
    <w:rsid w:val="00AB45AB"/>
    <w:rsid w:val="00AB600E"/>
    <w:rsid w:val="00AB756D"/>
    <w:rsid w:val="00AC1749"/>
    <w:rsid w:val="00AC328E"/>
    <w:rsid w:val="00AC590C"/>
    <w:rsid w:val="00AC5B80"/>
    <w:rsid w:val="00AC5BE0"/>
    <w:rsid w:val="00AC7994"/>
    <w:rsid w:val="00AD3D29"/>
    <w:rsid w:val="00AD3F02"/>
    <w:rsid w:val="00AD4EE1"/>
    <w:rsid w:val="00AD7045"/>
    <w:rsid w:val="00AE1B8F"/>
    <w:rsid w:val="00AE34F8"/>
    <w:rsid w:val="00AE4E5B"/>
    <w:rsid w:val="00AE5237"/>
    <w:rsid w:val="00AF211D"/>
    <w:rsid w:val="00AF2A1B"/>
    <w:rsid w:val="00AF3B38"/>
    <w:rsid w:val="00AF5958"/>
    <w:rsid w:val="00B0291E"/>
    <w:rsid w:val="00B0463B"/>
    <w:rsid w:val="00B056A2"/>
    <w:rsid w:val="00B1369B"/>
    <w:rsid w:val="00B14179"/>
    <w:rsid w:val="00B15126"/>
    <w:rsid w:val="00B1661D"/>
    <w:rsid w:val="00B20EC7"/>
    <w:rsid w:val="00B2325D"/>
    <w:rsid w:val="00B25E0E"/>
    <w:rsid w:val="00B2653A"/>
    <w:rsid w:val="00B271CB"/>
    <w:rsid w:val="00B320AF"/>
    <w:rsid w:val="00B34D0E"/>
    <w:rsid w:val="00B365E0"/>
    <w:rsid w:val="00B3700C"/>
    <w:rsid w:val="00B40298"/>
    <w:rsid w:val="00B418CE"/>
    <w:rsid w:val="00B464F9"/>
    <w:rsid w:val="00B4651C"/>
    <w:rsid w:val="00B523F7"/>
    <w:rsid w:val="00B52963"/>
    <w:rsid w:val="00B5472E"/>
    <w:rsid w:val="00B559F7"/>
    <w:rsid w:val="00B55CA7"/>
    <w:rsid w:val="00B56A2E"/>
    <w:rsid w:val="00B605DE"/>
    <w:rsid w:val="00B60C75"/>
    <w:rsid w:val="00B61617"/>
    <w:rsid w:val="00B62950"/>
    <w:rsid w:val="00B648D2"/>
    <w:rsid w:val="00B67090"/>
    <w:rsid w:val="00B67997"/>
    <w:rsid w:val="00B704BB"/>
    <w:rsid w:val="00B70BC9"/>
    <w:rsid w:val="00B726AB"/>
    <w:rsid w:val="00B74A04"/>
    <w:rsid w:val="00B7513B"/>
    <w:rsid w:val="00B77B48"/>
    <w:rsid w:val="00B87779"/>
    <w:rsid w:val="00B927F2"/>
    <w:rsid w:val="00B92DAB"/>
    <w:rsid w:val="00B932F6"/>
    <w:rsid w:val="00B97C0D"/>
    <w:rsid w:val="00B97D41"/>
    <w:rsid w:val="00BA07BB"/>
    <w:rsid w:val="00BA12FD"/>
    <w:rsid w:val="00BA2977"/>
    <w:rsid w:val="00BA524A"/>
    <w:rsid w:val="00BA5757"/>
    <w:rsid w:val="00BA6264"/>
    <w:rsid w:val="00BA7532"/>
    <w:rsid w:val="00BB3176"/>
    <w:rsid w:val="00BB69AD"/>
    <w:rsid w:val="00BC0A02"/>
    <w:rsid w:val="00BC180D"/>
    <w:rsid w:val="00BC291D"/>
    <w:rsid w:val="00BC43BC"/>
    <w:rsid w:val="00BC444E"/>
    <w:rsid w:val="00BC6AB9"/>
    <w:rsid w:val="00BC7FD5"/>
    <w:rsid w:val="00BD0108"/>
    <w:rsid w:val="00BD4DB3"/>
    <w:rsid w:val="00BD73C9"/>
    <w:rsid w:val="00BE4E2D"/>
    <w:rsid w:val="00BE6234"/>
    <w:rsid w:val="00BE6BA3"/>
    <w:rsid w:val="00BF254F"/>
    <w:rsid w:val="00BF387C"/>
    <w:rsid w:val="00BF3CCD"/>
    <w:rsid w:val="00BF5369"/>
    <w:rsid w:val="00C03952"/>
    <w:rsid w:val="00C112C0"/>
    <w:rsid w:val="00C13270"/>
    <w:rsid w:val="00C16441"/>
    <w:rsid w:val="00C16CA7"/>
    <w:rsid w:val="00C21E07"/>
    <w:rsid w:val="00C24454"/>
    <w:rsid w:val="00C27E5E"/>
    <w:rsid w:val="00C342A5"/>
    <w:rsid w:val="00C342F9"/>
    <w:rsid w:val="00C35690"/>
    <w:rsid w:val="00C363DF"/>
    <w:rsid w:val="00C369BE"/>
    <w:rsid w:val="00C37798"/>
    <w:rsid w:val="00C420E2"/>
    <w:rsid w:val="00C42472"/>
    <w:rsid w:val="00C42B05"/>
    <w:rsid w:val="00C4575D"/>
    <w:rsid w:val="00C51BA0"/>
    <w:rsid w:val="00C53046"/>
    <w:rsid w:val="00C536B8"/>
    <w:rsid w:val="00C56564"/>
    <w:rsid w:val="00C56E97"/>
    <w:rsid w:val="00C61400"/>
    <w:rsid w:val="00C626FA"/>
    <w:rsid w:val="00C62E99"/>
    <w:rsid w:val="00C6406A"/>
    <w:rsid w:val="00C65300"/>
    <w:rsid w:val="00C67315"/>
    <w:rsid w:val="00C678F3"/>
    <w:rsid w:val="00C74766"/>
    <w:rsid w:val="00C74AAB"/>
    <w:rsid w:val="00C75F35"/>
    <w:rsid w:val="00C76C53"/>
    <w:rsid w:val="00C76D15"/>
    <w:rsid w:val="00C817C1"/>
    <w:rsid w:val="00C82449"/>
    <w:rsid w:val="00C849BC"/>
    <w:rsid w:val="00C862B5"/>
    <w:rsid w:val="00C87754"/>
    <w:rsid w:val="00C87A67"/>
    <w:rsid w:val="00C9181E"/>
    <w:rsid w:val="00C94ED4"/>
    <w:rsid w:val="00C95BD0"/>
    <w:rsid w:val="00CA070D"/>
    <w:rsid w:val="00CA4BEE"/>
    <w:rsid w:val="00CA53C9"/>
    <w:rsid w:val="00CA76F5"/>
    <w:rsid w:val="00CB0A5D"/>
    <w:rsid w:val="00CC0F3C"/>
    <w:rsid w:val="00CC111F"/>
    <w:rsid w:val="00CC12FF"/>
    <w:rsid w:val="00CC2657"/>
    <w:rsid w:val="00CC2A71"/>
    <w:rsid w:val="00CC5C3F"/>
    <w:rsid w:val="00CC7F45"/>
    <w:rsid w:val="00CD0D87"/>
    <w:rsid w:val="00CD261A"/>
    <w:rsid w:val="00CD371C"/>
    <w:rsid w:val="00CD48C9"/>
    <w:rsid w:val="00CE2AEE"/>
    <w:rsid w:val="00CE3B95"/>
    <w:rsid w:val="00CE42FC"/>
    <w:rsid w:val="00CE6DD8"/>
    <w:rsid w:val="00CF01A8"/>
    <w:rsid w:val="00CF7B5E"/>
    <w:rsid w:val="00D00BA5"/>
    <w:rsid w:val="00D02F85"/>
    <w:rsid w:val="00D063C0"/>
    <w:rsid w:val="00D13B80"/>
    <w:rsid w:val="00D141EC"/>
    <w:rsid w:val="00D14DD0"/>
    <w:rsid w:val="00D15138"/>
    <w:rsid w:val="00D16C9B"/>
    <w:rsid w:val="00D2350C"/>
    <w:rsid w:val="00D25EB6"/>
    <w:rsid w:val="00D35260"/>
    <w:rsid w:val="00D360E1"/>
    <w:rsid w:val="00D42AC7"/>
    <w:rsid w:val="00D42C59"/>
    <w:rsid w:val="00D433D4"/>
    <w:rsid w:val="00D47357"/>
    <w:rsid w:val="00D47905"/>
    <w:rsid w:val="00D5010D"/>
    <w:rsid w:val="00D5018C"/>
    <w:rsid w:val="00D51600"/>
    <w:rsid w:val="00D51C9F"/>
    <w:rsid w:val="00D5495B"/>
    <w:rsid w:val="00D562F9"/>
    <w:rsid w:val="00D61303"/>
    <w:rsid w:val="00D6343F"/>
    <w:rsid w:val="00D64EE9"/>
    <w:rsid w:val="00D651FA"/>
    <w:rsid w:val="00D74312"/>
    <w:rsid w:val="00D74383"/>
    <w:rsid w:val="00D74E29"/>
    <w:rsid w:val="00D75A8B"/>
    <w:rsid w:val="00D77EE1"/>
    <w:rsid w:val="00D817DC"/>
    <w:rsid w:val="00D8251B"/>
    <w:rsid w:val="00D82C6B"/>
    <w:rsid w:val="00D833D0"/>
    <w:rsid w:val="00D90082"/>
    <w:rsid w:val="00D90596"/>
    <w:rsid w:val="00D90817"/>
    <w:rsid w:val="00DA0CF5"/>
    <w:rsid w:val="00DA322A"/>
    <w:rsid w:val="00DA5A45"/>
    <w:rsid w:val="00DA5D50"/>
    <w:rsid w:val="00DA79A5"/>
    <w:rsid w:val="00DB2275"/>
    <w:rsid w:val="00DB648C"/>
    <w:rsid w:val="00DC10CA"/>
    <w:rsid w:val="00DC25EB"/>
    <w:rsid w:val="00DC2CFD"/>
    <w:rsid w:val="00DC4BEF"/>
    <w:rsid w:val="00DC6301"/>
    <w:rsid w:val="00DD6000"/>
    <w:rsid w:val="00DD6C88"/>
    <w:rsid w:val="00DE2296"/>
    <w:rsid w:val="00DE4E53"/>
    <w:rsid w:val="00DE7919"/>
    <w:rsid w:val="00DF303F"/>
    <w:rsid w:val="00DF4D8C"/>
    <w:rsid w:val="00DF7054"/>
    <w:rsid w:val="00DF7D3A"/>
    <w:rsid w:val="00DF7E7E"/>
    <w:rsid w:val="00E05A7D"/>
    <w:rsid w:val="00E06D88"/>
    <w:rsid w:val="00E1050F"/>
    <w:rsid w:val="00E107C5"/>
    <w:rsid w:val="00E1132D"/>
    <w:rsid w:val="00E130A8"/>
    <w:rsid w:val="00E13DD8"/>
    <w:rsid w:val="00E17EDA"/>
    <w:rsid w:val="00E23B5F"/>
    <w:rsid w:val="00E35853"/>
    <w:rsid w:val="00E35D00"/>
    <w:rsid w:val="00E37B19"/>
    <w:rsid w:val="00E40C4C"/>
    <w:rsid w:val="00E422D3"/>
    <w:rsid w:val="00E46593"/>
    <w:rsid w:val="00E468AE"/>
    <w:rsid w:val="00E4710C"/>
    <w:rsid w:val="00E5188B"/>
    <w:rsid w:val="00E53C4B"/>
    <w:rsid w:val="00E557A2"/>
    <w:rsid w:val="00E57D7B"/>
    <w:rsid w:val="00E61FC7"/>
    <w:rsid w:val="00E62F30"/>
    <w:rsid w:val="00E6744A"/>
    <w:rsid w:val="00E67C18"/>
    <w:rsid w:val="00E723B5"/>
    <w:rsid w:val="00E7250B"/>
    <w:rsid w:val="00E75BB8"/>
    <w:rsid w:val="00E801AF"/>
    <w:rsid w:val="00E83269"/>
    <w:rsid w:val="00E832C0"/>
    <w:rsid w:val="00E87006"/>
    <w:rsid w:val="00E92980"/>
    <w:rsid w:val="00E941B6"/>
    <w:rsid w:val="00E960D8"/>
    <w:rsid w:val="00EA0AFC"/>
    <w:rsid w:val="00EA3106"/>
    <w:rsid w:val="00EA3734"/>
    <w:rsid w:val="00EA4504"/>
    <w:rsid w:val="00EA4E9B"/>
    <w:rsid w:val="00EA5943"/>
    <w:rsid w:val="00EA6D08"/>
    <w:rsid w:val="00EA7A10"/>
    <w:rsid w:val="00EB2BEC"/>
    <w:rsid w:val="00EB42DA"/>
    <w:rsid w:val="00EB56F8"/>
    <w:rsid w:val="00EB5CEF"/>
    <w:rsid w:val="00EC30E6"/>
    <w:rsid w:val="00EC317F"/>
    <w:rsid w:val="00EC3DCD"/>
    <w:rsid w:val="00EC4923"/>
    <w:rsid w:val="00EC4AD5"/>
    <w:rsid w:val="00ED048F"/>
    <w:rsid w:val="00ED04D0"/>
    <w:rsid w:val="00ED2144"/>
    <w:rsid w:val="00ED2175"/>
    <w:rsid w:val="00ED2F70"/>
    <w:rsid w:val="00ED389A"/>
    <w:rsid w:val="00ED3D27"/>
    <w:rsid w:val="00ED4C38"/>
    <w:rsid w:val="00ED525F"/>
    <w:rsid w:val="00ED6AD9"/>
    <w:rsid w:val="00ED7B59"/>
    <w:rsid w:val="00EE1B73"/>
    <w:rsid w:val="00EE3616"/>
    <w:rsid w:val="00EE5013"/>
    <w:rsid w:val="00EE566B"/>
    <w:rsid w:val="00EE654E"/>
    <w:rsid w:val="00EE68E2"/>
    <w:rsid w:val="00EE7324"/>
    <w:rsid w:val="00EF003F"/>
    <w:rsid w:val="00EF0EE1"/>
    <w:rsid w:val="00EF0EF7"/>
    <w:rsid w:val="00EF2C33"/>
    <w:rsid w:val="00EF3DD4"/>
    <w:rsid w:val="00EF4A99"/>
    <w:rsid w:val="00EF4F0A"/>
    <w:rsid w:val="00EF5D4C"/>
    <w:rsid w:val="00EF5F8F"/>
    <w:rsid w:val="00EF6327"/>
    <w:rsid w:val="00EF6F34"/>
    <w:rsid w:val="00F00DE1"/>
    <w:rsid w:val="00F04A26"/>
    <w:rsid w:val="00F060D5"/>
    <w:rsid w:val="00F061C6"/>
    <w:rsid w:val="00F06B8E"/>
    <w:rsid w:val="00F06F64"/>
    <w:rsid w:val="00F10FF7"/>
    <w:rsid w:val="00F13C76"/>
    <w:rsid w:val="00F15C69"/>
    <w:rsid w:val="00F2171C"/>
    <w:rsid w:val="00F24A1D"/>
    <w:rsid w:val="00F25FFB"/>
    <w:rsid w:val="00F30BDA"/>
    <w:rsid w:val="00F34CAA"/>
    <w:rsid w:val="00F3560C"/>
    <w:rsid w:val="00F36C9B"/>
    <w:rsid w:val="00F374FE"/>
    <w:rsid w:val="00F4093A"/>
    <w:rsid w:val="00F44487"/>
    <w:rsid w:val="00F44B42"/>
    <w:rsid w:val="00F5252B"/>
    <w:rsid w:val="00F52869"/>
    <w:rsid w:val="00F55402"/>
    <w:rsid w:val="00F57983"/>
    <w:rsid w:val="00F731D5"/>
    <w:rsid w:val="00F732F0"/>
    <w:rsid w:val="00F77060"/>
    <w:rsid w:val="00F80397"/>
    <w:rsid w:val="00F82022"/>
    <w:rsid w:val="00F8776F"/>
    <w:rsid w:val="00F90525"/>
    <w:rsid w:val="00F915EE"/>
    <w:rsid w:val="00F91DDE"/>
    <w:rsid w:val="00FA246E"/>
    <w:rsid w:val="00FA26F3"/>
    <w:rsid w:val="00FA4338"/>
    <w:rsid w:val="00FA4C7E"/>
    <w:rsid w:val="00FA57C3"/>
    <w:rsid w:val="00FA63F8"/>
    <w:rsid w:val="00FA6F20"/>
    <w:rsid w:val="00FA6F65"/>
    <w:rsid w:val="00FB19DE"/>
    <w:rsid w:val="00FB509C"/>
    <w:rsid w:val="00FB5A80"/>
    <w:rsid w:val="00FB7633"/>
    <w:rsid w:val="00FB7E8E"/>
    <w:rsid w:val="00FC0519"/>
    <w:rsid w:val="00FC24A8"/>
    <w:rsid w:val="00FC66F6"/>
    <w:rsid w:val="00FD1430"/>
    <w:rsid w:val="00FD2318"/>
    <w:rsid w:val="00FD2906"/>
    <w:rsid w:val="00FD5C7E"/>
    <w:rsid w:val="00FD6A50"/>
    <w:rsid w:val="00FD70E3"/>
    <w:rsid w:val="00FF047A"/>
    <w:rsid w:val="00FF0954"/>
    <w:rsid w:val="00FF0DC5"/>
    <w:rsid w:val="00FF0EB4"/>
    <w:rsid w:val="00FF556B"/>
    <w:rsid w:val="00FF5F74"/>
    <w:rsid w:val="00FF7C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15:docId w15:val="{5422CA4B-DF73-41D0-9188-656441B7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 w:type="character" w:styleId="Hyperlink">
    <w:name w:val="Hyperlink"/>
    <w:basedOn w:val="DefaultParagraphFont"/>
    <w:uiPriority w:val="99"/>
    <w:unhideWhenUsed/>
    <w:rsid w:val="003C2F10"/>
    <w:rPr>
      <w:color w:val="0000FF" w:themeColor="hyperlink"/>
      <w:u w:val="single"/>
    </w:rPr>
  </w:style>
  <w:style w:type="table" w:styleId="TableGrid">
    <w:name w:val="Table Grid"/>
    <w:basedOn w:val="TableNormal"/>
    <w:uiPriority w:val="59"/>
    <w:rsid w:val="0040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041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55133489">
      <w:bodyDiv w:val="1"/>
      <w:marLeft w:val="0"/>
      <w:marRight w:val="0"/>
      <w:marTop w:val="0"/>
      <w:marBottom w:val="0"/>
      <w:divBdr>
        <w:top w:val="none" w:sz="0" w:space="0" w:color="auto"/>
        <w:left w:val="none" w:sz="0" w:space="0" w:color="auto"/>
        <w:bottom w:val="none" w:sz="0" w:space="0" w:color="auto"/>
        <w:right w:val="none" w:sz="0" w:space="0" w:color="auto"/>
      </w:divBdr>
    </w:div>
    <w:div w:id="834492499">
      <w:bodyDiv w:val="1"/>
      <w:marLeft w:val="0"/>
      <w:marRight w:val="0"/>
      <w:marTop w:val="0"/>
      <w:marBottom w:val="0"/>
      <w:divBdr>
        <w:top w:val="none" w:sz="0" w:space="0" w:color="auto"/>
        <w:left w:val="none" w:sz="0" w:space="0" w:color="auto"/>
        <w:bottom w:val="none" w:sz="0" w:space="0" w:color="auto"/>
        <w:right w:val="none" w:sz="0" w:space="0" w:color="auto"/>
      </w:divBdr>
    </w:div>
    <w:div w:id="1442140279">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oaa.gov/iea/Assets/iea/california/Report/pdf/10.Human%20Dimensions_2013.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lineCode">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2205F-5EDD-4A36-AF8C-7484A050F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13625</Words>
  <Characters>77663</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91106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4</cp:revision>
  <cp:lastPrinted>2016-01-20T00:54:00Z</cp:lastPrinted>
  <dcterms:created xsi:type="dcterms:W3CDTF">2016-01-27T20:58:00Z</dcterms:created>
  <dcterms:modified xsi:type="dcterms:W3CDTF">2016-01-27T21:05:00Z</dcterms:modified>
</cp:coreProperties>
</file>