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0D95C" w14:textId="77777777" w:rsidR="00850A08" w:rsidRPr="00850A08" w:rsidRDefault="00850A08" w:rsidP="00850A08">
      <w:pPr>
        <w:pStyle w:val="Heading1"/>
      </w:pPr>
      <w:r w:rsidRPr="00850A08">
        <w:t>The Use of the Prevalent New User Design in the Setting of Complex Treatment Patterns: A Simulation Study Protocol </w:t>
      </w:r>
    </w:p>
    <w:p w14:paraId="6DEF738A" w14:textId="77777777" w:rsidR="00850A08" w:rsidRPr="00850A08" w:rsidRDefault="00850A08" w:rsidP="00850A08">
      <w:pPr>
        <w:pStyle w:val="Heading2"/>
      </w:pPr>
      <w:r w:rsidRPr="00850A08">
        <w:t>Project description </w:t>
      </w:r>
    </w:p>
    <w:p w14:paraId="16305C29" w14:textId="77777777" w:rsidR="00850A08" w:rsidRPr="00850A08" w:rsidRDefault="00850A08" w:rsidP="00850A08">
      <w:r w:rsidRPr="00850A08">
        <w:t>This project will investigate the effect of different matching strategies on the estimation of treatment effects when conducting a cohort study using a prevalent-new user study design (PNUD) in the setting of complex treatment patterns.  </w:t>
      </w:r>
    </w:p>
    <w:p w14:paraId="584C6171" w14:textId="4A7CBC91" w:rsidR="00850A08" w:rsidRPr="00850A08" w:rsidRDefault="00850A08" w:rsidP="00850A08">
      <w:r w:rsidRPr="00850A08">
        <w:t>Complexity in treatment patterns can refer to the number of prior treatments, the type of prior treatment, e.g., treatments that have cumulative effects, or evolving disease severity where treatment may change over time. This project will focus on the situation where the complexity is due to switching between two or more treatments over time. </w:t>
      </w:r>
    </w:p>
    <w:p w14:paraId="05431002" w14:textId="77777777" w:rsidR="00850A08" w:rsidRPr="00850A08" w:rsidRDefault="00850A08" w:rsidP="00850A08">
      <w:r w:rsidRPr="00850A08">
        <w:t>A simulated dataset will be generated that represents individual dispensing claims for a cohort of individuals dispensed up to three different medicines.  Outcome events associated with the target medicine of interest will be simulated according to different patterns of prior exposure to alternative medicines. We will compare estimation of treatment effects using different matching strategies for selecting comparators (i.e., users that don’t switch treatment) to prevalent new users (treatment switchers) when conducting a PNUD cohort study.  </w:t>
      </w:r>
    </w:p>
    <w:p w14:paraId="730B5820" w14:textId="201D2F6A" w:rsidR="00850A08" w:rsidRPr="00850A08" w:rsidRDefault="00850A08" w:rsidP="00281123">
      <w:r w:rsidRPr="00850A08">
        <w:rPr>
          <w:lang w:val="en-US"/>
        </w:rPr>
        <w:t>The impact of different matching strategies for selecting comparators for each prevalent new user on treatment effect estimates will be assessed using measures of bias, precision (empirical and model SE), and coverage.</w:t>
      </w:r>
      <w:r w:rsidRPr="00850A08">
        <w:t>  </w:t>
      </w:r>
    </w:p>
    <w:p w14:paraId="1540C46E" w14:textId="77777777" w:rsidR="00850A08" w:rsidRPr="00850A08" w:rsidRDefault="00850A08" w:rsidP="00850A08">
      <w:pPr>
        <w:pStyle w:val="Heading2"/>
      </w:pPr>
      <w:r w:rsidRPr="00850A08">
        <w:t>Motivating example </w:t>
      </w:r>
    </w:p>
    <w:p w14:paraId="70BC6CBA" w14:textId="77777777" w:rsidR="00850A08" w:rsidRPr="00850A08" w:rsidRDefault="00850A08" w:rsidP="00850A08">
      <w:r w:rsidRPr="00850A08">
        <w:t>The scenario that the simulated data represents is a cohort of patients with an autoimmune disease such as rheumatoid arthritis who are treated with either a biologic medicine (e.g., TNFi or non-TNFi) or are untreated.  We wish to measure the risk of herpes zoster associated with the initiation of a new medicine that is introduced to the market, JAKi.  Each patient is either newly treated with a treatment of interest (JAKi) (incident users) or switch to JAKi after having received prior treatment with another medicine for that condition for some time prior to initiating JAKi (prevalent new users).  </w:t>
      </w:r>
    </w:p>
    <w:p w14:paraId="07A40154" w14:textId="77777777" w:rsidR="00850A08" w:rsidRPr="00850A08" w:rsidRDefault="00850A08" w:rsidP="00850A08">
      <w:r w:rsidRPr="00850A08">
        <w:t>In a traditional study design, such as an active comparator new user design (ACNU), we would compare incident users of JAKi to incident users of alternative medicines and those who were prevalent new users would be excluded from the study. However, this limits the population size, and results in evidence that relates only to the newly diagnosed and newly treated. We then have no evidence of risk or safety for those with prior treatment that switched to the new medicine, which is a group of medicine users that are also usually excluded from clinical trials.  </w:t>
      </w:r>
    </w:p>
    <w:p w14:paraId="39D39A67" w14:textId="77777777" w:rsidR="00850A08" w:rsidRPr="00850A08" w:rsidRDefault="00850A08" w:rsidP="00850A08">
      <w:r w:rsidRPr="00850A08">
        <w:lastRenderedPageBreak/>
        <w:t>In the prevalent new user design patients that switch treatment are included in the study cohort, allowing for comparing those that switch with those that continued treatment. In this example, the prevalent new users have been treated with one or both biologics (i.e., may have switched between the two) and will be compared with a user that continued their treatment with the biologic, accounting for any prior treatment.  </w:t>
      </w:r>
    </w:p>
    <w:p w14:paraId="05D745AD" w14:textId="77777777" w:rsidR="00850A08" w:rsidRPr="00850A08" w:rsidRDefault="00850A08" w:rsidP="00850A08">
      <w:r w:rsidRPr="00850A08">
        <w:t>Two forms of confounding: 1) due to prior medication history (prevalent user bias) and 2) due to patient characteristics that increase the risk of herpes zoster, e.g., older age, more severe disease activity and concomitant glucocorticoid dispensing (confounding by indication), need to be accounted for in the study design.  </w:t>
      </w:r>
    </w:p>
    <w:p w14:paraId="6D668E36" w14:textId="77777777" w:rsidR="0099497A" w:rsidRDefault="00850A08" w:rsidP="0088126E">
      <w:r w:rsidRPr="00850A08">
        <w:t>Matching on treatment history is used to avoid prevalent user bias and propensity scores are used to account for confounding by indication. Propensity scores are an established method for confounding control and are not the focus of this study. Our focus is on trialling different matching strategies to account for prior treatment history and their impact on reduction of bias. </w:t>
      </w:r>
      <w:r w:rsidR="0088126E">
        <w:t xml:space="preserve"> </w:t>
      </w:r>
    </w:p>
    <w:p w14:paraId="2ED37962" w14:textId="215A1611" w:rsidR="00440619" w:rsidRDefault="00440619" w:rsidP="00440619">
      <w:pPr>
        <w:pStyle w:val="Heading2"/>
      </w:pPr>
      <w:r>
        <w:t>Simulation overview</w:t>
      </w:r>
    </w:p>
    <w:p w14:paraId="7FA5471F" w14:textId="4E0FEAE1" w:rsidR="00440619" w:rsidRDefault="00440619" w:rsidP="00440619">
      <w:r>
        <w:t>Figure 1 provides a diagram of the simulation process.</w:t>
      </w:r>
    </w:p>
    <w:p w14:paraId="2941417E" w14:textId="77777777" w:rsidR="00440619" w:rsidRDefault="00440619" w:rsidP="00440619">
      <w:pPr>
        <w:keepNext/>
      </w:pPr>
      <w:r>
        <w:rPr>
          <w:noProof/>
        </w:rPr>
        <w:drawing>
          <wp:inline distT="0" distB="0" distL="0" distR="0" wp14:anchorId="234499BC" wp14:editId="6EFF3665">
            <wp:extent cx="6390122" cy="4324350"/>
            <wp:effectExtent l="0" t="0" r="0" b="0"/>
            <wp:docPr id="313125576"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25576" name="Picture 1" descr="A screenshot of a website&#10;&#10;AI-generated content may be incorrect."/>
                    <pic:cNvPicPr/>
                  </pic:nvPicPr>
                  <pic:blipFill rotWithShape="1">
                    <a:blip r:embed="rId5">
                      <a:extLst>
                        <a:ext uri="{28A0092B-C50C-407E-A947-70E740481C1C}">
                          <a14:useLocalDpi xmlns:a14="http://schemas.microsoft.com/office/drawing/2010/main" val="0"/>
                        </a:ext>
                      </a:extLst>
                    </a:blip>
                    <a:srcRect l="12928" t="5472" r="15657" b="8610"/>
                    <a:stretch/>
                  </pic:blipFill>
                  <pic:spPr bwMode="auto">
                    <a:xfrm>
                      <a:off x="0" y="0"/>
                      <a:ext cx="6401950" cy="4332354"/>
                    </a:xfrm>
                    <a:prstGeom prst="rect">
                      <a:avLst/>
                    </a:prstGeom>
                    <a:ln>
                      <a:noFill/>
                    </a:ln>
                    <a:extLst>
                      <a:ext uri="{53640926-AAD7-44D8-BBD7-CCE9431645EC}">
                        <a14:shadowObscured xmlns:a14="http://schemas.microsoft.com/office/drawing/2010/main"/>
                      </a:ext>
                    </a:extLst>
                  </pic:spPr>
                </pic:pic>
              </a:graphicData>
            </a:graphic>
          </wp:inline>
        </w:drawing>
      </w:r>
    </w:p>
    <w:p w14:paraId="0330B953" w14:textId="4EA3A09A" w:rsidR="00440619" w:rsidRPr="00440619" w:rsidRDefault="00440619" w:rsidP="00440619">
      <w:pPr>
        <w:pStyle w:val="Caption"/>
      </w:pPr>
      <w:r>
        <w:t xml:space="preserve">Figure </w:t>
      </w:r>
      <w:r>
        <w:fldChar w:fldCharType="begin"/>
      </w:r>
      <w:r>
        <w:instrText xml:space="preserve"> SEQ Figure \* ARABIC </w:instrText>
      </w:r>
      <w:r>
        <w:fldChar w:fldCharType="separate"/>
      </w:r>
      <w:r>
        <w:rPr>
          <w:noProof/>
        </w:rPr>
        <w:t>1</w:t>
      </w:r>
      <w:r>
        <w:fldChar w:fldCharType="end"/>
      </w:r>
      <w:r>
        <w:t>. Overview of the steps taken to conduct the simulation</w:t>
      </w:r>
    </w:p>
    <w:p w14:paraId="5F2B9D5F" w14:textId="11FB3680" w:rsidR="001A3619" w:rsidRDefault="00850A08" w:rsidP="0099497A">
      <w:pPr>
        <w:pStyle w:val="Heading2"/>
      </w:pPr>
      <w:r>
        <w:lastRenderedPageBreak/>
        <w:t xml:space="preserve">Methods </w:t>
      </w:r>
    </w:p>
    <w:p w14:paraId="5169C5A1" w14:textId="77777777" w:rsidR="0061664E" w:rsidRPr="0061664E" w:rsidRDefault="0061664E" w:rsidP="0061664E">
      <w:pPr>
        <w:pStyle w:val="Heading3"/>
      </w:pPr>
      <w:r w:rsidRPr="0061664E">
        <w:t>Aims </w:t>
      </w:r>
    </w:p>
    <w:p w14:paraId="61CF96DD" w14:textId="77777777" w:rsidR="0061664E" w:rsidRPr="0061664E" w:rsidRDefault="0061664E" w:rsidP="0061664E">
      <w:r w:rsidRPr="0061664E">
        <w:t>To evaluate the impacts of different matching strategies on the estimation of treatment effects when outcomes are generated using different risk models in cohort studies using PNUD.  </w:t>
      </w:r>
    </w:p>
    <w:p w14:paraId="0FD1C101" w14:textId="170B86DB" w:rsidR="0061664E" w:rsidRPr="0061664E" w:rsidRDefault="0061664E" w:rsidP="0061664E">
      <w:pPr>
        <w:pStyle w:val="Heading3"/>
      </w:pPr>
      <w:r w:rsidRPr="0061664E">
        <w:t>Data-generating mechanism </w:t>
      </w:r>
    </w:p>
    <w:p w14:paraId="02F11227" w14:textId="00372B94" w:rsidR="0061664E" w:rsidRDefault="0061664E" w:rsidP="0061664E">
      <w:r w:rsidRPr="0061664E">
        <w:t xml:space="preserve">We will consider nine data-generating mechanisms. For all nine, data are simulated on </w:t>
      </w:r>
      <m:oMath>
        <m:r>
          <w:rPr>
            <w:rFonts w:ascii="Cambria Math" w:hAnsi="Cambria Math"/>
          </w:rPr>
          <m:t xml:space="preserve">n = 20,000 </m:t>
        </m:r>
      </m:oMath>
      <w:r w:rsidR="0099497A" w:rsidRPr="0099497A">
        <w:rPr>
          <w:rFonts w:eastAsiaTheme="minorEastAsia"/>
          <w:iCs/>
        </w:rPr>
        <w:t>patients</w:t>
      </w:r>
      <w:r w:rsidRPr="0061664E">
        <w:rPr>
          <w:rFonts w:eastAsiaTheme="minorEastAsia"/>
        </w:rPr>
        <w:t>,</w:t>
      </w:r>
      <w:r w:rsidRPr="0061664E">
        <w:t xml:space="preserve"> representing medicines claims dispensing. Each data-generating mechanism represents a different outcome scenario, which is modelled dependent on the medicine dispensing and covariates. </w:t>
      </w:r>
    </w:p>
    <w:p w14:paraId="03D5F637" w14:textId="14663F63" w:rsidR="00C4604C" w:rsidRDefault="00C4604C" w:rsidP="0061664E">
      <w:r>
        <w:t>This document describe</w:t>
      </w:r>
      <w:r w:rsidR="0088126E">
        <w:t>s</w:t>
      </w:r>
      <w:r>
        <w:t xml:space="preserve"> one of the data-generating mechanisms</w:t>
      </w:r>
      <w:r w:rsidR="0088126E">
        <w:t xml:space="preserve">, however all will follow the same basic process, the difference </w:t>
      </w:r>
      <w:r w:rsidR="0099497A">
        <w:t>occurs</w:t>
      </w:r>
      <w:r w:rsidR="0088126E">
        <w:t xml:space="preserve"> in the regression coefficients and covariates related to the outcome generation</w:t>
      </w:r>
      <w:r>
        <w:t>.</w:t>
      </w:r>
    </w:p>
    <w:p w14:paraId="33E4793D" w14:textId="7AC24916" w:rsidR="0088126E" w:rsidRPr="0061664E" w:rsidRDefault="0088126E" w:rsidP="0088126E">
      <w:pPr>
        <w:pStyle w:val="Heading4"/>
      </w:pPr>
      <w:r>
        <w:t>Simulated dataset</w:t>
      </w:r>
    </w:p>
    <w:p w14:paraId="6D7E4E0C" w14:textId="09DB98BA" w:rsidR="0088126E" w:rsidRPr="0088126E" w:rsidRDefault="0088126E" w:rsidP="0088126E">
      <w:r w:rsidRPr="0088126E">
        <w:t xml:space="preserve">Three medicines will be assigned, medicines A and B are of the same medicine </w:t>
      </w:r>
      <w:r w:rsidR="00FD55DA">
        <w:t>type</w:t>
      </w:r>
      <w:r w:rsidRPr="0088126E">
        <w:t xml:space="preserve"> (e.g., biologics) and represent existing treatments for a condition (e.g., rheumatoid arthritis); a new medicine, X (e.g., JAKi), becomes available for treatment of the same condition as A and B. The dataset represents new use of medicines A and B between January 2019 and December 2024. Medicine X is only available from January 2022. It is assumed that all medicines are dispensed in quantities of 30, taken one per day, however randomisation is used to inject variability in the exposure durations. </w:t>
      </w:r>
    </w:p>
    <w:p w14:paraId="2185087D" w14:textId="21F3F698" w:rsidR="0088126E" w:rsidRPr="0088126E" w:rsidRDefault="0088126E" w:rsidP="0088126E">
      <w:r w:rsidRPr="0088126E">
        <w:t>Patients that have switched treatment are prevalent new users (PNU) (treatment patterns AX, BX, ABX, BAX). Each patient that has not been treated with medicine X are potential comparator users. For the purposes of the simulation</w:t>
      </w:r>
      <w:r>
        <w:t>,</w:t>
      </w:r>
      <w:r w:rsidRPr="0088126E">
        <w:t xml:space="preserve"> treatment patterns will be assigned such that each group has a designated matching group. For example, treatment pattern AX with be matched with A.  </w:t>
      </w:r>
    </w:p>
    <w:p w14:paraId="5CDDF81D" w14:textId="77777777" w:rsidR="0088126E" w:rsidRDefault="0088126E" w:rsidP="0088126E">
      <w:r w:rsidRPr="0088126E">
        <w:t>When simulating the data the treatment patterns for PNU and their comparators are determined dependent on their covariates at two transition points. At the first transition a patient will either continue on their current treatment (A or B) or switch to the other available treatment. At the second transition they will either continue on their current treatment or switch to the new medicine X. For example, someone may initiate treatment with medicine A, at the first transition they continue on A, at the second transition they switch to medicine X, resulting in treatment pattern AX. </w:t>
      </w:r>
      <w:r>
        <w:t>See Table 1 for the Simulation Protocol for assignment of these parameters.</w:t>
      </w:r>
    </w:p>
    <w:p w14:paraId="4A8448A7" w14:textId="77777777" w:rsidR="0099497A" w:rsidRDefault="0099497A" w:rsidP="0099497A">
      <w:r>
        <w:t>The steps to generate the initial dataset (</w:t>
      </w:r>
      <m:oMath>
        <m:r>
          <w:rPr>
            <w:rFonts w:ascii="Cambria Math" w:hAnsi="Cambria Math"/>
          </w:rPr>
          <m:t>n = 20,000</m:t>
        </m:r>
      </m:oMath>
      <w:r>
        <w:t xml:space="preserve">) are as follows for each individual </w:t>
      </w:r>
      <m:oMath>
        <m:r>
          <w:rPr>
            <w:rFonts w:ascii="Cambria Math" w:hAnsi="Cambria Math"/>
          </w:rPr>
          <m:t>i=1,…, n</m:t>
        </m:r>
      </m:oMath>
      <w:r>
        <w:t>:</w:t>
      </w:r>
    </w:p>
    <w:p w14:paraId="4FE3F985" w14:textId="77777777" w:rsidR="0099497A" w:rsidRDefault="0099497A" w:rsidP="0099497A">
      <w:pPr>
        <w:pStyle w:val="ListParagraph"/>
        <w:numPr>
          <w:ilvl w:val="0"/>
          <w:numId w:val="34"/>
        </w:numPr>
      </w:pPr>
      <w:r>
        <w:t>Generate the initial treatment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t>.</w:t>
      </w:r>
    </w:p>
    <w:p w14:paraId="77E84EC3" w14:textId="77777777" w:rsidR="0099497A" w:rsidRPr="0011114B" w:rsidRDefault="0099497A" w:rsidP="0099497A">
      <w:pPr>
        <w:pStyle w:val="ListParagraph"/>
        <w:numPr>
          <w:ilvl w:val="0"/>
          <w:numId w:val="34"/>
        </w:numPr>
      </w:pPr>
      <w:r>
        <w:lastRenderedPageBreak/>
        <w:t>Generate the three covariates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oMath>
      <w:r>
        <w:rPr>
          <w:rFonts w:eastAsiaTheme="minorEastAsia"/>
        </w:rPr>
        <w:t>.</w:t>
      </w:r>
    </w:p>
    <w:p w14:paraId="26227AD0" w14:textId="77777777" w:rsidR="0099497A" w:rsidRPr="00521CF5" w:rsidRDefault="0099497A" w:rsidP="0099497A">
      <w:pPr>
        <w:pStyle w:val="ListParagraph"/>
        <w:numPr>
          <w:ilvl w:val="0"/>
          <w:numId w:val="34"/>
        </w:numPr>
      </w:pPr>
      <w:r>
        <w:t xml:space="preserve">Generate </w:t>
      </w:r>
      <w:r>
        <w:rPr>
          <w:rFonts w:eastAsiaTheme="minorEastAsia"/>
        </w:rPr>
        <w:t xml:space="preserve">result of first transition,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oMath>
    </w:p>
    <w:p w14:paraId="13CE4DAA" w14:textId="77777777" w:rsidR="0099497A" w:rsidRPr="00521CF5" w:rsidRDefault="0099497A" w:rsidP="0099497A">
      <w:pPr>
        <w:pStyle w:val="ListParagraph"/>
        <w:numPr>
          <w:ilvl w:val="0"/>
          <w:numId w:val="34"/>
        </w:numPr>
      </w:pPr>
      <w:r>
        <w:rPr>
          <w:rFonts w:eastAsiaTheme="minorEastAsia"/>
        </w:rPr>
        <w:t xml:space="preserve">Generate result of second transition,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p>
    <w:p w14:paraId="6C862CE6" w14:textId="77777777" w:rsidR="0099497A" w:rsidRPr="00521CF5" w:rsidRDefault="0099497A" w:rsidP="0099497A">
      <w:pPr>
        <w:pStyle w:val="ListParagraph"/>
        <w:numPr>
          <w:ilvl w:val="0"/>
          <w:numId w:val="34"/>
        </w:numPr>
      </w:pPr>
      <w:r>
        <w:rPr>
          <w:rFonts w:eastAsiaTheme="minorEastAsia"/>
        </w:rPr>
        <w:t xml:space="preserve">Determine treatment pattern, </w:t>
      </w:r>
      <m:oMath>
        <m:r>
          <w:rPr>
            <w:rFonts w:ascii="Cambria Math" w:eastAsiaTheme="minorEastAsia" w:hAnsi="Cambria Math"/>
          </w:rPr>
          <m:t>Trt</m:t>
        </m:r>
      </m:oMath>
      <w:r>
        <w:rPr>
          <w:rFonts w:eastAsiaTheme="minorEastAsia"/>
        </w:rPr>
        <w:t xml:space="preserve">, based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and S.</m:t>
        </m:r>
      </m:oMath>
    </w:p>
    <w:p w14:paraId="727571F5" w14:textId="77777777" w:rsidR="0099497A" w:rsidRDefault="0099497A" w:rsidP="0099497A">
      <w:pPr>
        <w:pStyle w:val="ListParagraph"/>
        <w:numPr>
          <w:ilvl w:val="0"/>
          <w:numId w:val="34"/>
        </w:numPr>
      </w:pPr>
      <w:r>
        <w:t>Generate the treatment start date between January 1, 2019, and December 31, 2021.</w:t>
      </w:r>
    </w:p>
    <w:p w14:paraId="1EA1AE54" w14:textId="77777777" w:rsidR="0099497A" w:rsidRDefault="0099497A" w:rsidP="0099497A">
      <w:pPr>
        <w:pStyle w:val="ListParagraph"/>
        <w:numPr>
          <w:ilvl w:val="0"/>
          <w:numId w:val="34"/>
        </w:numPr>
      </w:pPr>
      <w:r>
        <w:t>(For treatment patterns: AB, ABX, BA, BAX) generate the date of switch between medicine A and B between January 1, 2022, to December 31, 2024. This will be known as the swap date.</w:t>
      </w:r>
    </w:p>
    <w:p w14:paraId="3BA99CC4" w14:textId="77777777" w:rsidR="0099497A" w:rsidRDefault="0099497A" w:rsidP="0099497A">
      <w:pPr>
        <w:pStyle w:val="ListParagraph"/>
        <w:numPr>
          <w:ilvl w:val="0"/>
          <w:numId w:val="34"/>
        </w:numPr>
      </w:pPr>
      <w:r>
        <w:t>Generate the switch date between January 1, 2022, to December 31, 2024. For treatment patterns AX, ABX, BX and BAX this is the date they switched to medicine X; for treatment patterns A, AB, B and BA this is the date that they could have switched to medicine X but instead continued with the treatment received at that time. For treatment patterns: AB, ABX, BA, BAX, select the earliest date between the swap and switch dates as the swap date, the other date is the switch date.</w:t>
      </w:r>
    </w:p>
    <w:p w14:paraId="74EFD348" w14:textId="77777777" w:rsidR="0099497A" w:rsidRDefault="0099497A" w:rsidP="0099497A">
      <w:pPr>
        <w:pStyle w:val="ListParagraph"/>
        <w:numPr>
          <w:ilvl w:val="0"/>
          <w:numId w:val="34"/>
        </w:numPr>
      </w:pPr>
      <w:r>
        <w:t>Determine the time on treatment (switch date minus start date).</w:t>
      </w:r>
    </w:p>
    <w:p w14:paraId="2F896752" w14:textId="77777777" w:rsidR="0099497A" w:rsidRDefault="0099497A" w:rsidP="0099497A">
      <w:pPr>
        <w:pStyle w:val="ListParagraph"/>
        <w:numPr>
          <w:ilvl w:val="0"/>
          <w:numId w:val="34"/>
        </w:numPr>
      </w:pPr>
      <w:r>
        <w:t xml:space="preserve">(For treatment patterns: AB, ABX, BA, BAX) determine the time on first medicine (swap date minus start date) and the time on second medicine (switch date minus swap date). </w:t>
      </w:r>
    </w:p>
    <w:p w14:paraId="5A507A6C" w14:textId="25AC0D4B" w:rsidR="0099497A" w:rsidRDefault="0099497A" w:rsidP="0088126E">
      <w:pPr>
        <w:pStyle w:val="ListParagraph"/>
        <w:numPr>
          <w:ilvl w:val="0"/>
          <w:numId w:val="34"/>
        </w:numPr>
        <w:sectPr w:rsidR="0099497A" w:rsidSect="00F93706">
          <w:type w:val="continuous"/>
          <w:pgSz w:w="11906" w:h="16838"/>
          <w:pgMar w:top="1440" w:right="1080" w:bottom="1440" w:left="1080" w:header="708" w:footer="708" w:gutter="0"/>
          <w:cols w:space="708"/>
          <w:docGrid w:linePitch="360"/>
        </w:sectPr>
      </w:pPr>
      <w:r>
        <w:t>Determine the proportion of time spent on medicine A and medicine B, using the values from step 10, or for treatment patterns A and AX, time on treatment A is 1.0, time on treatment B is 0, and vice versa for treatment patterns B and BX.</w:t>
      </w:r>
      <w:r w:rsidR="00E334C1">
        <w:t xml:space="preserve"> Depending on treatment pattern determine the which is the first proportion (</w:t>
      </w:r>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1</m:t>
            </m:r>
          </m:sub>
        </m:sSub>
      </m:oMath>
      <w:r w:rsidR="00E334C1" w:rsidRPr="00E334C1">
        <w:rPr>
          <w:rFonts w:eastAsiaTheme="minorEastAsia"/>
        </w:rPr>
        <w:t>)</w:t>
      </w:r>
      <w:r w:rsidR="00E334C1">
        <w:t xml:space="preserve"> and the second proportion (</w:t>
      </w:r>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2</m:t>
            </m:r>
          </m:sub>
        </m:sSub>
      </m:oMath>
      <w:r w:rsidR="00E334C1">
        <w:rPr>
          <w:rFonts w:eastAsiaTheme="minorEastAsia"/>
        </w:rPr>
        <w:t>).</w:t>
      </w:r>
      <w:r w:rsidR="00E334C1">
        <w:t xml:space="preserve"> </w:t>
      </w:r>
    </w:p>
    <w:p w14:paraId="7DD417A3" w14:textId="616DDFE4" w:rsidR="00850A08" w:rsidRDefault="00850A08" w:rsidP="006B1319">
      <w:pPr>
        <w:pStyle w:val="Caption"/>
        <w:keepNext/>
        <w:spacing w:after="0"/>
        <w:ind w:hanging="142"/>
      </w:pPr>
      <w:r>
        <w:lastRenderedPageBreak/>
        <w:t xml:space="preserve">Table </w:t>
      </w:r>
      <w:r>
        <w:fldChar w:fldCharType="begin"/>
      </w:r>
      <w:r>
        <w:instrText xml:space="preserve"> SEQ Table \* ARABIC </w:instrText>
      </w:r>
      <w:r>
        <w:fldChar w:fldCharType="separate"/>
      </w:r>
      <w:r>
        <w:rPr>
          <w:noProof/>
        </w:rPr>
        <w:t>1</w:t>
      </w:r>
      <w:r>
        <w:fldChar w:fldCharType="end"/>
      </w:r>
      <w:r>
        <w:t>. Simulation protocol for variables used to generate the dataset</w:t>
      </w:r>
    </w:p>
    <w:tbl>
      <w:tblPr>
        <w:tblStyle w:val="TableGrid"/>
        <w:tblW w:w="14615" w:type="dxa"/>
        <w:tblInd w:w="-289" w:type="dxa"/>
        <w:tblLook w:val="04A0" w:firstRow="1" w:lastRow="0" w:firstColumn="1" w:lastColumn="0" w:noHBand="0" w:noVBand="1"/>
      </w:tblPr>
      <w:tblGrid>
        <w:gridCol w:w="5452"/>
        <w:gridCol w:w="1170"/>
        <w:gridCol w:w="7993"/>
      </w:tblGrid>
      <w:tr w:rsidR="00706F7D" w14:paraId="2D36FB28" w14:textId="77777777" w:rsidTr="00FD55DA">
        <w:tc>
          <w:tcPr>
            <w:tcW w:w="5529" w:type="dxa"/>
          </w:tcPr>
          <w:p w14:paraId="3F3CE209" w14:textId="4CDFB2AA" w:rsidR="00706F7D" w:rsidRPr="005F0F34" w:rsidRDefault="00706F7D" w:rsidP="001A3619">
            <w:pPr>
              <w:rPr>
                <w:b/>
                <w:bCs/>
              </w:rPr>
            </w:pPr>
            <w:r w:rsidRPr="005F0F34">
              <w:rPr>
                <w:b/>
                <w:bCs/>
              </w:rPr>
              <w:t>Variable</w:t>
            </w:r>
          </w:p>
        </w:tc>
        <w:tc>
          <w:tcPr>
            <w:tcW w:w="992" w:type="dxa"/>
          </w:tcPr>
          <w:p w14:paraId="1DB85833" w14:textId="76790E8E" w:rsidR="00706F7D" w:rsidRPr="005F0F34" w:rsidRDefault="00706F7D" w:rsidP="001A3619">
            <w:pPr>
              <w:rPr>
                <w:b/>
                <w:bCs/>
              </w:rPr>
            </w:pPr>
            <w:r w:rsidRPr="005F0F34">
              <w:rPr>
                <w:b/>
                <w:bCs/>
              </w:rPr>
              <w:t>Notation</w:t>
            </w:r>
          </w:p>
        </w:tc>
        <w:tc>
          <w:tcPr>
            <w:tcW w:w="8094" w:type="dxa"/>
          </w:tcPr>
          <w:p w14:paraId="441C69B4" w14:textId="33A2A212" w:rsidR="00706F7D" w:rsidRPr="005F0F34" w:rsidRDefault="00706F7D" w:rsidP="001A3619">
            <w:pPr>
              <w:rPr>
                <w:b/>
                <w:bCs/>
              </w:rPr>
            </w:pPr>
            <w:r w:rsidRPr="005F0F34">
              <w:rPr>
                <w:b/>
                <w:bCs/>
              </w:rPr>
              <w:t>Simulation Protocol</w:t>
            </w:r>
          </w:p>
        </w:tc>
      </w:tr>
      <w:tr w:rsidR="00706F7D" w14:paraId="6873BD1C" w14:textId="77777777" w:rsidTr="00FD55DA">
        <w:tc>
          <w:tcPr>
            <w:tcW w:w="5529" w:type="dxa"/>
          </w:tcPr>
          <w:p w14:paraId="314E092B" w14:textId="7FD9497E" w:rsidR="00706F7D" w:rsidRDefault="00706F7D" w:rsidP="001A3619">
            <w:r>
              <w:t>Initial treatment</w:t>
            </w:r>
            <w:r w:rsidR="00521CF5">
              <w:t>:</w:t>
            </w:r>
            <w:r w:rsidR="00DF49A6">
              <w:t xml:space="preserve"> (</w:t>
            </w:r>
            <w:r w:rsidR="00521CF5">
              <w:t xml:space="preserve">0 = </w:t>
            </w:r>
            <w:r w:rsidR="00DF49A6">
              <w:t xml:space="preserve">medicine A, </w:t>
            </w:r>
            <w:r w:rsidR="00521CF5">
              <w:t xml:space="preserve">1 = </w:t>
            </w:r>
            <w:r w:rsidR="00DF49A6">
              <w:t>medicine B)</w:t>
            </w:r>
          </w:p>
        </w:tc>
        <w:tc>
          <w:tcPr>
            <w:tcW w:w="992" w:type="dxa"/>
          </w:tcPr>
          <w:p w14:paraId="19C29615" w14:textId="28D0BA26" w:rsidR="00706F7D" w:rsidRDefault="00440619" w:rsidP="001A3619">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8094" w:type="dxa"/>
          </w:tcPr>
          <w:p w14:paraId="590466D7" w14:textId="19511BCD" w:rsidR="00706F7D" w:rsidRPr="00706F7D" w:rsidRDefault="00440619" w:rsidP="001A3619">
            <w:pPr>
              <w:rPr>
                <w:vertAlign w:val="superscript"/>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~{0.50, 0.50}</m:t>
                </m:r>
              </m:oMath>
            </m:oMathPara>
          </w:p>
        </w:tc>
      </w:tr>
      <w:tr w:rsidR="00706F7D" w14:paraId="4AF6B96D" w14:textId="77777777" w:rsidTr="00FD55DA">
        <w:tc>
          <w:tcPr>
            <w:tcW w:w="5529" w:type="dxa"/>
          </w:tcPr>
          <w:p w14:paraId="1CDBD5F4" w14:textId="2C7E0075" w:rsidR="00706F7D" w:rsidRDefault="00706F7D" w:rsidP="001A3619">
            <w:r>
              <w:t>Age at treatment initiation, years</w:t>
            </w:r>
          </w:p>
        </w:tc>
        <w:tc>
          <w:tcPr>
            <w:tcW w:w="992" w:type="dxa"/>
          </w:tcPr>
          <w:p w14:paraId="38ABA0C5" w14:textId="3D07C7E1" w:rsidR="00706F7D" w:rsidRPr="00706F7D" w:rsidRDefault="00440619" w:rsidP="001A3619">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8094" w:type="dxa"/>
          </w:tcPr>
          <w:p w14:paraId="2B438913" w14:textId="67274763" w:rsidR="00706F7D" w:rsidRDefault="00440619" w:rsidP="001A3619">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~N(55, 16)</m:t>
                </m:r>
              </m:oMath>
            </m:oMathPara>
          </w:p>
        </w:tc>
      </w:tr>
      <w:tr w:rsidR="00706F7D" w14:paraId="69B0DC2A" w14:textId="77777777" w:rsidTr="00FD55DA">
        <w:tc>
          <w:tcPr>
            <w:tcW w:w="5529" w:type="dxa"/>
          </w:tcPr>
          <w:p w14:paraId="763462C9" w14:textId="1644129E" w:rsidR="00706F7D" w:rsidRDefault="00FD56E0" w:rsidP="001A3619">
            <w:r>
              <w:t>Disease Activity Score (DAS), (low, moderate, high)</w:t>
            </w:r>
          </w:p>
        </w:tc>
        <w:tc>
          <w:tcPr>
            <w:tcW w:w="992" w:type="dxa"/>
          </w:tcPr>
          <w:p w14:paraId="52BEB134" w14:textId="0F0A9AC0" w:rsidR="00706F7D" w:rsidRDefault="00440619" w:rsidP="001A3619">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8094" w:type="dxa"/>
          </w:tcPr>
          <w:p w14:paraId="78A0FF37" w14:textId="03683102" w:rsidR="00706F7D" w:rsidRDefault="00440619" w:rsidP="001A3619">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~{0.45, 0.35, 0.20}</m:t>
                </m:r>
              </m:oMath>
            </m:oMathPara>
          </w:p>
        </w:tc>
      </w:tr>
      <w:tr w:rsidR="00706F7D" w14:paraId="120ED2CC" w14:textId="77777777" w:rsidTr="00FD55DA">
        <w:tc>
          <w:tcPr>
            <w:tcW w:w="5529" w:type="dxa"/>
          </w:tcPr>
          <w:p w14:paraId="40FB307E" w14:textId="4C3679FE" w:rsidR="00706F7D" w:rsidRDefault="00DF49A6" w:rsidP="001A3619">
            <w:r>
              <w:t>Concomitant steroids: 1 = yes, 0 = no</w:t>
            </w:r>
          </w:p>
        </w:tc>
        <w:tc>
          <w:tcPr>
            <w:tcW w:w="992" w:type="dxa"/>
          </w:tcPr>
          <w:p w14:paraId="7F802790" w14:textId="3DC1283F" w:rsidR="00706F7D" w:rsidRDefault="00440619" w:rsidP="001A3619">
            <m:oMathPara>
              <m:oMath>
                <m:sSub>
                  <m:sSubPr>
                    <m:ctrlPr>
                      <w:rPr>
                        <w:rFonts w:ascii="Cambria Math" w:hAnsi="Cambria Math"/>
                        <w:i/>
                      </w:rPr>
                    </m:ctrlPr>
                  </m:sSubPr>
                  <m:e>
                    <m:r>
                      <w:rPr>
                        <w:rFonts w:ascii="Cambria Math" w:hAnsi="Cambria Math"/>
                      </w:rPr>
                      <m:t>C</m:t>
                    </m:r>
                  </m:e>
                  <m:sub>
                    <m:r>
                      <w:rPr>
                        <w:rFonts w:ascii="Cambria Math" w:hAnsi="Cambria Math"/>
                      </w:rPr>
                      <m:t>3</m:t>
                    </m:r>
                  </m:sub>
                </m:sSub>
              </m:oMath>
            </m:oMathPara>
          </w:p>
        </w:tc>
        <w:tc>
          <w:tcPr>
            <w:tcW w:w="8094" w:type="dxa"/>
          </w:tcPr>
          <w:p w14:paraId="727ABEB0" w14:textId="3D20F19E" w:rsidR="00706F7D" w:rsidRDefault="001E744F" w:rsidP="001A3619">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eastAsiaTheme="minorEastAsia" w:hAnsi="Cambria Math"/>
                      </w:rPr>
                      <m:t xml:space="preserve"> = 1</m:t>
                    </m:r>
                    <m:ctrlPr>
                      <w:rPr>
                        <w:rFonts w:ascii="Cambria Math" w:eastAsiaTheme="minorEastAsia" w:hAnsi="Cambria Math"/>
                        <w:i/>
                      </w:rPr>
                    </m:ctrlPr>
                  </m:e>
                </m:d>
                <m:r>
                  <w:rPr>
                    <w:rFonts w:ascii="Cambria Math" w:eastAsiaTheme="minorEastAsia" w:hAnsi="Cambria Math"/>
                  </w:rPr>
                  <m:t>=0.2</m:t>
                </m:r>
              </m:oMath>
            </m:oMathPara>
          </w:p>
        </w:tc>
      </w:tr>
      <w:tr w:rsidR="00DF49A6" w14:paraId="6ED76216" w14:textId="77777777" w:rsidTr="00FD55DA">
        <w:tc>
          <w:tcPr>
            <w:tcW w:w="5529" w:type="dxa"/>
          </w:tcPr>
          <w:p w14:paraId="5F7127A1" w14:textId="567142AE" w:rsidR="00DF49A6" w:rsidRDefault="00DF49A6" w:rsidP="001A3619">
            <w:r>
              <w:t>Switching from initial treatment: 1 = yes, 0 = no</w:t>
            </w:r>
          </w:p>
        </w:tc>
        <w:tc>
          <w:tcPr>
            <w:tcW w:w="992" w:type="dxa"/>
          </w:tcPr>
          <w:p w14:paraId="130A39B6" w14:textId="3D4D6DBE" w:rsidR="00DF49A6" w:rsidRDefault="00440619" w:rsidP="001A3619">
            <w:pPr>
              <w:rPr>
                <w:rFonts w:ascii="Aptos" w:eastAsia="Aptos" w:hAnsi="Aptos" w:cs="Times New Roman"/>
              </w:rPr>
            </w:pPr>
            <m:oMathPara>
              <m:oMath>
                <m:sSub>
                  <m:sSubPr>
                    <m:ctrlPr>
                      <w:rPr>
                        <w:rFonts w:ascii="Cambria Math" w:eastAsia="Aptos" w:hAnsi="Cambria Math" w:cs="Times New Roman"/>
                        <w:i/>
                      </w:rPr>
                    </m:ctrlPr>
                  </m:sSubPr>
                  <m:e>
                    <m:r>
                      <w:rPr>
                        <w:rFonts w:ascii="Cambria Math" w:eastAsia="Aptos" w:hAnsi="Cambria Math" w:cs="Times New Roman"/>
                      </w:rPr>
                      <m:t>S</m:t>
                    </m:r>
                  </m:e>
                  <m:sub>
                    <m:r>
                      <w:rPr>
                        <w:rFonts w:ascii="Cambria Math" w:eastAsia="Aptos" w:hAnsi="Cambria Math" w:cs="Times New Roman"/>
                      </w:rPr>
                      <m:t>1</m:t>
                    </m:r>
                  </m:sub>
                </m:sSub>
              </m:oMath>
            </m:oMathPara>
          </w:p>
        </w:tc>
        <w:tc>
          <w:tcPr>
            <w:tcW w:w="8094" w:type="dxa"/>
          </w:tcPr>
          <w:p w14:paraId="0A54B604" w14:textId="2FED304D" w:rsidR="00DF49A6" w:rsidRPr="00706F7D" w:rsidRDefault="00DF49A6" w:rsidP="001A3619">
            <w:pPr>
              <w:rPr>
                <w:rFonts w:ascii="Aptos" w:eastAsia="Aptos" w:hAnsi="Aptos" w:cs="Times New Roman"/>
              </w:rPr>
            </w:pPr>
            <m:oMathPara>
              <m:oMath>
                <m:r>
                  <w:rPr>
                    <w:rFonts w:ascii="Cambria Math" w:eastAsia="Aptos" w:hAnsi="Cambria Math" w:cs="Times New Roman"/>
                  </w:rPr>
                  <m:t>logitP</m:t>
                </m:r>
                <m:d>
                  <m:dPr>
                    <m:endChr m:val="|"/>
                    <m:ctrlPr>
                      <w:rPr>
                        <w:rFonts w:ascii="Cambria Math" w:eastAsia="Aptos" w:hAnsi="Cambria Math" w:cs="Times New Roman"/>
                        <w:i/>
                      </w:rPr>
                    </m:ctrlPr>
                  </m:dPr>
                  <m:e>
                    <m:sSub>
                      <m:sSubPr>
                        <m:ctrlPr>
                          <w:rPr>
                            <w:rFonts w:ascii="Cambria Math" w:eastAsia="Aptos" w:hAnsi="Cambria Math" w:cs="Times New Roman"/>
                            <w:i/>
                          </w:rPr>
                        </m:ctrlPr>
                      </m:sSubPr>
                      <m:e>
                        <m:r>
                          <w:rPr>
                            <w:rFonts w:ascii="Cambria Math" w:eastAsia="Aptos" w:hAnsi="Cambria Math" w:cs="Times New Roman"/>
                          </w:rPr>
                          <m:t>S</m:t>
                        </m:r>
                      </m:e>
                      <m:sub>
                        <m:r>
                          <w:rPr>
                            <w:rFonts w:ascii="Cambria Math" w:eastAsia="Aptos" w:hAnsi="Cambria Math" w:cs="Times New Roman"/>
                          </w:rPr>
                          <m:t>1</m:t>
                        </m:r>
                      </m:sub>
                    </m:sSub>
                    <m:r>
                      <w:rPr>
                        <w:rFonts w:ascii="Cambria Math" w:eastAsia="Aptos" w:hAnsi="Cambria Math" w:cs="Times New Roman"/>
                      </w:rPr>
                      <m:t xml:space="preserve">=1 </m:t>
                    </m:r>
                  </m:e>
                </m:d>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1</m:t>
                    </m:r>
                  </m:sub>
                </m:sSub>
                <m:r>
                  <w:rPr>
                    <w:rFonts w:ascii="Cambria Math" w:eastAsia="Aptos" w:hAnsi="Cambria Math" w:cs="Times New Roman"/>
                  </w:rPr>
                  <m:t xml:space="preserve">, </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2</m:t>
                    </m:r>
                  </m:sub>
                </m:sSub>
                <m:r>
                  <w:rPr>
                    <w:rFonts w:ascii="Cambria Math" w:eastAsia="Aptos" w:hAnsi="Cambria Math" w:cs="Times New Roman"/>
                  </w:rPr>
                  <m:t xml:space="preserve">, </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3</m:t>
                    </m:r>
                  </m:sub>
                </m:sSub>
                <m:r>
                  <w:rPr>
                    <w:rFonts w:ascii="Cambria Math" w:eastAsia="Aptos" w:hAnsi="Cambria Math" w:cs="Times New Roman"/>
                  </w:rPr>
                  <m:t>)=</m:t>
                </m:r>
                <m:func>
                  <m:funcPr>
                    <m:ctrlPr>
                      <w:rPr>
                        <w:rFonts w:ascii="Cambria Math" w:eastAsia="Aptos" w:hAnsi="Cambria Math" w:cs="Times New Roman"/>
                        <w:i/>
                      </w:rPr>
                    </m:ctrlPr>
                  </m:funcPr>
                  <m:fName>
                    <m:r>
                      <m:rPr>
                        <m:sty m:val="p"/>
                      </m:rPr>
                      <w:rPr>
                        <w:rFonts w:ascii="Cambria Math" w:eastAsia="Aptos" w:hAnsi="Cambria Math" w:cs="Times New Roman"/>
                      </w:rPr>
                      <m:t>log</m:t>
                    </m:r>
                  </m:fName>
                  <m:e>
                    <m:d>
                      <m:dPr>
                        <m:ctrlPr>
                          <w:rPr>
                            <w:rFonts w:ascii="Cambria Math" w:eastAsia="Aptos" w:hAnsi="Cambria Math" w:cs="Times New Roman"/>
                            <w:i/>
                          </w:rPr>
                        </m:ctrlPr>
                      </m:dPr>
                      <m:e>
                        <m:r>
                          <w:rPr>
                            <w:rFonts w:ascii="Cambria Math" w:eastAsia="Aptos" w:hAnsi="Cambria Math" w:cs="Times New Roman"/>
                          </w:rPr>
                          <m:t>0.5</m:t>
                        </m:r>
                      </m:e>
                    </m:d>
                  </m:e>
                </m:func>
                <m:r>
                  <w:rPr>
                    <w:rFonts w:ascii="Cambria Math" w:eastAsia="Aptos" w:hAnsi="Cambria Math" w:cs="Times New Roman"/>
                  </w:rPr>
                  <m:t>+</m:t>
                </m:r>
                <m:func>
                  <m:funcPr>
                    <m:ctrlPr>
                      <w:rPr>
                        <w:rFonts w:ascii="Cambria Math" w:eastAsia="Aptos" w:hAnsi="Cambria Math" w:cs="Times New Roman"/>
                      </w:rPr>
                    </m:ctrlPr>
                  </m:funcPr>
                  <m:fName>
                    <m:r>
                      <m:rPr>
                        <m:sty m:val="p"/>
                      </m:rPr>
                      <w:rPr>
                        <w:rFonts w:ascii="Cambria Math" w:eastAsia="Aptos" w:hAnsi="Cambria Math" w:cs="Times New Roman"/>
                      </w:rPr>
                      <m:t>log</m:t>
                    </m:r>
                  </m:fName>
                  <m:e>
                    <m:d>
                      <m:dPr>
                        <m:ctrlPr>
                          <w:rPr>
                            <w:rFonts w:ascii="Cambria Math" w:eastAsia="Aptos" w:hAnsi="Cambria Math" w:cs="Times New Roman"/>
                            <w:i/>
                          </w:rPr>
                        </m:ctrlPr>
                      </m:dPr>
                      <m:e>
                        <m:r>
                          <w:rPr>
                            <w:rFonts w:ascii="Cambria Math" w:eastAsia="Aptos" w:hAnsi="Cambria Math" w:cs="Times New Roman"/>
                          </w:rPr>
                          <m:t>1.5</m:t>
                        </m:r>
                      </m:e>
                    </m:d>
                  </m:e>
                </m:func>
                <m:r>
                  <w:rPr>
                    <w:rFonts w:ascii="Cambria Math" w:eastAsia="Aptos" w:hAnsi="Cambria Math" w:cs="Times New Roman"/>
                  </w:rPr>
                  <m:t>×</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1</m:t>
                    </m:r>
                  </m:sub>
                </m:sSub>
                <m:r>
                  <w:rPr>
                    <w:rFonts w:ascii="Cambria Math" w:eastAsia="Aptos" w:hAnsi="Cambria Math" w:cs="Times New Roman"/>
                  </w:rPr>
                  <m:t>+</m:t>
                </m:r>
                <m:func>
                  <m:funcPr>
                    <m:ctrlPr>
                      <w:rPr>
                        <w:rFonts w:ascii="Cambria Math" w:eastAsia="Aptos" w:hAnsi="Cambria Math" w:cs="Times New Roman"/>
                      </w:rPr>
                    </m:ctrlPr>
                  </m:funcPr>
                  <m:fName>
                    <m:r>
                      <m:rPr>
                        <m:sty m:val="p"/>
                      </m:rPr>
                      <w:rPr>
                        <w:rFonts w:ascii="Cambria Math" w:eastAsia="Aptos" w:hAnsi="Cambria Math" w:cs="Times New Roman"/>
                      </w:rPr>
                      <m:t>log</m:t>
                    </m:r>
                  </m:fName>
                  <m:e>
                    <m:d>
                      <m:dPr>
                        <m:ctrlPr>
                          <w:rPr>
                            <w:rFonts w:ascii="Cambria Math" w:eastAsia="Aptos" w:hAnsi="Cambria Math" w:cs="Times New Roman"/>
                            <w:i/>
                          </w:rPr>
                        </m:ctrlPr>
                      </m:dPr>
                      <m:e>
                        <m:r>
                          <w:rPr>
                            <w:rFonts w:ascii="Cambria Math" w:eastAsia="Aptos" w:hAnsi="Cambria Math" w:cs="Times New Roman"/>
                          </w:rPr>
                          <m:t>2</m:t>
                        </m:r>
                      </m:e>
                    </m:d>
                  </m:e>
                </m:func>
                <m:r>
                  <w:rPr>
                    <w:rFonts w:ascii="Cambria Math" w:eastAsia="Aptos" w:hAnsi="Cambria Math" w:cs="Times New Roman"/>
                  </w:rPr>
                  <m:t>×</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2</m:t>
                    </m:r>
                  </m:sub>
                </m:sSub>
                <m:r>
                  <w:rPr>
                    <w:rFonts w:ascii="Cambria Math" w:eastAsia="Aptos" w:hAnsi="Cambria Math" w:cs="Times New Roman"/>
                  </w:rPr>
                  <m:t>+</m:t>
                </m:r>
                <m:r>
                  <m:rPr>
                    <m:sty m:val="p"/>
                  </m:rPr>
                  <w:rPr>
                    <w:rFonts w:ascii="Cambria Math" w:eastAsia="Aptos" w:hAnsi="Cambria Math" w:cs="Times New Roman"/>
                  </w:rPr>
                  <m:t>log⁡</m:t>
                </m:r>
                <m:r>
                  <w:rPr>
                    <w:rFonts w:ascii="Cambria Math" w:eastAsia="Aptos" w:hAnsi="Cambria Math" w:cs="Times New Roman"/>
                  </w:rPr>
                  <m:t>(3)×</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3</m:t>
                    </m:r>
                  </m:sub>
                </m:sSub>
              </m:oMath>
            </m:oMathPara>
          </w:p>
        </w:tc>
      </w:tr>
      <w:tr w:rsidR="00BC37C0" w14:paraId="347E97A4" w14:textId="77777777" w:rsidTr="00FD55DA">
        <w:tc>
          <w:tcPr>
            <w:tcW w:w="5529" w:type="dxa"/>
          </w:tcPr>
          <w:p w14:paraId="202CBA7A" w14:textId="42D93E09" w:rsidR="00BC37C0" w:rsidRDefault="00BC37C0" w:rsidP="00BC37C0">
            <w:r>
              <w:t>Switching at second transition: 1 = yes, 0 = no</w:t>
            </w:r>
          </w:p>
        </w:tc>
        <w:tc>
          <w:tcPr>
            <w:tcW w:w="992" w:type="dxa"/>
          </w:tcPr>
          <w:p w14:paraId="6EFA8F71" w14:textId="37EE427C" w:rsidR="00BC37C0" w:rsidRDefault="00440619" w:rsidP="00BC37C0">
            <w:pPr>
              <w:rPr>
                <w:rFonts w:ascii="Aptos" w:eastAsia="Aptos" w:hAnsi="Aptos" w:cs="Times New Roman"/>
              </w:rPr>
            </w:pPr>
            <m:oMathPara>
              <m:oMath>
                <m:sSub>
                  <m:sSubPr>
                    <m:ctrlPr>
                      <w:rPr>
                        <w:rFonts w:ascii="Cambria Math" w:eastAsia="Aptos" w:hAnsi="Cambria Math" w:cs="Times New Roman"/>
                        <w:i/>
                      </w:rPr>
                    </m:ctrlPr>
                  </m:sSubPr>
                  <m:e>
                    <m:r>
                      <w:rPr>
                        <w:rFonts w:ascii="Cambria Math" w:eastAsia="Aptos" w:hAnsi="Cambria Math" w:cs="Times New Roman"/>
                      </w:rPr>
                      <m:t>S</m:t>
                    </m:r>
                  </m:e>
                  <m:sub>
                    <m:r>
                      <w:rPr>
                        <w:rFonts w:ascii="Cambria Math" w:eastAsia="Aptos" w:hAnsi="Cambria Math" w:cs="Times New Roman"/>
                      </w:rPr>
                      <m:t>2</m:t>
                    </m:r>
                  </m:sub>
                </m:sSub>
              </m:oMath>
            </m:oMathPara>
          </w:p>
        </w:tc>
        <w:tc>
          <w:tcPr>
            <w:tcW w:w="8094" w:type="dxa"/>
          </w:tcPr>
          <w:p w14:paraId="1D5DD9F0" w14:textId="1C7C25BB" w:rsidR="00BC37C0" w:rsidRDefault="00BC37C0" w:rsidP="00BC37C0">
            <w:pPr>
              <w:rPr>
                <w:rFonts w:ascii="Aptos" w:eastAsia="Aptos" w:hAnsi="Aptos" w:cs="Times New Roman"/>
              </w:rPr>
            </w:pPr>
            <m:oMathPara>
              <m:oMath>
                <m:r>
                  <w:rPr>
                    <w:rFonts w:ascii="Cambria Math" w:eastAsia="Aptos" w:hAnsi="Cambria Math" w:cs="Times New Roman"/>
                  </w:rPr>
                  <m:t>logitP</m:t>
                </m:r>
                <m:d>
                  <m:dPr>
                    <m:endChr m:val="|"/>
                    <m:ctrlPr>
                      <w:rPr>
                        <w:rFonts w:ascii="Cambria Math" w:eastAsia="Aptos" w:hAnsi="Cambria Math" w:cs="Times New Roman"/>
                        <w:i/>
                      </w:rPr>
                    </m:ctrlPr>
                  </m:dPr>
                  <m:e>
                    <m:sSub>
                      <m:sSubPr>
                        <m:ctrlPr>
                          <w:rPr>
                            <w:rFonts w:ascii="Cambria Math" w:eastAsia="Aptos" w:hAnsi="Cambria Math" w:cs="Times New Roman"/>
                            <w:i/>
                          </w:rPr>
                        </m:ctrlPr>
                      </m:sSubPr>
                      <m:e>
                        <m:r>
                          <w:rPr>
                            <w:rFonts w:ascii="Cambria Math" w:eastAsia="Aptos" w:hAnsi="Cambria Math" w:cs="Times New Roman"/>
                          </w:rPr>
                          <m:t>S</m:t>
                        </m:r>
                      </m:e>
                      <m:sub>
                        <m:r>
                          <w:rPr>
                            <w:rFonts w:ascii="Cambria Math" w:eastAsia="Aptos" w:hAnsi="Cambria Math" w:cs="Times New Roman"/>
                          </w:rPr>
                          <m:t>2</m:t>
                        </m:r>
                      </m:sub>
                    </m:sSub>
                    <m:r>
                      <w:rPr>
                        <w:rFonts w:ascii="Cambria Math" w:eastAsia="Aptos" w:hAnsi="Cambria Math" w:cs="Times New Roman"/>
                      </w:rPr>
                      <m:t xml:space="preserve">=1 </m:t>
                    </m:r>
                  </m:e>
                </m:d>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1</m:t>
                    </m:r>
                  </m:sub>
                </m:sSub>
                <m:r>
                  <w:rPr>
                    <w:rFonts w:ascii="Cambria Math" w:eastAsia="Aptos" w:hAnsi="Cambria Math" w:cs="Times New Roman"/>
                  </w:rPr>
                  <m:t xml:space="preserve">, </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2</m:t>
                    </m:r>
                  </m:sub>
                </m:sSub>
                <m:r>
                  <w:rPr>
                    <w:rFonts w:ascii="Cambria Math" w:eastAsia="Aptos" w:hAnsi="Cambria Math" w:cs="Times New Roman"/>
                  </w:rPr>
                  <m:t xml:space="preserve">, </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3</m:t>
                    </m:r>
                  </m:sub>
                </m:sSub>
                <m:r>
                  <w:rPr>
                    <w:rFonts w:ascii="Cambria Math" w:eastAsia="Aptos" w:hAnsi="Cambria Math" w:cs="Times New Roman"/>
                  </w:rPr>
                  <m:t>)=</m:t>
                </m:r>
                <m:func>
                  <m:funcPr>
                    <m:ctrlPr>
                      <w:rPr>
                        <w:rFonts w:ascii="Cambria Math" w:eastAsia="Aptos" w:hAnsi="Cambria Math" w:cs="Times New Roman"/>
                        <w:i/>
                      </w:rPr>
                    </m:ctrlPr>
                  </m:funcPr>
                  <m:fName>
                    <m:r>
                      <m:rPr>
                        <m:sty m:val="p"/>
                      </m:rPr>
                      <w:rPr>
                        <w:rFonts w:ascii="Cambria Math" w:eastAsia="Aptos" w:hAnsi="Cambria Math" w:cs="Times New Roman"/>
                      </w:rPr>
                      <m:t>log</m:t>
                    </m:r>
                  </m:fName>
                  <m:e>
                    <m:d>
                      <m:dPr>
                        <m:ctrlPr>
                          <w:rPr>
                            <w:rFonts w:ascii="Cambria Math" w:eastAsia="Aptos" w:hAnsi="Cambria Math" w:cs="Times New Roman"/>
                            <w:i/>
                          </w:rPr>
                        </m:ctrlPr>
                      </m:dPr>
                      <m:e>
                        <m:r>
                          <w:rPr>
                            <w:rFonts w:ascii="Cambria Math" w:eastAsia="Aptos" w:hAnsi="Cambria Math" w:cs="Times New Roman"/>
                          </w:rPr>
                          <m:t>0.39</m:t>
                        </m:r>
                      </m:e>
                    </m:d>
                  </m:e>
                </m:func>
                <m:r>
                  <w:rPr>
                    <w:rFonts w:ascii="Cambria Math" w:eastAsia="Aptos" w:hAnsi="Cambria Math" w:cs="Times New Roman"/>
                  </w:rPr>
                  <m:t>+</m:t>
                </m:r>
                <m:func>
                  <m:funcPr>
                    <m:ctrlPr>
                      <w:rPr>
                        <w:rFonts w:ascii="Cambria Math" w:eastAsia="Aptos" w:hAnsi="Cambria Math" w:cs="Times New Roman"/>
                      </w:rPr>
                    </m:ctrlPr>
                  </m:funcPr>
                  <m:fName>
                    <m:r>
                      <m:rPr>
                        <m:sty m:val="p"/>
                      </m:rPr>
                      <w:rPr>
                        <w:rFonts w:ascii="Cambria Math" w:eastAsia="Aptos" w:hAnsi="Cambria Math" w:cs="Times New Roman"/>
                      </w:rPr>
                      <m:t>log</m:t>
                    </m:r>
                  </m:fName>
                  <m:e>
                    <m:d>
                      <m:dPr>
                        <m:ctrlPr>
                          <w:rPr>
                            <w:rFonts w:ascii="Cambria Math" w:eastAsia="Aptos" w:hAnsi="Cambria Math" w:cs="Times New Roman"/>
                            <w:i/>
                          </w:rPr>
                        </m:ctrlPr>
                      </m:dPr>
                      <m:e>
                        <m:r>
                          <w:rPr>
                            <w:rFonts w:ascii="Cambria Math" w:eastAsia="Aptos" w:hAnsi="Cambria Math" w:cs="Times New Roman"/>
                          </w:rPr>
                          <m:t>1.5</m:t>
                        </m:r>
                      </m:e>
                    </m:d>
                  </m:e>
                </m:func>
                <m:r>
                  <w:rPr>
                    <w:rFonts w:ascii="Cambria Math" w:eastAsia="Aptos" w:hAnsi="Cambria Math" w:cs="Times New Roman"/>
                  </w:rPr>
                  <m:t>×</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1</m:t>
                    </m:r>
                  </m:sub>
                </m:sSub>
                <m:r>
                  <w:rPr>
                    <w:rFonts w:ascii="Cambria Math" w:eastAsia="Aptos" w:hAnsi="Cambria Math" w:cs="Times New Roman"/>
                  </w:rPr>
                  <m:t>+</m:t>
                </m:r>
                <m:func>
                  <m:funcPr>
                    <m:ctrlPr>
                      <w:rPr>
                        <w:rFonts w:ascii="Cambria Math" w:eastAsia="Aptos" w:hAnsi="Cambria Math" w:cs="Times New Roman"/>
                      </w:rPr>
                    </m:ctrlPr>
                  </m:funcPr>
                  <m:fName>
                    <m:r>
                      <m:rPr>
                        <m:sty m:val="p"/>
                      </m:rPr>
                      <w:rPr>
                        <w:rFonts w:ascii="Cambria Math" w:eastAsia="Aptos" w:hAnsi="Cambria Math" w:cs="Times New Roman"/>
                      </w:rPr>
                      <m:t>log</m:t>
                    </m:r>
                  </m:fName>
                  <m:e>
                    <m:d>
                      <m:dPr>
                        <m:ctrlPr>
                          <w:rPr>
                            <w:rFonts w:ascii="Cambria Math" w:eastAsia="Aptos" w:hAnsi="Cambria Math" w:cs="Times New Roman"/>
                            <w:i/>
                          </w:rPr>
                        </m:ctrlPr>
                      </m:dPr>
                      <m:e>
                        <m:r>
                          <w:rPr>
                            <w:rFonts w:ascii="Cambria Math" w:eastAsia="Aptos" w:hAnsi="Cambria Math" w:cs="Times New Roman"/>
                          </w:rPr>
                          <m:t>2.5</m:t>
                        </m:r>
                      </m:e>
                    </m:d>
                  </m:e>
                </m:func>
                <m:r>
                  <w:rPr>
                    <w:rFonts w:ascii="Cambria Math" w:eastAsia="Aptos" w:hAnsi="Cambria Math" w:cs="Times New Roman"/>
                  </w:rPr>
                  <m:t>×</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2</m:t>
                    </m:r>
                  </m:sub>
                </m:sSub>
                <m:r>
                  <w:rPr>
                    <w:rFonts w:ascii="Cambria Math" w:eastAsia="Aptos" w:hAnsi="Cambria Math" w:cs="Times New Roman"/>
                  </w:rPr>
                  <m:t>+</m:t>
                </m:r>
                <m:r>
                  <m:rPr>
                    <m:sty m:val="p"/>
                  </m:rPr>
                  <w:rPr>
                    <w:rFonts w:ascii="Cambria Math" w:eastAsia="Aptos" w:hAnsi="Cambria Math" w:cs="Times New Roman"/>
                  </w:rPr>
                  <m:t>log⁡</m:t>
                </m:r>
                <m:r>
                  <w:rPr>
                    <w:rFonts w:ascii="Cambria Math" w:eastAsia="Aptos" w:hAnsi="Cambria Math" w:cs="Times New Roman"/>
                  </w:rPr>
                  <m:t>(3.25)×</m:t>
                </m:r>
                <m:sSub>
                  <m:sSubPr>
                    <m:ctrlPr>
                      <w:rPr>
                        <w:rFonts w:ascii="Cambria Math" w:eastAsia="Aptos" w:hAnsi="Cambria Math" w:cs="Times New Roman"/>
                        <w:i/>
                      </w:rPr>
                    </m:ctrlPr>
                  </m:sSubPr>
                  <m:e>
                    <m:r>
                      <w:rPr>
                        <w:rFonts w:ascii="Cambria Math" w:eastAsia="Aptos" w:hAnsi="Cambria Math" w:cs="Times New Roman"/>
                      </w:rPr>
                      <m:t>C</m:t>
                    </m:r>
                  </m:e>
                  <m:sub>
                    <m:r>
                      <w:rPr>
                        <w:rFonts w:ascii="Cambria Math" w:eastAsia="Aptos" w:hAnsi="Cambria Math" w:cs="Times New Roman"/>
                      </w:rPr>
                      <m:t>3</m:t>
                    </m:r>
                  </m:sub>
                </m:sSub>
              </m:oMath>
            </m:oMathPara>
          </w:p>
        </w:tc>
      </w:tr>
      <w:tr w:rsidR="002E60D7" w14:paraId="2795B1FE" w14:textId="77777777" w:rsidTr="00FD55DA">
        <w:tc>
          <w:tcPr>
            <w:tcW w:w="5529" w:type="dxa"/>
          </w:tcPr>
          <w:p w14:paraId="1F3A1EFD" w14:textId="77777777" w:rsidR="002E60D7" w:rsidRDefault="002E60D7" w:rsidP="00BC37C0">
            <w:r>
              <w:t xml:space="preserve">Time to event, </w:t>
            </w:r>
            <w:r w:rsidR="00BE5C45">
              <w:t>years</w:t>
            </w:r>
          </w:p>
          <w:p w14:paraId="0D0D1820" w14:textId="6512160F" w:rsidR="00812D71" w:rsidRDefault="00812D71" w:rsidP="00BC37C0">
            <w:r>
              <w:t>(see below for details</w:t>
            </w:r>
            <w:r w:rsidR="00EE27E6">
              <w:t>)</w:t>
            </w:r>
          </w:p>
        </w:tc>
        <w:tc>
          <w:tcPr>
            <w:tcW w:w="992" w:type="dxa"/>
          </w:tcPr>
          <w:p w14:paraId="4A6338AD" w14:textId="30B4AAAA" w:rsidR="002E60D7" w:rsidRDefault="00BE5C45" w:rsidP="00BC37C0">
            <w:pPr>
              <w:rPr>
                <w:rFonts w:ascii="Aptos" w:eastAsia="Aptos" w:hAnsi="Aptos" w:cs="Times New Roman"/>
              </w:rPr>
            </w:pPr>
            <m:oMathPara>
              <m:oMath>
                <m:r>
                  <w:rPr>
                    <w:rFonts w:ascii="Cambria Math" w:eastAsia="Aptos" w:hAnsi="Cambria Math" w:cs="Times New Roman"/>
                  </w:rPr>
                  <m:t>T</m:t>
                </m:r>
              </m:oMath>
            </m:oMathPara>
          </w:p>
        </w:tc>
        <w:tc>
          <w:tcPr>
            <w:tcW w:w="8094" w:type="dxa"/>
          </w:tcPr>
          <w:p w14:paraId="5B820F66" w14:textId="27652660" w:rsidR="00812D71" w:rsidRDefault="00963E9E" w:rsidP="00812D71">
            <w:pPr>
              <w:rPr>
                <w:rFonts w:ascii="Aptos" w:eastAsia="Aptos" w:hAnsi="Aptos" w:cs="Times New Roman"/>
              </w:rPr>
            </w:pPr>
            <m:oMathPara>
              <m:oMath>
                <m:r>
                  <w:rPr>
                    <w:rFonts w:ascii="Cambria Math" w:eastAsia="Aptos" w:hAnsi="Cambria Math" w:cs="Times New Roman"/>
                  </w:rPr>
                  <m:t>T=min</m:t>
                </m:r>
                <m:d>
                  <m:dPr>
                    <m:begChr m:val="{"/>
                    <m:endChr m:val=""/>
                    <m:ctrlPr>
                      <w:rPr>
                        <w:rFonts w:ascii="Cambria Math" w:eastAsia="Aptos" w:hAnsi="Cambria Math" w:cs="Times New Roman"/>
                        <w:i/>
                      </w:rPr>
                    </m:ctrlPr>
                  </m:dPr>
                  <m:e>
                    <m:eqArr>
                      <m:eqArrPr>
                        <m:ctrlPr>
                          <w:rPr>
                            <w:rFonts w:ascii="Cambria Math" w:eastAsia="Aptos" w:hAnsi="Cambria Math" w:cs="Times New Roman"/>
                            <w:i/>
                          </w:rPr>
                        </m:ctrlPr>
                      </m:eqArrPr>
                      <m:e>
                        <m:r>
                          <w:rPr>
                            <w:rFonts w:ascii="Cambria Math" w:eastAsia="Aptos" w:hAnsi="Cambria Math" w:cs="Times New Roman"/>
                          </w:rPr>
                          <m:t>Weibull(0.05, 2.9)</m:t>
                        </m:r>
                      </m:e>
                      <m:e>
                        <m:r>
                          <w:rPr>
                            <w:rFonts w:ascii="Cambria Math" w:eastAsia="Aptos" w:hAnsi="Cambria Math" w:cs="Times New Roman"/>
                          </w:rPr>
                          <m:t>Exp(0.5)</m:t>
                        </m:r>
                      </m:e>
                    </m:eqArr>
                  </m:e>
                </m:d>
              </m:oMath>
            </m:oMathPara>
          </w:p>
        </w:tc>
      </w:tr>
      <w:tr w:rsidR="00BC37C0" w14:paraId="317204EB" w14:textId="77777777" w:rsidTr="00FD55DA">
        <w:tc>
          <w:tcPr>
            <w:tcW w:w="5529" w:type="dxa"/>
          </w:tcPr>
          <w:p w14:paraId="35ED5EF9" w14:textId="5C41DBA2" w:rsidR="00BC37C0" w:rsidRDefault="00BC37C0" w:rsidP="00BC37C0">
            <w:r>
              <w:t>Outcome: 1 = yes, 0 = no</w:t>
            </w:r>
          </w:p>
        </w:tc>
        <w:tc>
          <w:tcPr>
            <w:tcW w:w="992" w:type="dxa"/>
          </w:tcPr>
          <w:p w14:paraId="6E614EB8" w14:textId="311DAB8C" w:rsidR="00BC37C0" w:rsidRDefault="00BC37C0" w:rsidP="00BC37C0">
            <w:pPr>
              <w:rPr>
                <w:rFonts w:ascii="Aptos" w:eastAsia="Aptos" w:hAnsi="Aptos" w:cs="Times New Roman"/>
              </w:rPr>
            </w:pPr>
            <m:oMathPara>
              <m:oMath>
                <m:r>
                  <w:rPr>
                    <w:rFonts w:ascii="Cambria Math" w:eastAsia="Aptos" w:hAnsi="Cambria Math" w:cs="Times New Roman"/>
                  </w:rPr>
                  <m:t>Y</m:t>
                </m:r>
              </m:oMath>
            </m:oMathPara>
          </w:p>
        </w:tc>
        <w:tc>
          <w:tcPr>
            <w:tcW w:w="8094" w:type="dxa"/>
          </w:tcPr>
          <w:p w14:paraId="2615E800" w14:textId="61762F4B" w:rsidR="00812D71" w:rsidRDefault="00812D71" w:rsidP="00BC37C0">
            <w:pPr>
              <w:rPr>
                <w:rFonts w:ascii="Aptos" w:eastAsia="Aptos" w:hAnsi="Aptos" w:cs="Times New Roman"/>
              </w:rPr>
            </w:pPr>
            <m:oMathPara>
              <m:oMath>
                <m:r>
                  <w:rPr>
                    <w:rFonts w:ascii="Cambria Math" w:eastAsia="Aptos" w:hAnsi="Cambria Math" w:cs="Times New Roman"/>
                  </w:rPr>
                  <m:t>Y=</m:t>
                </m:r>
                <m:d>
                  <m:dPr>
                    <m:begChr m:val="{"/>
                    <m:endChr m:val=""/>
                    <m:ctrlPr>
                      <w:rPr>
                        <w:rFonts w:ascii="Cambria Math" w:eastAsia="Aptos" w:hAnsi="Cambria Math" w:cs="Times New Roman"/>
                        <w:i/>
                      </w:rPr>
                    </m:ctrlPr>
                  </m:dPr>
                  <m:e>
                    <m:eqArr>
                      <m:eqArrPr>
                        <m:ctrlPr>
                          <w:rPr>
                            <w:rFonts w:ascii="Cambria Math" w:eastAsia="Aptos" w:hAnsi="Cambria Math" w:cs="Times New Roman"/>
                            <w:i/>
                          </w:rPr>
                        </m:ctrlPr>
                      </m:eqArrPr>
                      <m:e>
                        <m:r>
                          <w:rPr>
                            <w:rFonts w:ascii="Cambria Math" w:eastAsia="Aptos" w:hAnsi="Cambria Math" w:cs="Times New Roman"/>
                          </w:rPr>
                          <m:t>1 if T from Weibull</m:t>
                        </m:r>
                      </m:e>
                      <m:e>
                        <m:r>
                          <w:rPr>
                            <w:rFonts w:ascii="Cambria Math" w:eastAsia="Aptos" w:hAnsi="Cambria Math" w:cs="Times New Roman"/>
                          </w:rPr>
                          <m:t>0 if T from Exp</m:t>
                        </m:r>
                      </m:e>
                    </m:eqArr>
                  </m:e>
                </m:d>
              </m:oMath>
            </m:oMathPara>
          </w:p>
        </w:tc>
      </w:tr>
    </w:tbl>
    <w:p w14:paraId="6C6701C5" w14:textId="77777777" w:rsidR="00706F7D" w:rsidRDefault="00706F7D" w:rsidP="001A3619"/>
    <w:p w14:paraId="58BCE64F" w14:textId="2CD4B222" w:rsidR="0011114B" w:rsidRDefault="0011114B" w:rsidP="001A3619">
      <w:r>
        <w:t>Treatment patterns</w:t>
      </w:r>
      <w:r w:rsidR="005F0F34">
        <w:t xml:space="preserve"> a</w:t>
      </w:r>
      <w:r w:rsidR="0099497A">
        <w:t>re</w:t>
      </w:r>
      <w:r w:rsidR="005F0F34">
        <w:t xml:space="preserve"> allocated as </w:t>
      </w:r>
      <w:r w:rsidR="00850A08">
        <w:t xml:space="preserve">shown in Table 2 based on the values for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2</m:t>
            </m:r>
          </m:sub>
        </m:sSub>
      </m:oMath>
      <w:r w:rsidR="005F0F34">
        <w:t>:</w:t>
      </w:r>
    </w:p>
    <w:p w14:paraId="458ABB32" w14:textId="264219C7" w:rsidR="00850A08" w:rsidRDefault="00850A08" w:rsidP="00850A08">
      <w:pPr>
        <w:pStyle w:val="Caption"/>
        <w:keepNext/>
        <w:spacing w:after="0"/>
      </w:pPr>
      <w:r>
        <w:t xml:space="preserve">Table </w:t>
      </w:r>
      <w:r>
        <w:fldChar w:fldCharType="begin"/>
      </w:r>
      <w:r>
        <w:instrText xml:space="preserve"> SEQ Table \* ARABIC </w:instrText>
      </w:r>
      <w:r>
        <w:fldChar w:fldCharType="separate"/>
      </w:r>
      <w:r>
        <w:rPr>
          <w:noProof/>
        </w:rPr>
        <w:t>2</w:t>
      </w:r>
      <w:r>
        <w:fldChar w:fldCharType="end"/>
      </w:r>
      <w:r>
        <w:t>. Treatment patterns that can be allocated</w:t>
      </w:r>
    </w:p>
    <w:tbl>
      <w:tblPr>
        <w:tblStyle w:val="TableGrid"/>
        <w:tblW w:w="0" w:type="auto"/>
        <w:tblLayout w:type="fixed"/>
        <w:tblLook w:val="04A0" w:firstRow="1" w:lastRow="0" w:firstColumn="1" w:lastColumn="0" w:noHBand="0" w:noVBand="1"/>
      </w:tblPr>
      <w:tblGrid>
        <w:gridCol w:w="2689"/>
        <w:gridCol w:w="1134"/>
        <w:gridCol w:w="2539"/>
      </w:tblGrid>
      <w:tr w:rsidR="00B909AC" w14:paraId="22CB4180" w14:textId="76E98FCE" w:rsidTr="00850A08">
        <w:tc>
          <w:tcPr>
            <w:tcW w:w="2689" w:type="dxa"/>
          </w:tcPr>
          <w:p w14:paraId="2AE83A1D" w14:textId="1ACA5D45" w:rsidR="00B909AC" w:rsidRPr="005F0F34" w:rsidRDefault="00B909AC" w:rsidP="001A3619">
            <w:pPr>
              <w:rPr>
                <w:b/>
                <w:bCs/>
              </w:rPr>
            </w:pPr>
            <w:r w:rsidRPr="005F0F34">
              <w:rPr>
                <w:b/>
                <w:bCs/>
              </w:rPr>
              <w:t xml:space="preserve">Treatment pattern, </w:t>
            </w:r>
            <m:oMath>
              <m:r>
                <m:rPr>
                  <m:sty m:val="bi"/>
                </m:rPr>
                <w:rPr>
                  <w:rFonts w:ascii="Cambria Math" w:hAnsi="Cambria Math"/>
                </w:rPr>
                <m:t>Trt</m:t>
              </m:r>
            </m:oMath>
          </w:p>
        </w:tc>
        <w:tc>
          <w:tcPr>
            <w:tcW w:w="1134" w:type="dxa"/>
          </w:tcPr>
          <w:p w14:paraId="2A0A40C7" w14:textId="6F3B222A" w:rsidR="00B909AC" w:rsidRPr="005F0F34" w:rsidRDefault="00440619" w:rsidP="001A3619">
            <w:pPr>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c>
        <w:tc>
          <w:tcPr>
            <w:tcW w:w="2539" w:type="dxa"/>
          </w:tcPr>
          <w:p w14:paraId="793ED961" w14:textId="57D5F4E8" w:rsidR="00B909AC" w:rsidRPr="005F0F34" w:rsidRDefault="00B909AC" w:rsidP="001A3619">
            <w:pPr>
              <w:rPr>
                <w:rFonts w:ascii="Aptos" w:eastAsia="Aptos" w:hAnsi="Aptos" w:cs="Times New Roman"/>
                <w:b/>
                <w:bCs/>
              </w:rPr>
            </w:pPr>
            <w:r w:rsidRPr="005F0F34">
              <w:rPr>
                <w:rFonts w:ascii="Aptos" w:eastAsia="Aptos" w:hAnsi="Aptos" w:cs="Times New Roman"/>
                <w:b/>
                <w:bCs/>
              </w:rPr>
              <w:t>Prevalent new user</w:t>
            </w:r>
            <w:r w:rsidR="005F0F34">
              <w:rPr>
                <w:rFonts w:ascii="Aptos" w:eastAsia="Aptos" w:hAnsi="Aptos" w:cs="Times New Roman"/>
                <w:b/>
                <w:bCs/>
              </w:rPr>
              <w:t xml:space="preserve">, </w:t>
            </w:r>
            <w:r w:rsidRPr="005F0F34">
              <w:rPr>
                <w:rFonts w:ascii="Aptos" w:eastAsia="Aptos" w:hAnsi="Aptos" w:cs="Times New Roman"/>
                <w:b/>
                <w:bCs/>
              </w:rPr>
              <w:t>P</w:t>
            </w:r>
          </w:p>
        </w:tc>
      </w:tr>
      <w:tr w:rsidR="00B909AC" w14:paraId="105DAE36" w14:textId="7B264EB4" w:rsidTr="00850A08">
        <w:tc>
          <w:tcPr>
            <w:tcW w:w="2689" w:type="dxa"/>
          </w:tcPr>
          <w:p w14:paraId="6A9C87BD" w14:textId="1CB76719" w:rsidR="00B909AC" w:rsidRDefault="00B909AC" w:rsidP="001A3619">
            <w:r>
              <w:t>A</w:t>
            </w:r>
          </w:p>
        </w:tc>
        <w:tc>
          <w:tcPr>
            <w:tcW w:w="1134" w:type="dxa"/>
          </w:tcPr>
          <w:p w14:paraId="12105F5D" w14:textId="348A959E" w:rsidR="00B909AC" w:rsidRDefault="00B909AC" w:rsidP="001A3619">
            <w:r>
              <w:t>0, 0, 0</w:t>
            </w:r>
          </w:p>
        </w:tc>
        <w:tc>
          <w:tcPr>
            <w:tcW w:w="2539" w:type="dxa"/>
          </w:tcPr>
          <w:p w14:paraId="07A641F6" w14:textId="36653862" w:rsidR="00B909AC" w:rsidRDefault="00B909AC" w:rsidP="001A3619">
            <w:r>
              <w:t>No</w:t>
            </w:r>
          </w:p>
        </w:tc>
      </w:tr>
      <w:tr w:rsidR="00B909AC" w14:paraId="3922A5CA" w14:textId="103D2382" w:rsidTr="00850A08">
        <w:tc>
          <w:tcPr>
            <w:tcW w:w="2689" w:type="dxa"/>
          </w:tcPr>
          <w:p w14:paraId="74F0FCF8" w14:textId="2F9C2B65" w:rsidR="00B909AC" w:rsidRDefault="00B909AC" w:rsidP="001A3619">
            <w:r>
              <w:t>AX</w:t>
            </w:r>
          </w:p>
        </w:tc>
        <w:tc>
          <w:tcPr>
            <w:tcW w:w="1134" w:type="dxa"/>
          </w:tcPr>
          <w:p w14:paraId="5C25AE81" w14:textId="29DED7B4" w:rsidR="00B909AC" w:rsidRDefault="00B909AC" w:rsidP="001A3619">
            <w:r>
              <w:t>0, 0, 1</w:t>
            </w:r>
          </w:p>
        </w:tc>
        <w:tc>
          <w:tcPr>
            <w:tcW w:w="2539" w:type="dxa"/>
          </w:tcPr>
          <w:p w14:paraId="1487DAFE" w14:textId="26550D0D" w:rsidR="00B909AC" w:rsidRDefault="00B909AC" w:rsidP="001A3619">
            <w:r>
              <w:t>Yes</w:t>
            </w:r>
          </w:p>
        </w:tc>
      </w:tr>
      <w:tr w:rsidR="00B909AC" w14:paraId="5D13D3F9" w14:textId="3AE8EE8F" w:rsidTr="00850A08">
        <w:tc>
          <w:tcPr>
            <w:tcW w:w="2689" w:type="dxa"/>
          </w:tcPr>
          <w:p w14:paraId="013EFFE4" w14:textId="5C671538" w:rsidR="00B909AC" w:rsidRDefault="00B909AC" w:rsidP="001A3619">
            <w:r>
              <w:t>AB</w:t>
            </w:r>
          </w:p>
        </w:tc>
        <w:tc>
          <w:tcPr>
            <w:tcW w:w="1134" w:type="dxa"/>
          </w:tcPr>
          <w:p w14:paraId="68EB8892" w14:textId="7C09A4D1" w:rsidR="00B909AC" w:rsidRDefault="00B909AC" w:rsidP="001A3619">
            <w:r>
              <w:t>0, 1, 0</w:t>
            </w:r>
          </w:p>
        </w:tc>
        <w:tc>
          <w:tcPr>
            <w:tcW w:w="2539" w:type="dxa"/>
          </w:tcPr>
          <w:p w14:paraId="1514A4D7" w14:textId="36B507CC" w:rsidR="00B909AC" w:rsidRDefault="00B909AC" w:rsidP="001A3619">
            <w:r>
              <w:t>No</w:t>
            </w:r>
          </w:p>
        </w:tc>
      </w:tr>
      <w:tr w:rsidR="00B909AC" w14:paraId="32658F4D" w14:textId="54048B1F" w:rsidTr="00850A08">
        <w:tc>
          <w:tcPr>
            <w:tcW w:w="2689" w:type="dxa"/>
          </w:tcPr>
          <w:p w14:paraId="5CB7E201" w14:textId="41F37E1E" w:rsidR="00B909AC" w:rsidRDefault="00B909AC" w:rsidP="001A3619">
            <w:r>
              <w:t>ABX</w:t>
            </w:r>
          </w:p>
        </w:tc>
        <w:tc>
          <w:tcPr>
            <w:tcW w:w="1134" w:type="dxa"/>
          </w:tcPr>
          <w:p w14:paraId="15662572" w14:textId="34F6B3D1" w:rsidR="00B909AC" w:rsidRDefault="00B909AC" w:rsidP="001A3619">
            <w:r>
              <w:t>0, 1,1</w:t>
            </w:r>
          </w:p>
        </w:tc>
        <w:tc>
          <w:tcPr>
            <w:tcW w:w="2539" w:type="dxa"/>
          </w:tcPr>
          <w:p w14:paraId="4D59F4E2" w14:textId="7052EB4A" w:rsidR="00B909AC" w:rsidRDefault="00B909AC" w:rsidP="001A3619">
            <w:r>
              <w:t>Yes</w:t>
            </w:r>
          </w:p>
        </w:tc>
      </w:tr>
      <w:tr w:rsidR="00B909AC" w14:paraId="63454E5C" w14:textId="0F146D07" w:rsidTr="00850A08">
        <w:tc>
          <w:tcPr>
            <w:tcW w:w="2689" w:type="dxa"/>
          </w:tcPr>
          <w:p w14:paraId="7D375D07" w14:textId="353A23D5" w:rsidR="00B909AC" w:rsidRDefault="00B909AC" w:rsidP="001A3619">
            <w:r>
              <w:t>B</w:t>
            </w:r>
          </w:p>
        </w:tc>
        <w:tc>
          <w:tcPr>
            <w:tcW w:w="1134" w:type="dxa"/>
          </w:tcPr>
          <w:p w14:paraId="4FF8D080" w14:textId="6435CDA6" w:rsidR="00B909AC" w:rsidRDefault="00B909AC" w:rsidP="001A3619">
            <w:r>
              <w:t>1, 0, 0</w:t>
            </w:r>
          </w:p>
        </w:tc>
        <w:tc>
          <w:tcPr>
            <w:tcW w:w="2539" w:type="dxa"/>
          </w:tcPr>
          <w:p w14:paraId="1DA760BD" w14:textId="40BD7F3B" w:rsidR="00B909AC" w:rsidRDefault="00B909AC" w:rsidP="001A3619">
            <w:r>
              <w:t>No</w:t>
            </w:r>
          </w:p>
        </w:tc>
      </w:tr>
      <w:tr w:rsidR="00B909AC" w14:paraId="09C58FBD" w14:textId="3936F92B" w:rsidTr="00850A08">
        <w:tc>
          <w:tcPr>
            <w:tcW w:w="2689" w:type="dxa"/>
          </w:tcPr>
          <w:p w14:paraId="74DC1C06" w14:textId="73DF58D5" w:rsidR="00B909AC" w:rsidRDefault="00B909AC" w:rsidP="001A3619">
            <w:r>
              <w:t>BX</w:t>
            </w:r>
          </w:p>
        </w:tc>
        <w:tc>
          <w:tcPr>
            <w:tcW w:w="1134" w:type="dxa"/>
          </w:tcPr>
          <w:p w14:paraId="3B2C1501" w14:textId="73E8EA65" w:rsidR="00B909AC" w:rsidRDefault="00B909AC" w:rsidP="001A3619">
            <w:r>
              <w:t>1, 0, 1</w:t>
            </w:r>
          </w:p>
        </w:tc>
        <w:tc>
          <w:tcPr>
            <w:tcW w:w="2539" w:type="dxa"/>
          </w:tcPr>
          <w:p w14:paraId="0D01BD8B" w14:textId="6A99362F" w:rsidR="00B909AC" w:rsidRDefault="00B909AC" w:rsidP="001A3619">
            <w:r>
              <w:t>Yes</w:t>
            </w:r>
          </w:p>
        </w:tc>
      </w:tr>
      <w:tr w:rsidR="00B909AC" w14:paraId="4B9D3F09" w14:textId="16D12596" w:rsidTr="00850A08">
        <w:tc>
          <w:tcPr>
            <w:tcW w:w="2689" w:type="dxa"/>
          </w:tcPr>
          <w:p w14:paraId="7B27F264" w14:textId="27FEA718" w:rsidR="00B909AC" w:rsidRDefault="00B909AC" w:rsidP="001A3619">
            <w:r>
              <w:t>BA</w:t>
            </w:r>
          </w:p>
        </w:tc>
        <w:tc>
          <w:tcPr>
            <w:tcW w:w="1134" w:type="dxa"/>
          </w:tcPr>
          <w:p w14:paraId="468AD107" w14:textId="6A487708" w:rsidR="00B909AC" w:rsidRDefault="00B909AC" w:rsidP="001A3619">
            <w:r>
              <w:t>1, 1, 0</w:t>
            </w:r>
          </w:p>
        </w:tc>
        <w:tc>
          <w:tcPr>
            <w:tcW w:w="2539" w:type="dxa"/>
          </w:tcPr>
          <w:p w14:paraId="709BA5C9" w14:textId="006505EC" w:rsidR="00B909AC" w:rsidRDefault="00B909AC" w:rsidP="001A3619">
            <w:r>
              <w:t>No</w:t>
            </w:r>
          </w:p>
        </w:tc>
      </w:tr>
      <w:tr w:rsidR="00B909AC" w14:paraId="5F8A86B1" w14:textId="1E33F600" w:rsidTr="00850A08">
        <w:tc>
          <w:tcPr>
            <w:tcW w:w="2689" w:type="dxa"/>
          </w:tcPr>
          <w:p w14:paraId="17FC3CC5" w14:textId="3CE007F3" w:rsidR="00B909AC" w:rsidRDefault="00B909AC" w:rsidP="001A3619">
            <w:r>
              <w:t>BAX</w:t>
            </w:r>
          </w:p>
        </w:tc>
        <w:tc>
          <w:tcPr>
            <w:tcW w:w="1134" w:type="dxa"/>
          </w:tcPr>
          <w:p w14:paraId="42B4160D" w14:textId="402DC101" w:rsidR="00B909AC" w:rsidRDefault="00B909AC" w:rsidP="001A3619">
            <w:r>
              <w:t>1, 1, 1</w:t>
            </w:r>
          </w:p>
        </w:tc>
        <w:tc>
          <w:tcPr>
            <w:tcW w:w="2539" w:type="dxa"/>
          </w:tcPr>
          <w:p w14:paraId="4A7119B8" w14:textId="127BC212" w:rsidR="00B909AC" w:rsidRDefault="00850A08" w:rsidP="001A3619">
            <w:r>
              <w:t>Yes</w:t>
            </w:r>
          </w:p>
        </w:tc>
      </w:tr>
    </w:tbl>
    <w:p w14:paraId="6A46D4A2" w14:textId="77777777" w:rsidR="006B1319" w:rsidRDefault="006B1319" w:rsidP="001A3619">
      <w:pPr>
        <w:sectPr w:rsidR="006B1319" w:rsidSect="00F93706">
          <w:type w:val="continuous"/>
          <w:pgSz w:w="16838" w:h="11906" w:orient="landscape"/>
          <w:pgMar w:top="1440" w:right="1080" w:bottom="1440" w:left="1080" w:header="708" w:footer="708" w:gutter="0"/>
          <w:cols w:space="708"/>
          <w:docGrid w:linePitch="360"/>
        </w:sectPr>
      </w:pPr>
    </w:p>
    <w:p w14:paraId="19E7DEBD" w14:textId="77777777" w:rsidR="006B1319" w:rsidRPr="006B1319" w:rsidRDefault="006B1319" w:rsidP="006B1319">
      <w:r w:rsidRPr="006B1319">
        <w:lastRenderedPageBreak/>
        <w:t>To account for the treatment history of prevalent new users, the PNUD utilises a multi-step matching strategy. This is implemented by first defining an ‘exposure set’ consisting of all potential comparators to the prevalent new user who are at the same point in the course of disease as measured by their time on treatment, number of prescriptions or some treatment related factor. Time-conditional propensity scores are then computed for all individuals in the exposure set to identify the closest match for the prevalent new user. These propensity scores are time conditional since they are calculated using patient characteristics measured at the time of entering the exposure set. </w:t>
      </w:r>
    </w:p>
    <w:p w14:paraId="44DF447D" w14:textId="2A7F2CB4" w:rsidR="00521CF5" w:rsidRDefault="00521CF5" w:rsidP="0099497A">
      <w:r>
        <w:t xml:space="preserve">For each of the prevalent new users </w:t>
      </w:r>
      <w:r w:rsidR="00F8307F">
        <w:t>(PNU)</w:t>
      </w:r>
      <w:r w:rsidR="005F0F34">
        <w:t xml:space="preserve">, </w:t>
      </w:r>
      <w:r w:rsidR="00E17FAA">
        <w:t xml:space="preserve">create an exposure set with all </w:t>
      </w:r>
      <w:r w:rsidR="00F93706">
        <w:t>comparators that meet the following conditions</w:t>
      </w:r>
      <w:r w:rsidR="00F8307F">
        <w:t>:</w:t>
      </w:r>
    </w:p>
    <w:p w14:paraId="39605FB3" w14:textId="3F6B71B6" w:rsidR="00F8307F" w:rsidRPr="00F8307F" w:rsidRDefault="00F93706" w:rsidP="00F8307F">
      <w:pPr>
        <w:pStyle w:val="ListParagraph"/>
        <w:numPr>
          <w:ilvl w:val="0"/>
          <w:numId w:val="35"/>
        </w:numPr>
      </w:pPr>
      <w:r>
        <w:t>T</w:t>
      </w:r>
      <w:r w:rsidR="00F8307F">
        <w:t xml:space="preserve">ime on treatment </w:t>
      </w:r>
      <w:r>
        <w:t xml:space="preserve">for the comparator will be within </w:t>
      </w:r>
      <m:oMath>
        <m:r>
          <w:rPr>
            <w:rFonts w:ascii="Cambria Math" w:hAnsi="Cambria Math"/>
          </w:rPr>
          <m:t>±</m:t>
        </m:r>
      </m:oMath>
      <w:r>
        <w:rPr>
          <w:rFonts w:eastAsiaTheme="minorEastAsia"/>
        </w:rPr>
        <w:t>90 days</w:t>
      </w:r>
      <w:r>
        <w:t xml:space="preserve"> of</w:t>
      </w:r>
      <w:r w:rsidR="00F8307F">
        <w:t xml:space="preserve"> the PNU time on treatment </w:t>
      </w:r>
    </w:p>
    <w:p w14:paraId="0BD0AC92" w14:textId="77777777" w:rsidR="00F93706" w:rsidRPr="00F93706" w:rsidRDefault="00F93706" w:rsidP="00F8307F">
      <w:pPr>
        <w:pStyle w:val="ListParagraph"/>
        <w:numPr>
          <w:ilvl w:val="0"/>
          <w:numId w:val="35"/>
        </w:numPr>
      </w:pPr>
      <w:r>
        <w:rPr>
          <w:rFonts w:eastAsiaTheme="minorEastAsia"/>
        </w:rPr>
        <w:t>The comparator will have the</w:t>
      </w:r>
      <w:r w:rsidR="00E17FAA">
        <w:rPr>
          <w:rFonts w:eastAsiaTheme="minorEastAsia"/>
        </w:rPr>
        <w:t xml:space="preserve"> same type of treatment prior to switching to X (i.e., A will match with AX, BA will match with BAX) </w:t>
      </w:r>
    </w:p>
    <w:p w14:paraId="55CA6525" w14:textId="34025295" w:rsidR="00F8307F" w:rsidRPr="00E17FAA" w:rsidRDefault="00F93706" w:rsidP="00F8307F">
      <w:pPr>
        <w:pStyle w:val="ListParagraph"/>
        <w:numPr>
          <w:ilvl w:val="0"/>
          <w:numId w:val="35"/>
        </w:numPr>
      </w:pPr>
      <w:r>
        <w:rPr>
          <w:rFonts w:eastAsiaTheme="minorEastAsia"/>
        </w:rPr>
        <w:t>T</w:t>
      </w:r>
      <w:r w:rsidR="00E17FAA">
        <w:rPr>
          <w:rFonts w:eastAsiaTheme="minorEastAsia"/>
        </w:rPr>
        <w:t>he</w:t>
      </w:r>
      <w:r>
        <w:rPr>
          <w:rFonts w:eastAsiaTheme="minorEastAsia"/>
        </w:rPr>
        <w:t xml:space="preserve"> PNU and comparator will have the</w:t>
      </w:r>
      <w:r w:rsidR="00E17FAA">
        <w:rPr>
          <w:rFonts w:eastAsiaTheme="minorEastAsia"/>
        </w:rPr>
        <w:t xml:space="preserve"> same proportion of </w:t>
      </w:r>
      <w:r>
        <w:rPr>
          <w:rFonts w:eastAsiaTheme="minorEastAsia"/>
        </w:rPr>
        <w:t>prior treatment for medicine</w:t>
      </w:r>
      <w:r w:rsidR="00E17FAA">
        <w:rPr>
          <w:rFonts w:eastAsiaTheme="minorEastAsia"/>
        </w:rPr>
        <w:t xml:space="preserve"> A </w:t>
      </w:r>
      <w:r w:rsidR="00EE27E6">
        <w:rPr>
          <w:rFonts w:eastAsiaTheme="minorEastAsia"/>
        </w:rPr>
        <w:t xml:space="preserve">and </w:t>
      </w:r>
      <w:r>
        <w:rPr>
          <w:rFonts w:eastAsiaTheme="minorEastAsia"/>
        </w:rPr>
        <w:t>medicine</w:t>
      </w:r>
      <w:r w:rsidR="00EE27E6">
        <w:rPr>
          <w:rFonts w:eastAsiaTheme="minorEastAsia"/>
        </w:rPr>
        <w:t xml:space="preserve"> B</w:t>
      </w:r>
      <w:r w:rsidR="00E17FAA">
        <w:rPr>
          <w:rFonts w:eastAsiaTheme="minorEastAsia"/>
        </w:rPr>
        <w:t>.</w:t>
      </w:r>
    </w:p>
    <w:p w14:paraId="3F83C6D4" w14:textId="6E51EDBD" w:rsidR="00E17FAA" w:rsidRDefault="00E17FAA" w:rsidP="0099497A">
      <w:pPr>
        <w:rPr>
          <w:rFonts w:eastAsiaTheme="minorEastAsia"/>
        </w:rPr>
      </w:pPr>
      <w:r>
        <w:t xml:space="preserve">Calculate the </w:t>
      </w:r>
      <w:r w:rsidR="00F93706">
        <w:t xml:space="preserve">time conditional </w:t>
      </w:r>
      <w:r>
        <w:t xml:space="preserve">propensity score </w:t>
      </w:r>
      <w:r w:rsidR="00F93706">
        <w:t xml:space="preserve">for all individuals </w:t>
      </w:r>
      <w:r>
        <w:t>using a logistic regression model, conditional on the exposure set, adjusted for the three covariates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oMath>
    </w:p>
    <w:p w14:paraId="4622FEB1" w14:textId="671FB47A" w:rsidR="00E17FAA" w:rsidRDefault="00E17FAA" w:rsidP="0099497A">
      <w:pPr>
        <w:rPr>
          <w:rFonts w:eastAsiaTheme="minorEastAsia"/>
        </w:rPr>
      </w:pPr>
      <w:r>
        <w:rPr>
          <w:rFonts w:eastAsiaTheme="minorEastAsia"/>
        </w:rPr>
        <w:t>The observation with the propensity score (PS) closest to that of the PNU in each exposure set is the match. Prior to matching, ensure the positivity assumption is met (the PNU PS is between the lowest and highest PS within the exposure set) and that only observations that have not already been matched are assigned as a match.</w:t>
      </w:r>
    </w:p>
    <w:p w14:paraId="1F90728F" w14:textId="2D0DA556" w:rsidR="00BF7E87" w:rsidRDefault="00BF7E87" w:rsidP="0099497A">
      <w:pPr>
        <w:rPr>
          <w:rFonts w:eastAsiaTheme="minorEastAsia"/>
        </w:rPr>
      </w:pPr>
      <w:r>
        <w:rPr>
          <w:rFonts w:eastAsiaTheme="minorEastAsia"/>
        </w:rPr>
        <w:t xml:space="preserve">Note that although the initial dataset consisted of </w:t>
      </w:r>
      <m:oMath>
        <m:r>
          <w:rPr>
            <w:rFonts w:ascii="Cambria Math" w:eastAsiaTheme="minorEastAsia" w:hAnsi="Cambria Math"/>
          </w:rPr>
          <m:t>n=20,000</m:t>
        </m:r>
      </m:oMath>
      <w:r>
        <w:rPr>
          <w:rFonts w:eastAsiaTheme="minorEastAsia"/>
        </w:rPr>
        <w:t xml:space="preserve"> individuals</w:t>
      </w:r>
      <w:r w:rsidR="005E3A1B">
        <w:rPr>
          <w:rFonts w:eastAsiaTheme="minorEastAsia"/>
        </w:rPr>
        <w:t xml:space="preserve">, not all PNU will be matched so the number of individuals for the rest of this section will be approximately half, e.g., </w:t>
      </w:r>
      <m:oMath>
        <m:r>
          <w:rPr>
            <w:rFonts w:ascii="Cambria Math" w:eastAsiaTheme="minorEastAsia" w:hAnsi="Cambria Math"/>
          </w:rPr>
          <m:t>n=10,000</m:t>
        </m:r>
      </m:oMath>
      <w:r w:rsidR="005E3A1B">
        <w:rPr>
          <w:rFonts w:eastAsiaTheme="minorEastAsia"/>
        </w:rPr>
        <w:t>.</w:t>
      </w:r>
    </w:p>
    <w:p w14:paraId="630433C4" w14:textId="0D7BDF3D" w:rsidR="004A28F6" w:rsidRDefault="00E17FAA" w:rsidP="0099497A">
      <w:pPr>
        <w:rPr>
          <w:rFonts w:eastAsiaTheme="minorEastAsia"/>
        </w:rPr>
      </w:pPr>
      <w:r>
        <w:rPr>
          <w:rFonts w:eastAsiaTheme="minorEastAsia"/>
        </w:rPr>
        <w:t xml:space="preserve">The PNUs and their matches can now be assigned their </w:t>
      </w:r>
      <w:r w:rsidR="00945E7D">
        <w:rPr>
          <w:rFonts w:eastAsiaTheme="minorEastAsia"/>
        </w:rPr>
        <w:t xml:space="preserve">event and </w:t>
      </w:r>
      <w:r w:rsidR="00F93706">
        <w:rPr>
          <w:rFonts w:eastAsiaTheme="minorEastAsia"/>
        </w:rPr>
        <w:t xml:space="preserve">time to </w:t>
      </w:r>
      <w:r w:rsidR="00945E7D">
        <w:rPr>
          <w:rFonts w:eastAsiaTheme="minorEastAsia"/>
        </w:rPr>
        <w:t>event.</w:t>
      </w:r>
      <w:r w:rsidR="001E744F">
        <w:rPr>
          <w:rFonts w:eastAsiaTheme="minorEastAsia"/>
        </w:rPr>
        <w:t xml:space="preserve"> </w:t>
      </w:r>
      <w:r w:rsidR="004A28F6">
        <w:rPr>
          <w:rFonts w:eastAsiaTheme="minorEastAsia"/>
        </w:rPr>
        <w:t xml:space="preserve">The event times </w:t>
      </w:r>
      <w:r w:rsidR="0025467B">
        <w:rPr>
          <w:rFonts w:eastAsiaTheme="minorEastAsia"/>
        </w:rPr>
        <w:t>(</w:t>
      </w:r>
      <m:oMath>
        <m:r>
          <w:rPr>
            <w:rFonts w:ascii="Cambria Math" w:eastAsiaTheme="minorEastAsia" w:hAnsi="Cambria Math"/>
          </w:rPr>
          <m:t>T</m:t>
        </m:r>
      </m:oMath>
      <w:r w:rsidR="0025467B">
        <w:rPr>
          <w:rFonts w:eastAsiaTheme="minorEastAsia"/>
        </w:rPr>
        <w:t>)</w:t>
      </w:r>
      <m:oMath>
        <m:r>
          <w:rPr>
            <w:rFonts w:ascii="Cambria Math" w:eastAsiaTheme="minorEastAsia" w:hAnsi="Cambria Math"/>
          </w:rPr>
          <m:t xml:space="preserve"> </m:t>
        </m:r>
      </m:oMath>
      <w:r w:rsidR="004A28F6">
        <w:rPr>
          <w:rFonts w:eastAsiaTheme="minorEastAsia"/>
        </w:rPr>
        <w:t xml:space="preserve">are </w:t>
      </w:r>
      <w:r w:rsidR="009E6A2E">
        <w:rPr>
          <w:rFonts w:eastAsiaTheme="minorEastAsia"/>
        </w:rPr>
        <w:t xml:space="preserve">simulated </w:t>
      </w:r>
      <w:r w:rsidR="0025467B">
        <w:rPr>
          <w:rFonts w:eastAsiaTheme="minorEastAsia"/>
        </w:rPr>
        <w:t xml:space="preserve">for each individual </w:t>
      </w:r>
      <w:r w:rsidR="00A80C89">
        <w:rPr>
          <w:rFonts w:eastAsiaTheme="minorEastAsia"/>
        </w:rPr>
        <w:t xml:space="preserve">based on a Weibull distribution </w:t>
      </w:r>
      <w:r w:rsidR="0025467B">
        <w:rPr>
          <w:rFonts w:eastAsiaTheme="minorEastAsia"/>
        </w:rPr>
        <w:t>using</w:t>
      </w:r>
      <w:r w:rsidR="009E6A2E">
        <w:rPr>
          <w:rFonts w:eastAsiaTheme="minorEastAsia"/>
        </w:rPr>
        <w:t xml:space="preserve"> the cumulative hazard inversion method</w:t>
      </w:r>
      <w:r w:rsidR="009E6A2E">
        <w:rPr>
          <w:rFonts w:eastAsiaTheme="minorEastAsia"/>
        </w:rPr>
        <w:fldChar w:fldCharType="begin"/>
      </w:r>
      <w:r w:rsidR="0025467B">
        <w:rPr>
          <w:rFonts w:eastAsiaTheme="minorEastAsia"/>
        </w:rPr>
        <w:instrText xml:space="preserve"> ADDIN ZOTERO_ITEM CSL_CITATION {"citationID":"SV3BWBbz","properties":{"formattedCitation":"\\super 1\\nosupersub{}","plainCitation":"1","noteIndex":0},"citationItems":[{"id":1505,"uris":["http://zotero.org/users/14241815/items/NDDHTWVT"],"itemData":{"id":1505,"type":"article-journal","abstract":"Abstract\n            Simulation studies present an important statistical tool to investigate the performance, properties and adequacy of statistical models in pre</w:instrText>
      </w:r>
      <w:r w:rsidR="0025467B">
        <w:rPr>
          <w:rFonts w:ascii="Cambria Math" w:eastAsiaTheme="minorEastAsia" w:hAnsi="Cambria Math" w:cs="Cambria Math"/>
        </w:rPr>
        <w:instrText>‐</w:instrText>
      </w:r>
      <w:r w:rsidR="0025467B">
        <w:rPr>
          <w:rFonts w:eastAsiaTheme="minorEastAsia"/>
        </w:rPr>
        <w:instrText>specified situations. One of the most important statistical models in medical research is the proportional hazards model of Cox. In this paper, techniques to generate survival times for simulation studies regarding Cox proportional hazards models are presented. A general formula describing the relation between the hazard and the corresponding survival time of the Cox model is derived, which is useful in simulation studies. It is shown how the exponential, the Weibull and the Gompertz distribution can be applied to generate appropriate survival times for simulation studies. Additionally, the general relation between hazard and survival time can be used to develop own distributions for special situations and to handle flexibly parameterized proportional hazards models. The use of distributions other than the exponential distribution is indispensable to investigate the characteristics of the Cox proportional hazards model, especially in non</w:instrText>
      </w:r>
      <w:r w:rsidR="0025467B">
        <w:rPr>
          <w:rFonts w:ascii="Cambria Math" w:eastAsiaTheme="minorEastAsia" w:hAnsi="Cambria Math" w:cs="Cambria Math"/>
        </w:rPr>
        <w:instrText>‐</w:instrText>
      </w:r>
      <w:r w:rsidR="0025467B">
        <w:rPr>
          <w:rFonts w:eastAsiaTheme="minorEastAsia"/>
        </w:rPr>
        <w:instrText xml:space="preserve">standard situations, where the partial likelihood depends on the baseline hazard. A simulation study investigating the effect of measurement errors in the German Uranium Miners Cohort Study is considered to illustrate the proposed simulation techniques and to emphasize the importance of a careful modelling of the baseline hazard in Cox models. Copyright © 2005 John Wiley &amp; Sons, Ltd.","container-title":"Statistics in Medicine","DOI":"10.1002/sim.2059","ISSN":"0277-6715, 1097-0258","issue":"11","journalAbbreviation":"Statistics in Medicine","language":"en","license":"http://onlinelibrary.wiley.com/termsAndConditions#vor","page":"1713-1723","source":"DOI.org (Crossref)","title":"Generating survival times to simulate Cox proportional hazards models","volume":"24","author":[{"family":"Bender","given":"Ralf"},{"family":"Augustin","given":"Thomas"},{"family":"Blettner","given":"Maria"}],"issued":{"date-parts":[["2005",6,15]]}}}],"schema":"https://github.com/citation-style-language/schema/raw/master/csl-citation.json"} </w:instrText>
      </w:r>
      <w:r w:rsidR="009E6A2E">
        <w:rPr>
          <w:rFonts w:eastAsiaTheme="minorEastAsia"/>
        </w:rPr>
        <w:fldChar w:fldCharType="separate"/>
      </w:r>
      <w:r w:rsidR="0025467B" w:rsidRPr="0025467B">
        <w:rPr>
          <w:rFonts w:ascii="Aptos" w:hAnsi="Aptos" w:cs="Times New Roman"/>
          <w:kern w:val="0"/>
          <w:vertAlign w:val="superscript"/>
        </w:rPr>
        <w:t>1</w:t>
      </w:r>
      <w:r w:rsidR="009E6A2E">
        <w:rPr>
          <w:rFonts w:eastAsiaTheme="minorEastAsia"/>
        </w:rPr>
        <w:fldChar w:fldCharType="end"/>
      </w:r>
      <w:r w:rsidR="004A28F6">
        <w:rPr>
          <w:rFonts w:eastAsiaTheme="minorEastAsia"/>
        </w:rPr>
        <w:t>:</w:t>
      </w:r>
    </w:p>
    <w:p w14:paraId="4577E80B" w14:textId="2E2D2CCC" w:rsidR="00E17FAA" w:rsidRPr="00A80C89" w:rsidRDefault="005E3A1B" w:rsidP="00E17FAA">
      <w:pPr>
        <w:ind w:left="360"/>
        <w:rPr>
          <w:rFonts w:eastAsiaTheme="minorEastAsia"/>
        </w:rPr>
      </w:pPr>
      <m:oMathPara>
        <m:oMath>
          <m:r>
            <w:rPr>
              <w:rFonts w:ascii="Cambria Math" w:eastAsiaTheme="minorEastAsia" w:hAnsi="Cambria Math"/>
            </w:rPr>
            <m:t>T=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U</m:t>
                              </m:r>
                            </m:e>
                          </m:d>
                        </m:e>
                      </m:func>
                    </m:num>
                    <m:den>
                      <m:r>
                        <w:rPr>
                          <w:rFonts w:ascii="Cambria Math" w:eastAsiaTheme="minorEastAsia" w:hAnsi="Cambria Math"/>
                        </w:rPr>
                        <m:t>λ</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βX</m:t>
                              </m:r>
                            </m:e>
                          </m:d>
                        </m:e>
                      </m:func>
                    </m:den>
                  </m:f>
                </m:e>
              </m:d>
            </m:e>
            <m:sup>
              <m:r>
                <w:rPr>
                  <w:rFonts w:ascii="Cambria Math" w:eastAsiaTheme="minorEastAsia" w:hAnsi="Cambria Math"/>
                </w:rPr>
                <m:t>1/ν</m:t>
              </m:r>
            </m:sup>
          </m:sSup>
        </m:oMath>
      </m:oMathPara>
    </w:p>
    <w:p w14:paraId="1DDE4F51" w14:textId="16FAA870" w:rsidR="00A80C89" w:rsidRDefault="0025467B" w:rsidP="0099497A">
      <w:pPr>
        <w:rPr>
          <w:rFonts w:eastAsiaTheme="minorEastAsia"/>
        </w:rPr>
      </w:pPr>
      <w:r>
        <w:rPr>
          <w:rFonts w:eastAsiaTheme="minorEastAsia"/>
        </w:rPr>
        <w:t xml:space="preserve">Where </w:t>
      </w:r>
      <m:oMath>
        <m:r>
          <w:rPr>
            <w:rFonts w:ascii="Cambria Math" w:eastAsiaTheme="minorEastAsia" w:hAnsi="Cambria Math"/>
          </w:rPr>
          <m:t>U~Uni[0,1]</m:t>
        </m:r>
      </m:oMath>
      <w:r>
        <w:rPr>
          <w:rFonts w:eastAsiaTheme="minorEastAsia"/>
        </w:rPr>
        <w:t xml:space="preserve">, </w:t>
      </w:r>
      <m:oMath>
        <m:r>
          <w:rPr>
            <w:rFonts w:ascii="Cambria Math" w:eastAsiaTheme="minorEastAsia" w:hAnsi="Cambria Math"/>
          </w:rPr>
          <m:t xml:space="preserve">λ </m:t>
        </m:r>
      </m:oMath>
      <w:r>
        <w:rPr>
          <w:rFonts w:eastAsiaTheme="minorEastAsia"/>
        </w:rPr>
        <w:t xml:space="preserve">is the scale parameter, </w:t>
      </w:r>
      <m:oMath>
        <m:r>
          <w:rPr>
            <w:rFonts w:ascii="Cambria Math" w:eastAsiaTheme="minorEastAsia" w:hAnsi="Cambria Math"/>
          </w:rPr>
          <m:t>ν</m:t>
        </m:r>
      </m:oMath>
      <w:r>
        <w:rPr>
          <w:rFonts w:eastAsiaTheme="minorEastAsia"/>
        </w:rPr>
        <w:t xml:space="preserve"> is the shape parameter, </w:t>
      </w:r>
      <m:oMath>
        <m:r>
          <w:rPr>
            <w:rFonts w:ascii="Cambria Math" w:eastAsiaTheme="minorEastAsia" w:hAnsi="Cambria Math"/>
          </w:rPr>
          <m:t>β</m:t>
        </m:r>
      </m:oMath>
      <w:r>
        <w:rPr>
          <w:rFonts w:eastAsiaTheme="minorEastAsia"/>
        </w:rPr>
        <w:t xml:space="preserve"> is the vector of </w:t>
      </w:r>
      <w:r w:rsidR="00E04A2F">
        <w:rPr>
          <w:rFonts w:eastAsiaTheme="minorEastAsia"/>
        </w:rPr>
        <w:t xml:space="preserve">desired </w:t>
      </w:r>
      <w:r>
        <w:rPr>
          <w:rFonts w:eastAsiaTheme="minorEastAsia"/>
        </w:rPr>
        <w:t xml:space="preserve">regression coefficients, and </w:t>
      </w:r>
      <m:oMath>
        <m:r>
          <w:rPr>
            <w:rFonts w:ascii="Cambria Math" w:eastAsiaTheme="minorEastAsia" w:hAnsi="Cambria Math"/>
          </w:rPr>
          <m:t>X</m:t>
        </m:r>
      </m:oMath>
      <w:r>
        <w:rPr>
          <w:rFonts w:eastAsiaTheme="minorEastAsia"/>
        </w:rPr>
        <w:t xml:space="preserve"> is the vector of covariates. </w:t>
      </w:r>
      <w:r w:rsidR="00E04A2F">
        <w:rPr>
          <w:rFonts w:eastAsiaTheme="minorEastAsia"/>
        </w:rPr>
        <w:t xml:space="preserve"> </w:t>
      </w:r>
      <w:r w:rsidR="00EE27E6">
        <w:rPr>
          <w:rFonts w:eastAsiaTheme="minorEastAsia"/>
        </w:rPr>
        <w:t xml:space="preserve">The values of </w:t>
      </w:r>
      <m:oMath>
        <m:r>
          <w:rPr>
            <w:rFonts w:ascii="Cambria Math" w:eastAsiaTheme="minorEastAsia" w:hAnsi="Cambria Math"/>
          </w:rPr>
          <m:t>β</m:t>
        </m:r>
      </m:oMath>
      <w:r w:rsidR="00EE27E6">
        <w:rPr>
          <w:rFonts w:eastAsiaTheme="minorEastAsia"/>
        </w:rPr>
        <w:t xml:space="preserve"> </w:t>
      </w:r>
      <w:r w:rsidR="00B909AC">
        <w:rPr>
          <w:rFonts w:eastAsiaTheme="minorEastAsia"/>
        </w:rPr>
        <w:t xml:space="preserve">and </w:t>
      </w:r>
      <m:oMath>
        <m:r>
          <w:rPr>
            <w:rFonts w:ascii="Cambria Math" w:eastAsiaTheme="minorEastAsia" w:hAnsi="Cambria Math"/>
          </w:rPr>
          <m:t xml:space="preserve">X </m:t>
        </m:r>
      </m:oMath>
      <w:r w:rsidR="00B909AC">
        <w:rPr>
          <w:rFonts w:eastAsiaTheme="minorEastAsia"/>
        </w:rPr>
        <w:t>vary depending on the outcome scenario. For the preliminary example the values are:</w:t>
      </w:r>
    </w:p>
    <w:p w14:paraId="78A7C5F0" w14:textId="2B4E24AC" w:rsidR="00B909AC" w:rsidRPr="00BF7E87" w:rsidRDefault="00B909AC" w:rsidP="00E17FAA">
      <w:pPr>
        <w:ind w:left="360"/>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=Pro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=Pro</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oMath>
      </m:oMathPara>
    </w:p>
    <w:p w14:paraId="1B5F44A8" w14:textId="7A79B653" w:rsidR="00BF7E87" w:rsidRDefault="00BF7E87" w:rsidP="00947605">
      <w:pPr>
        <w:rPr>
          <w:rFonts w:eastAsiaTheme="minorEastAsia"/>
        </w:rPr>
      </w:pPr>
      <w:r>
        <w:rPr>
          <w:rFonts w:eastAsiaTheme="minorEastAsia"/>
        </w:rPr>
        <w:t xml:space="preserve">With corresponding </w:t>
      </w:r>
      <m:oMath>
        <m:r>
          <w:rPr>
            <w:rFonts w:ascii="Cambria Math" w:eastAsiaTheme="minorEastAsia" w:hAnsi="Cambria Math"/>
          </w:rPr>
          <m:t>β</m:t>
        </m:r>
      </m:oMath>
      <w:r>
        <w:rPr>
          <w:rFonts w:eastAsiaTheme="minorEastAsia"/>
        </w:rPr>
        <w:t xml:space="preserve"> values: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2</m:t>
                </m:r>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1.1</m:t>
                </m:r>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(1.2)</m:t>
            </m:r>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1.5</m:t>
                </m:r>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1.6</m:t>
                </m:r>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(1.8)</m:t>
        </m:r>
      </m:oMath>
    </w:p>
    <w:p w14:paraId="0B5D47CF" w14:textId="0A9635C6" w:rsidR="005E3A1B" w:rsidRDefault="005E3A1B" w:rsidP="00947605">
      <w:pPr>
        <w:rPr>
          <w:rFonts w:eastAsiaTheme="minorEastAsia"/>
        </w:rPr>
      </w:pPr>
      <w:r>
        <w:rPr>
          <w:rFonts w:eastAsiaTheme="minorEastAsia"/>
        </w:rPr>
        <w:lastRenderedPageBreak/>
        <w:t xml:space="preserve">The true treatment effect (as induced by the calculation of </w:t>
      </w:r>
      <m:oMath>
        <m:r>
          <w:rPr>
            <w:rFonts w:ascii="Cambria Math" w:eastAsiaTheme="minorEastAsia" w:hAnsi="Cambria Math"/>
          </w:rPr>
          <m:t>T</m:t>
        </m:r>
      </m:oMath>
      <w:r w:rsidRPr="005E3A1B">
        <w:rPr>
          <w:rFonts w:eastAsiaTheme="minorEastAsia"/>
        </w:rPr>
        <w:t>)</w:t>
      </w:r>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2</m:t>
                </m:r>
              </m:e>
            </m:d>
          </m:e>
        </m:func>
      </m:oMath>
      <w:r>
        <w:rPr>
          <w:rFonts w:eastAsiaTheme="minorEastAsia"/>
        </w:rPr>
        <w:t>.</w:t>
      </w:r>
    </w:p>
    <w:p w14:paraId="0377B291" w14:textId="1761B6F6" w:rsidR="00E04A2F" w:rsidRDefault="00E04A2F" w:rsidP="00947605">
      <w:pPr>
        <w:rPr>
          <w:rFonts w:eastAsiaTheme="minorEastAsia"/>
        </w:rPr>
      </w:pPr>
      <w:r>
        <w:rPr>
          <w:rFonts w:eastAsiaTheme="minorEastAsia"/>
        </w:rPr>
        <w:t xml:space="preserve">To simulate the scenario where only a proportion of individuals experience the event we introduced the presence of censoring. To incorporate censoring, we modified the data-generating process so that for each individual we simulated an event time and a censoring time. Censoring times were simulated from an exponential distribution. For each individual, the observed time to event was the minimum of the simulated event time and the simulated censoring time. </w:t>
      </w:r>
      <w:r w:rsidR="00EE27E6">
        <w:rPr>
          <w:rFonts w:eastAsiaTheme="minorEastAsia"/>
        </w:rPr>
        <w:t>Individuals that are not censored will experience the event (</w:t>
      </w:r>
      <m:oMath>
        <m:r>
          <w:rPr>
            <w:rFonts w:ascii="Cambria Math" w:eastAsiaTheme="minorEastAsia" w:hAnsi="Cambria Math"/>
          </w:rPr>
          <m:t xml:space="preserve"> Y=1).</m:t>
        </m:r>
      </m:oMath>
      <w:r w:rsidR="00BF7E87">
        <w:rPr>
          <w:rFonts w:eastAsiaTheme="minorEastAsia"/>
        </w:rPr>
        <w:t xml:space="preserve"> </w:t>
      </w:r>
    </w:p>
    <w:p w14:paraId="477BC2A7" w14:textId="251B51CA" w:rsidR="005E3A1B" w:rsidRPr="00BF7E87" w:rsidRDefault="005E3A1B" w:rsidP="00947605">
      <w:pPr>
        <w:rPr>
          <w:rFonts w:eastAsiaTheme="minorEastAsia"/>
        </w:rPr>
      </w:pPr>
      <w:r>
        <w:rPr>
          <w:rFonts w:eastAsiaTheme="minorEastAsia"/>
        </w:rPr>
        <w:t xml:space="preserve">The values of the event time and event status are appended to the originally generated dataset, however due to the matching this means that ~10,000 individuals will not have an assigned event and event time. The unassigned will have biased values injected using the same calculation for </w:t>
      </w:r>
      <m:oMath>
        <m:r>
          <w:rPr>
            <w:rFonts w:ascii="Cambria Math" w:eastAsiaTheme="minorEastAsia" w:hAnsi="Cambria Math"/>
          </w:rPr>
          <m:t>T</m:t>
        </m:r>
      </m:oMath>
      <w:r>
        <w:rPr>
          <w:rFonts w:eastAsiaTheme="minorEastAsia"/>
        </w:rPr>
        <w:t xml:space="preserve"> as above, however, the values for </w:t>
      </w:r>
      <m:oMath>
        <m:r>
          <w:rPr>
            <w:rFonts w:ascii="Cambria Math" w:eastAsiaTheme="minorEastAsia" w:hAnsi="Cambria Math"/>
          </w:rPr>
          <m:t xml:space="preserve">X </m:t>
        </m:r>
      </m:oMath>
      <w:r>
        <w:rPr>
          <w:rFonts w:eastAsiaTheme="minorEastAsia"/>
        </w:rPr>
        <w:t xml:space="preserve">and </w:t>
      </w:r>
      <m:oMath>
        <m:r>
          <w:rPr>
            <w:rFonts w:ascii="Cambria Math" w:eastAsiaTheme="minorEastAsia" w:hAnsi="Cambria Math"/>
          </w:rPr>
          <m:t>β</m:t>
        </m:r>
      </m:oMath>
      <w:r>
        <w:rPr>
          <w:rFonts w:eastAsiaTheme="minorEastAsia"/>
        </w:rPr>
        <w:t xml:space="preserve"> will be:</w:t>
      </w:r>
      <w:r w:rsidRPr="005E3A1B">
        <w:rPr>
          <w:rFonts w:ascii="Cambria Math" w:eastAsiaTheme="minorEastAsia" w:hAnsi="Cambria Math"/>
          <w:i/>
        </w:rPr>
        <w:br/>
      </w: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m:t>
          </m:r>
        </m:oMath>
      </m:oMathPara>
    </w:p>
    <w:p w14:paraId="71E74BAB" w14:textId="12251B43" w:rsidR="005E3A1B" w:rsidRDefault="005E3A1B" w:rsidP="00947605">
      <w:pPr>
        <w:rPr>
          <w:rFonts w:eastAsiaTheme="minorEastAsia"/>
        </w:rPr>
      </w:pPr>
      <w:r>
        <w:rPr>
          <w:rFonts w:eastAsiaTheme="minorEastAsia"/>
        </w:rPr>
        <w:t xml:space="preserve">With corresponding </w:t>
      </w:r>
      <m:oMath>
        <m:r>
          <w:rPr>
            <w:rFonts w:ascii="Cambria Math" w:eastAsiaTheme="minorEastAsia" w:hAnsi="Cambria Math"/>
          </w:rPr>
          <m:t>β</m:t>
        </m:r>
      </m:oMath>
      <w:r>
        <w:rPr>
          <w:rFonts w:eastAsiaTheme="minorEastAsia"/>
        </w:rPr>
        <w:t xml:space="preserve"> values: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1.1</m:t>
                </m:r>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(1.2)</m:t>
            </m:r>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1.5</m:t>
                </m:r>
              </m:e>
            </m:d>
          </m:e>
        </m:func>
      </m:oMath>
    </w:p>
    <w:p w14:paraId="514ED881" w14:textId="292D10DD" w:rsidR="005E3A1B" w:rsidRDefault="005E3A1B" w:rsidP="00947605">
      <w:pPr>
        <w:rPr>
          <w:rFonts w:eastAsiaTheme="minorEastAsia"/>
        </w:rPr>
      </w:pPr>
      <w:r>
        <w:rPr>
          <w:rFonts w:eastAsiaTheme="minorEastAsia"/>
        </w:rPr>
        <w:t xml:space="preserve">The biased treatment effect for these individuals (as induced by the calculation of </w:t>
      </w:r>
      <m:oMath>
        <m:r>
          <w:rPr>
            <w:rFonts w:ascii="Cambria Math" w:eastAsiaTheme="minorEastAsia" w:hAnsi="Cambria Math"/>
          </w:rPr>
          <m:t>T</m:t>
        </m:r>
      </m:oMath>
      <w:r w:rsidRPr="005E3A1B">
        <w:rPr>
          <w:rFonts w:eastAsiaTheme="minorEastAsia"/>
        </w:rPr>
        <w:t>)</w:t>
      </w:r>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e>
        </m:func>
      </m:oMath>
      <w:r>
        <w:rPr>
          <w:rFonts w:eastAsiaTheme="minorEastAsia"/>
        </w:rPr>
        <w:t>.</w:t>
      </w:r>
    </w:p>
    <w:p w14:paraId="30D2AC56" w14:textId="7BF5D96C" w:rsidR="005F0F34" w:rsidRDefault="0099497A" w:rsidP="00947605">
      <w:pPr>
        <w:rPr>
          <w:rFonts w:eastAsiaTheme="minorEastAsia"/>
        </w:rPr>
      </w:pPr>
      <w:r>
        <w:rPr>
          <w:rFonts w:eastAsiaTheme="minorEastAsia"/>
        </w:rPr>
        <w:t>This is now a complete data set rea</w:t>
      </w:r>
      <w:r w:rsidR="00947605">
        <w:rPr>
          <w:rFonts w:eastAsiaTheme="minorEastAsia"/>
        </w:rPr>
        <w:t>dy to compare three matching strategies. Note that the final project will be assessing nine matching strategies, only three are described here.</w:t>
      </w:r>
    </w:p>
    <w:p w14:paraId="058972E4" w14:textId="32F59208" w:rsidR="00947605" w:rsidRDefault="00947605" w:rsidP="00947605">
      <w:pPr>
        <w:pStyle w:val="Heading3"/>
        <w:rPr>
          <w:rFonts w:eastAsiaTheme="minorEastAsia"/>
        </w:rPr>
      </w:pPr>
      <w:r>
        <w:rPr>
          <w:rFonts w:eastAsiaTheme="minorEastAsia"/>
        </w:rPr>
        <w:t>Matching strategies</w:t>
      </w:r>
    </w:p>
    <w:p w14:paraId="7B64678C" w14:textId="77E9A50E" w:rsidR="00947605" w:rsidRDefault="00947605" w:rsidP="00947605">
      <w:r>
        <w:t xml:space="preserve">Similarly to the process described above exposure sets will be generated and time-conditional propensity scores will be used to identify comparators to match to the PNU. However, this time </w:t>
      </w:r>
      <w:r w:rsidR="00256666">
        <w:t xml:space="preserve">three </w:t>
      </w:r>
      <w:r>
        <w:t>match</w:t>
      </w:r>
      <w:r w:rsidR="00256666">
        <w:t>ed study cohorts will be generated based on three different strategies.</w:t>
      </w:r>
    </w:p>
    <w:p w14:paraId="04AE0C99" w14:textId="5CFD3E4A" w:rsidR="00256666" w:rsidRDefault="00256666" w:rsidP="00947605">
      <w:r>
        <w:t>In the first, exposure sets use just the first criteria listed above, time on treatment.</w:t>
      </w:r>
    </w:p>
    <w:p w14:paraId="3CDF9FD4" w14:textId="6AE1CAEE" w:rsidR="00256666" w:rsidRDefault="00256666" w:rsidP="00947605">
      <w:r>
        <w:t>In the second, exposure sets use time on treatment and same treatment pattern.</w:t>
      </w:r>
    </w:p>
    <w:p w14:paraId="04C313B1" w14:textId="7332F8E1" w:rsidR="00256666" w:rsidRDefault="00256666" w:rsidP="00947605">
      <w:r>
        <w:t>In the third, exposure sets use time on treatment, treatment pattern and same proportion of each prior medicine.</w:t>
      </w:r>
    </w:p>
    <w:p w14:paraId="22A588C3" w14:textId="61D3A8E4" w:rsidR="00256666" w:rsidRPr="00256666" w:rsidRDefault="00256666" w:rsidP="00256666">
      <w:r w:rsidRPr="00256666">
        <w:t xml:space="preserve">Each simulated matched study cohort will be analysed using Cox proportional hazards models. </w:t>
      </w:r>
      <w:r>
        <w:t>T</w:t>
      </w:r>
      <w:r w:rsidRPr="00256666">
        <w:t>he estimated treatment effect</w:t>
      </w:r>
      <w:r w:rsidR="009A6308">
        <w:t xml:space="preserve">, </w:t>
      </w:r>
      <m:oMath>
        <m:acc>
          <m:accPr>
            <m:ctrlPr>
              <w:rPr>
                <w:rFonts w:ascii="Cambria Math" w:hAnsi="Cambria Math"/>
                <w:i/>
              </w:rPr>
            </m:ctrlPr>
          </m:accPr>
          <m:e>
            <m:r>
              <w:rPr>
                <w:rFonts w:ascii="Cambria Math" w:hAnsi="Cambria Math"/>
              </w:rPr>
              <m:t xml:space="preserve">θ </m:t>
            </m:r>
          </m:e>
        </m:acc>
      </m:oMath>
      <w:r>
        <w:t>will be extracted from the fitted model</w:t>
      </w:r>
      <w:r w:rsidRPr="00256666">
        <w:t>. </w:t>
      </w:r>
    </w:p>
    <w:p w14:paraId="437C6A32" w14:textId="77777777" w:rsidR="00256666" w:rsidRPr="00256666" w:rsidRDefault="00256666" w:rsidP="00281123">
      <w:pPr>
        <w:pStyle w:val="Heading3"/>
      </w:pPr>
      <w:r w:rsidRPr="00256666">
        <w:t>Performance Measures </w:t>
      </w:r>
    </w:p>
    <w:p w14:paraId="5748A464" w14:textId="0582C9A7" w:rsidR="00256666" w:rsidRPr="00256666" w:rsidRDefault="00256666" w:rsidP="00256666">
      <w:r w:rsidRPr="00256666">
        <w:t xml:space="preserve">We will assess bias, coverage, empirical and model-based standard errors for </w:t>
      </w:r>
      <w:r w:rsidR="009A6308">
        <w:t xml:space="preserve"> </w:t>
      </w:r>
      <m:oMath>
        <m:acc>
          <m:accPr>
            <m:ctrlPr>
              <w:rPr>
                <w:rFonts w:ascii="Cambria Math" w:hAnsi="Cambria Math"/>
                <w:i/>
              </w:rPr>
            </m:ctrlPr>
          </m:accPr>
          <m:e>
            <m:r>
              <w:rPr>
                <w:rFonts w:ascii="Cambria Math" w:hAnsi="Cambria Math"/>
              </w:rPr>
              <m:t xml:space="preserve">θ </m:t>
            </m:r>
          </m:e>
        </m:acc>
      </m:oMath>
      <w:r w:rsidRPr="00256666">
        <w:t>.  </w:t>
      </w:r>
    </w:p>
    <w:p w14:paraId="18D76394" w14:textId="77777777" w:rsidR="00256666" w:rsidRPr="00256666" w:rsidRDefault="00256666" w:rsidP="00256666">
      <w:r w:rsidRPr="00256666">
        <w:t>Our primary performance measure is the bias of the treatment effect estimate. It is estimated by </w:t>
      </w:r>
    </w:p>
    <w:p w14:paraId="1EC9C717" w14:textId="77777777" w:rsidR="009A6308" w:rsidRDefault="00440619" w:rsidP="009A6308">
      <m:oMathPara>
        <m:oMath>
          <m:acc>
            <m:accPr>
              <m:ctrlPr>
                <w:rPr>
                  <w:rFonts w:ascii="Cambria Math" w:hAnsi="Cambria Math"/>
                  <w:i/>
                </w:rPr>
              </m:ctrlPr>
            </m:accPr>
            <m:e>
              <m:r>
                <w:rPr>
                  <w:rFonts w:ascii="Cambria Math" w:hAnsi="Cambria Math"/>
                </w:rPr>
                <m:t>Bias</m:t>
              </m:r>
            </m:e>
          </m:acc>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sim</m:t>
                      </m:r>
                    </m:sub>
                  </m:sSub>
                </m:sup>
                <m:e>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e>
              </m:nary>
            </m:num>
            <m:den>
              <m:sSub>
                <m:sSubPr>
                  <m:ctrlPr>
                    <w:rPr>
                      <w:rFonts w:ascii="Cambria Math" w:hAnsi="Cambria Math"/>
                      <w:i/>
                    </w:rPr>
                  </m:ctrlPr>
                </m:sSubPr>
                <m:e>
                  <m:r>
                    <w:rPr>
                      <w:rFonts w:ascii="Cambria Math" w:hAnsi="Cambria Math"/>
                    </w:rPr>
                    <m:t>n</m:t>
                  </m:r>
                </m:e>
                <m:sub>
                  <m:r>
                    <w:rPr>
                      <w:rFonts w:ascii="Cambria Math" w:hAnsi="Cambria Math"/>
                    </w:rPr>
                    <m:t>sim</m:t>
                  </m:r>
                </m:sub>
              </m:sSub>
            </m:den>
          </m:f>
          <m:r>
            <w:rPr>
              <w:rFonts w:ascii="Cambria Math" w:eastAsiaTheme="minorEastAsia" w:hAnsi="Cambria Math"/>
            </w:rPr>
            <m:t>-θ</m:t>
          </m:r>
        </m:oMath>
      </m:oMathPara>
    </w:p>
    <w:p w14:paraId="1E2C41D9" w14:textId="7540C706" w:rsidR="009A6308" w:rsidRDefault="00256666" w:rsidP="009A6308">
      <w:pPr>
        <w:rPr>
          <w:rFonts w:eastAsiaTheme="minorEastAsia"/>
        </w:rPr>
      </w:pPr>
      <w:r w:rsidRPr="00256666">
        <w:lastRenderedPageBreak/>
        <w:t> </w:t>
      </w:r>
      <w:r w:rsidR="009A6308">
        <w:t xml:space="preserve">Where </w:t>
      </w:r>
      <m:oMath>
        <m:r>
          <w:rPr>
            <w:rFonts w:ascii="Cambria Math" w:hAnsi="Cambria Math"/>
          </w:rPr>
          <m:t>θ</m:t>
        </m:r>
      </m:oMath>
      <w:r w:rsidR="009A6308">
        <w:rPr>
          <w:rFonts w:eastAsiaTheme="minorEastAsia"/>
        </w:rPr>
        <w:t xml:space="preserve"> is the true treatment effect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oMath>
      <w:r w:rsidR="009A6308">
        <w:rPr>
          <w:rFonts w:eastAsiaTheme="minorEastAsia"/>
        </w:rPr>
        <w:t xml:space="preserve">) and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acc>
      </m:oMath>
      <w:r w:rsidR="009A6308">
        <w:rPr>
          <w:rFonts w:eastAsiaTheme="minorEastAsia"/>
        </w:rPr>
        <w:t xml:space="preserve"> is the effect estimate from simulation </w:t>
      </w:r>
      <m:oMath>
        <m:r>
          <w:rPr>
            <w:rFonts w:ascii="Cambria Math" w:eastAsiaTheme="minorEastAsia" w:hAnsi="Cambria Math"/>
          </w:rPr>
          <m:t>i</m:t>
        </m:r>
      </m:oMath>
      <w:r w:rsidR="009A6308">
        <w:rPr>
          <w:rFonts w:eastAsiaTheme="minorEastAsia"/>
        </w:rPr>
        <w:t>.</w:t>
      </w:r>
    </w:p>
    <w:p w14:paraId="22E6E139" w14:textId="77777777" w:rsidR="009A6308" w:rsidRDefault="009A6308" w:rsidP="009A6308">
      <w:pPr>
        <w:rPr>
          <w:rFonts w:eastAsiaTheme="minorEastAsia"/>
        </w:rPr>
      </w:pPr>
      <w:r>
        <w:rPr>
          <w:rFonts w:eastAsiaTheme="minorEastAsia"/>
        </w:rPr>
        <w:t>Our secondary performance measures are empirical standard error and coverage.  Empirical standard error is estimated by</w:t>
      </w:r>
    </w:p>
    <w:p w14:paraId="0E5B14D0" w14:textId="77777777" w:rsidR="009A6308" w:rsidRDefault="00440619" w:rsidP="009A6308">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EmpSE</m:t>
              </m:r>
            </m:e>
          </m:acc>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sim</m:t>
                      </m:r>
                    </m:sub>
                  </m:sSub>
                  <m:r>
                    <w:rPr>
                      <w:rFonts w:ascii="Cambria Math" w:eastAsiaTheme="minorEastAsia" w:hAnsi="Cambria Math"/>
                    </w:rPr>
                    <m:t>-1</m:t>
                  </m:r>
                </m:den>
              </m:f>
              <m:nary>
                <m:naryPr>
                  <m:chr m:val="∑"/>
                  <m:limLoc m:val="subSup"/>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sim</m:t>
                      </m:r>
                    </m:sub>
                  </m:sSub>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e>
                      </m:d>
                    </m:e>
                    <m:sup>
                      <m:r>
                        <w:rPr>
                          <w:rFonts w:ascii="Cambria Math" w:eastAsiaTheme="minorEastAsia" w:hAnsi="Cambria Math"/>
                        </w:rPr>
                        <m:t>2</m:t>
                      </m:r>
                    </m:sup>
                  </m:sSup>
                </m:e>
              </m:nary>
            </m:e>
          </m:rad>
        </m:oMath>
      </m:oMathPara>
    </w:p>
    <w:p w14:paraId="573A1F84" w14:textId="77777777" w:rsidR="009A6308" w:rsidRDefault="009A6308" w:rsidP="009A6308">
      <w:pPr>
        <w:rPr>
          <w:rFonts w:eastAsiaTheme="minorEastAsia"/>
        </w:rPr>
      </w:pPr>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is the mean of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acc>
      </m:oMath>
      <w:r>
        <w:rPr>
          <w:rFonts w:eastAsiaTheme="minorEastAsia"/>
        </w:rPr>
        <w:t xml:space="preserve"> across repetitions.</w:t>
      </w:r>
    </w:p>
    <w:p w14:paraId="6BD7EE61" w14:textId="77777777" w:rsidR="009A6308" w:rsidRDefault="009A6308" w:rsidP="009A6308">
      <w:pPr>
        <w:rPr>
          <w:rFonts w:eastAsiaTheme="minorEastAsia"/>
        </w:rPr>
      </w:pPr>
      <w:r>
        <w:rPr>
          <w:rFonts w:eastAsiaTheme="minorEastAsia"/>
        </w:rPr>
        <w:t>Coverage is estimated by</w:t>
      </w:r>
    </w:p>
    <w:p w14:paraId="55E100DD" w14:textId="77777777" w:rsidR="009A6308" w:rsidRDefault="00440619" w:rsidP="009A630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sim</m:t>
                  </m:r>
                </m:sub>
              </m:sSub>
            </m:den>
          </m:f>
          <m:nary>
            <m:naryPr>
              <m:chr m:val="∑"/>
              <m:limLoc m:val="subSup"/>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sim</m:t>
                  </m:r>
                </m:sub>
              </m:sSub>
            </m:sup>
            <m:e>
              <m:r>
                <w:rPr>
                  <w:rFonts w:ascii="Cambria Math" w:eastAsiaTheme="minorEastAsia" w:hAnsi="Cambria Math"/>
                </w:rPr>
                <m:t>1(</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low,i</m:t>
                      </m:r>
                    </m:sub>
                  </m:sSub>
                </m:e>
              </m:acc>
              <m:r>
                <w:rPr>
                  <w:rFonts w:ascii="Cambria Math" w:eastAsiaTheme="minorEastAsia" w:hAnsi="Cambria Math"/>
                </w:rPr>
                <m:t>≤θ≤</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upp,i</m:t>
                      </m:r>
                    </m:sub>
                  </m:sSub>
                </m:e>
              </m:acc>
              <m:r>
                <w:rPr>
                  <w:rFonts w:ascii="Cambria Math" w:eastAsiaTheme="minorEastAsia" w:hAnsi="Cambria Math"/>
                </w:rPr>
                <m:t>)</m:t>
              </m:r>
            </m:e>
          </m:nary>
        </m:oMath>
      </m:oMathPara>
    </w:p>
    <w:p w14:paraId="33EB016B" w14:textId="77777777" w:rsidR="009A6308" w:rsidRDefault="009A6308" w:rsidP="009A6308">
      <w:pPr>
        <w:rPr>
          <w:rFonts w:eastAsiaTheme="minorEastAsia"/>
        </w:rPr>
      </w:pPr>
      <w:r>
        <w:t xml:space="preserve">We will report Monte Carlo uncertainty in tables (MCSEs next to the estimand performance measures) and in plots (error bars with </w:t>
      </w:r>
      <m:oMath>
        <m:r>
          <w:rPr>
            <w:rFonts w:ascii="Cambria Math" w:hAnsi="Cambria Math"/>
          </w:rPr>
          <m:t>±1</m:t>
        </m:r>
      </m:oMath>
      <w:r>
        <w:rPr>
          <w:rFonts w:eastAsiaTheme="minorEastAsia"/>
        </w:rPr>
        <w:t xml:space="preserve">MCSE around estimated performance measures). </w:t>
      </w:r>
    </w:p>
    <w:p w14:paraId="59A22542" w14:textId="77777777" w:rsidR="009A6308" w:rsidRDefault="009A6308" w:rsidP="009A6308">
      <w:pPr>
        <w:rPr>
          <w:rFonts w:eastAsiaTheme="minorEastAsia"/>
        </w:rPr>
      </w:pPr>
      <w:r>
        <w:rPr>
          <w:rFonts w:eastAsiaTheme="minorEastAsia"/>
        </w:rPr>
        <w:t xml:space="preserve">We will perform 1,600 repetitions per condition. We determined this number by aiming for a MCSE of 0.005 for the bias. We will assume that </w:t>
      </w:r>
      <m:oMath>
        <m:r>
          <w:rPr>
            <w:rFonts w:ascii="Cambria Math" w:eastAsiaTheme="minorEastAsia" w:hAnsi="Cambria Math"/>
          </w:rPr>
          <m:t>SD(</m:t>
        </m:r>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oMath>
      <w:r>
        <w:rPr>
          <w:rFonts w:eastAsiaTheme="minorEastAsia"/>
        </w:rPr>
        <w:t xml:space="preserve"> </w:t>
      </w:r>
      <m:oMath>
        <m:r>
          <w:rPr>
            <w:rFonts w:ascii="Cambria Math" w:eastAsiaTheme="minorEastAsia" w:hAnsi="Cambria Math"/>
          </w:rPr>
          <m:t>≤0.2</m:t>
        </m:r>
      </m:oMath>
      <w:r>
        <w:rPr>
          <w:rFonts w:eastAsiaTheme="minorEastAsia"/>
        </w:rPr>
        <w:t xml:space="preserve">, meaning that </w:t>
      </w:r>
      <m:oMath>
        <m:r>
          <w:rPr>
            <w:rFonts w:ascii="Cambria Math" w:eastAsiaTheme="minorEastAsia" w:hAnsi="Cambria Math"/>
          </w:rPr>
          <m:t>Var(</m:t>
        </m:r>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)≤0.04.</m:t>
        </m:r>
      </m:oMath>
      <w:r>
        <w:rPr>
          <w:rFonts w:eastAsiaTheme="minorEastAsia"/>
        </w:rPr>
        <w:t xml:space="preserve"> (A conservative estimate based on the initial small simulation run.) Given that </w:t>
      </w:r>
    </w:p>
    <w:p w14:paraId="3C7C4871" w14:textId="77777777" w:rsidR="009A6308" w:rsidRDefault="009A6308" w:rsidP="009A6308">
      <w:pPr>
        <w:jc w:val="center"/>
        <w:rPr>
          <w:rFonts w:eastAsiaTheme="minorEastAsia"/>
        </w:rPr>
      </w:pPr>
      <m:oMathPara>
        <m:oMath>
          <m:r>
            <w:rPr>
              <w:rFonts w:ascii="Cambria Math" w:hAnsi="Cambria Math"/>
            </w:rPr>
            <m:t>MCSE</m:t>
          </m:r>
          <m:d>
            <m:dPr>
              <m:ctrlPr>
                <w:rPr>
                  <w:rFonts w:ascii="Cambria Math" w:hAnsi="Cambria Math"/>
                  <w:i/>
                </w:rPr>
              </m:ctrlPr>
            </m:dPr>
            <m:e>
              <m:r>
                <w:rPr>
                  <w:rFonts w:ascii="Cambria Math" w:hAnsi="Cambria Math"/>
                </w:rPr>
                <m:t>Bias</m:t>
              </m:r>
            </m:e>
          </m:d>
          <m:r>
            <w:rPr>
              <w:rFonts w:ascii="Cambria Math" w:hAnsi="Cambria Math"/>
            </w:rPr>
            <m:t xml:space="preserve">= </m:t>
          </m:r>
          <m:rad>
            <m:radPr>
              <m:degHide m:val="1"/>
              <m:ctrlPr>
                <w:rPr>
                  <w:rFonts w:ascii="Cambria Math" w:hAnsi="Cambria Math"/>
                  <w:i/>
                </w:rPr>
              </m:ctrlPr>
            </m:radPr>
            <m:deg/>
            <m:e>
              <m:r>
                <w:rPr>
                  <w:rFonts w:ascii="Cambria Math" w:hAnsi="Cambria Math"/>
                </w:rPr>
                <m:t>Var(</m:t>
              </m:r>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sim</m:t>
                  </m:r>
                </m:sub>
              </m:sSub>
            </m:e>
          </m:rad>
        </m:oMath>
      </m:oMathPara>
    </w:p>
    <w:p w14:paraId="06F3ED5F" w14:textId="77777777" w:rsidR="009A6308" w:rsidRDefault="009A6308" w:rsidP="009A6308">
      <w:pPr>
        <w:rPr>
          <w:rFonts w:eastAsiaTheme="minorEastAsia"/>
        </w:rPr>
      </w:pPr>
      <w:r>
        <w:rPr>
          <w:rFonts w:eastAsiaTheme="minorEastAsia"/>
        </w:rPr>
        <w:t xml:space="preserve">This implies that we need 1600 repetitions. If coverage of all methods is 95%, the implication of using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sim</m:t>
            </m:r>
          </m:sub>
        </m:sSub>
        <m:r>
          <w:rPr>
            <w:rFonts w:ascii="Cambria Math" w:eastAsiaTheme="minorEastAsia" w:hAnsi="Cambria Math"/>
          </w:rPr>
          <m:t>=1600</m:t>
        </m:r>
      </m:oMath>
      <w:r>
        <w:rPr>
          <w:rFonts w:eastAsiaTheme="minorEastAsia"/>
        </w:rPr>
        <w:t xml:space="preserve"> is</w:t>
      </w:r>
    </w:p>
    <w:p w14:paraId="56E61294" w14:textId="77777777" w:rsidR="009A6308" w:rsidRPr="00B24420" w:rsidRDefault="009A6308" w:rsidP="009A6308">
      <w:pPr>
        <w:jc w:val="center"/>
        <w:rPr>
          <w:rFonts w:eastAsiaTheme="minorEastAsia"/>
        </w:rPr>
      </w:pPr>
      <m:oMathPara>
        <m:oMath>
          <m:r>
            <w:rPr>
              <w:rFonts w:ascii="Cambria Math" w:hAnsi="Cambria Math"/>
            </w:rPr>
            <m:t>MCSE</m:t>
          </m:r>
          <m:d>
            <m:dPr>
              <m:ctrlPr>
                <w:rPr>
                  <w:rFonts w:ascii="Cambria Math" w:hAnsi="Cambria Math"/>
                  <w:i/>
                </w:rPr>
              </m:ctrlPr>
            </m:dPr>
            <m:e>
              <m:r>
                <w:rPr>
                  <w:rFonts w:ascii="Cambria Math" w:hAnsi="Cambria Math"/>
                </w:rPr>
                <m:t>Coverage</m:t>
              </m:r>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Cover</m:t>
                      </m:r>
                    </m:e>
                  </m:acc>
                  <m:r>
                    <w:rPr>
                      <w:rFonts w:ascii="Cambria Math" w:hAnsi="Cambria Math"/>
                    </w:rPr>
                    <m:t>×</m:t>
                  </m:r>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Cover</m:t>
                          </m:r>
                        </m:e>
                      </m:acc>
                    </m:e>
                  </m:d>
                </m:num>
                <m:den>
                  <m:sSub>
                    <m:sSubPr>
                      <m:ctrlPr>
                        <w:rPr>
                          <w:rFonts w:ascii="Cambria Math" w:hAnsi="Cambria Math"/>
                          <w:i/>
                        </w:rPr>
                      </m:ctrlPr>
                    </m:sSubPr>
                    <m:e>
                      <m:r>
                        <w:rPr>
                          <w:rFonts w:ascii="Cambria Math" w:hAnsi="Cambria Math"/>
                        </w:rPr>
                        <m:t>n</m:t>
                      </m:r>
                    </m:e>
                    <m:sub>
                      <m:r>
                        <w:rPr>
                          <w:rFonts w:ascii="Cambria Math" w:hAnsi="Cambria Math"/>
                        </w:rPr>
                        <m:t>sim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95×5</m:t>
                  </m:r>
                </m:num>
                <m:den>
                  <m:r>
                    <w:rPr>
                      <w:rFonts w:ascii="Cambria Math" w:hAnsi="Cambria Math"/>
                    </w:rPr>
                    <m:t>1600</m:t>
                  </m:r>
                </m:den>
              </m:f>
            </m:e>
          </m:rad>
          <m:r>
            <w:rPr>
              <w:rFonts w:ascii="Cambria Math" w:hAnsi="Cambria Math"/>
            </w:rPr>
            <m:t>=0.54</m:t>
          </m:r>
        </m:oMath>
      </m:oMathPara>
    </w:p>
    <w:p w14:paraId="53639307" w14:textId="77777777" w:rsidR="009A6308" w:rsidRDefault="009A6308" w:rsidP="009A6308">
      <w:pPr>
        <w:rPr>
          <w:rFonts w:eastAsiaTheme="minorEastAsia"/>
        </w:rPr>
      </w:pPr>
      <w:r>
        <w:t xml:space="preserve">With 50% coverage, the MCSE is maximised at 1.25. We consider this satisfactory and so proceed with </w:t>
      </w:r>
      <m:oMath>
        <m:sSub>
          <m:sSubPr>
            <m:ctrlPr>
              <w:rPr>
                <w:rFonts w:ascii="Cambria Math" w:hAnsi="Cambria Math"/>
                <w:i/>
              </w:rPr>
            </m:ctrlPr>
          </m:sSubPr>
          <m:e>
            <m:r>
              <w:rPr>
                <w:rFonts w:ascii="Cambria Math" w:hAnsi="Cambria Math"/>
              </w:rPr>
              <m:t>n</m:t>
            </m:r>
          </m:e>
          <m:sub>
            <m:r>
              <w:rPr>
                <w:rFonts w:ascii="Cambria Math" w:hAnsi="Cambria Math"/>
              </w:rPr>
              <m:t>sim</m:t>
            </m:r>
          </m:sub>
        </m:sSub>
        <m:r>
          <w:rPr>
            <w:rFonts w:ascii="Cambria Math" w:hAnsi="Cambria Math"/>
          </w:rPr>
          <m:t>=1600</m:t>
        </m:r>
      </m:oMath>
      <w:r>
        <w:rPr>
          <w:rFonts w:eastAsiaTheme="minorEastAsia"/>
        </w:rPr>
        <w:t xml:space="preserve"> (to be revised if, for example, </w:t>
      </w:r>
      <m:oMath>
        <m:r>
          <w:rPr>
            <w:rFonts w:ascii="Cambria Math" w:eastAsiaTheme="minorEastAsia" w:hAnsi="Cambria Math"/>
          </w:rPr>
          <m:t>SD</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θ</m:t>
                </m:r>
              </m:e>
            </m:acc>
          </m:e>
        </m:d>
        <m:r>
          <w:rPr>
            <w:rFonts w:ascii="Cambria Math" w:eastAsiaTheme="minorEastAsia" w:hAnsi="Cambria Math"/>
          </w:rPr>
          <m:t>&gt;0.2</m:t>
        </m:r>
      </m:oMath>
      <w:r>
        <w:rPr>
          <w:rFonts w:eastAsiaTheme="minorEastAsia"/>
        </w:rPr>
        <w:t>)</w:t>
      </w:r>
      <m:oMath>
        <m:r>
          <w:rPr>
            <w:rFonts w:ascii="Cambria Math" w:eastAsiaTheme="minorEastAsia" w:hAnsi="Cambria Math"/>
          </w:rPr>
          <m:t>.</m:t>
        </m:r>
      </m:oMath>
    </w:p>
    <w:p w14:paraId="57C4D568" w14:textId="2E0C5686" w:rsidR="00E04A2F" w:rsidRPr="004A28F6" w:rsidRDefault="00E04A2F" w:rsidP="009A6308">
      <w:pPr>
        <w:rPr>
          <w:rFonts w:eastAsiaTheme="minorEastAsia"/>
        </w:rPr>
      </w:pPr>
      <w:r>
        <w:rPr>
          <w:rFonts w:eastAsiaTheme="minorEastAsia"/>
        </w:rPr>
        <w:t xml:space="preserve"> </w:t>
      </w:r>
    </w:p>
    <w:p w14:paraId="775308A7" w14:textId="77777777" w:rsidR="004A28F6" w:rsidRDefault="004A28F6" w:rsidP="00E17FAA">
      <w:pPr>
        <w:ind w:left="360"/>
      </w:pPr>
    </w:p>
    <w:p w14:paraId="09A162C2" w14:textId="77777777" w:rsidR="001A3619" w:rsidRDefault="001A3619" w:rsidP="001A3619"/>
    <w:p w14:paraId="258C3A28" w14:textId="057EAD2A" w:rsidR="001E744F" w:rsidRDefault="001E744F"/>
    <w:sectPr w:rsidR="001E744F" w:rsidSect="00F93706">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787"/>
    <w:multiLevelType w:val="multilevel"/>
    <w:tmpl w:val="329AA2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7F7F1C"/>
    <w:multiLevelType w:val="multilevel"/>
    <w:tmpl w:val="4F1C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A642E"/>
    <w:multiLevelType w:val="hybridMultilevel"/>
    <w:tmpl w:val="F972118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4377221"/>
    <w:multiLevelType w:val="multilevel"/>
    <w:tmpl w:val="5788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9028E"/>
    <w:multiLevelType w:val="hybridMultilevel"/>
    <w:tmpl w:val="69AE9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7F1F57"/>
    <w:multiLevelType w:val="multilevel"/>
    <w:tmpl w:val="FD60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996E05"/>
    <w:multiLevelType w:val="multilevel"/>
    <w:tmpl w:val="0A4C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8E1168"/>
    <w:multiLevelType w:val="hybridMultilevel"/>
    <w:tmpl w:val="DA301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9F7765"/>
    <w:multiLevelType w:val="multilevel"/>
    <w:tmpl w:val="585E6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59D3ACE"/>
    <w:multiLevelType w:val="multilevel"/>
    <w:tmpl w:val="7406A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BB905CE"/>
    <w:multiLevelType w:val="multilevel"/>
    <w:tmpl w:val="CC06A1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E54047F"/>
    <w:multiLevelType w:val="multilevel"/>
    <w:tmpl w:val="50C894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3D3F78"/>
    <w:multiLevelType w:val="multilevel"/>
    <w:tmpl w:val="5BE279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1D15122"/>
    <w:multiLevelType w:val="multilevel"/>
    <w:tmpl w:val="A8B84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30F10F6"/>
    <w:multiLevelType w:val="multilevel"/>
    <w:tmpl w:val="9E3871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224974"/>
    <w:multiLevelType w:val="hybridMultilevel"/>
    <w:tmpl w:val="889657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AC848F3"/>
    <w:multiLevelType w:val="multilevel"/>
    <w:tmpl w:val="BCEC6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DFA6A38"/>
    <w:multiLevelType w:val="hybridMultilevel"/>
    <w:tmpl w:val="A3020A7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155C4B"/>
    <w:multiLevelType w:val="multilevel"/>
    <w:tmpl w:val="D778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3026B1"/>
    <w:multiLevelType w:val="hybridMultilevel"/>
    <w:tmpl w:val="F88EE69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15:restartNumberingAfterBreak="0">
    <w:nsid w:val="467B3322"/>
    <w:multiLevelType w:val="hybridMultilevel"/>
    <w:tmpl w:val="CED2E2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0E64D10"/>
    <w:multiLevelType w:val="multilevel"/>
    <w:tmpl w:val="68D2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102ED8"/>
    <w:multiLevelType w:val="multilevel"/>
    <w:tmpl w:val="8160E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9500C60"/>
    <w:multiLevelType w:val="multilevel"/>
    <w:tmpl w:val="0694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7D1CD3"/>
    <w:multiLevelType w:val="multilevel"/>
    <w:tmpl w:val="E41E07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D3A449F"/>
    <w:multiLevelType w:val="multilevel"/>
    <w:tmpl w:val="81807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FF50CB8"/>
    <w:multiLevelType w:val="hybridMultilevel"/>
    <w:tmpl w:val="873817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1135B18"/>
    <w:multiLevelType w:val="multilevel"/>
    <w:tmpl w:val="F472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9443AB"/>
    <w:multiLevelType w:val="hybridMultilevel"/>
    <w:tmpl w:val="5F76A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29254D1"/>
    <w:multiLevelType w:val="multilevel"/>
    <w:tmpl w:val="2A789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802614C"/>
    <w:multiLevelType w:val="multilevel"/>
    <w:tmpl w:val="EDAE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FE1702"/>
    <w:multiLevelType w:val="hybridMultilevel"/>
    <w:tmpl w:val="A014C6CC"/>
    <w:lvl w:ilvl="0" w:tplc="89B46972">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22B359C"/>
    <w:multiLevelType w:val="multilevel"/>
    <w:tmpl w:val="DFAEA8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4F81222"/>
    <w:multiLevelType w:val="multilevel"/>
    <w:tmpl w:val="A7B2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6F5864"/>
    <w:multiLevelType w:val="multilevel"/>
    <w:tmpl w:val="6F6C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9B069C"/>
    <w:multiLevelType w:val="multilevel"/>
    <w:tmpl w:val="67328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ECB0CB2"/>
    <w:multiLevelType w:val="multilevel"/>
    <w:tmpl w:val="698A4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F780152"/>
    <w:multiLevelType w:val="multilevel"/>
    <w:tmpl w:val="C10A54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65401676">
    <w:abstractNumId w:val="17"/>
  </w:num>
  <w:num w:numId="2" w16cid:durableId="1791322014">
    <w:abstractNumId w:val="6"/>
  </w:num>
  <w:num w:numId="3" w16cid:durableId="84810202">
    <w:abstractNumId w:val="24"/>
  </w:num>
  <w:num w:numId="4" w16cid:durableId="1984890287">
    <w:abstractNumId w:val="22"/>
  </w:num>
  <w:num w:numId="5" w16cid:durableId="33115020">
    <w:abstractNumId w:val="12"/>
  </w:num>
  <w:num w:numId="6" w16cid:durableId="919294402">
    <w:abstractNumId w:val="27"/>
  </w:num>
  <w:num w:numId="7" w16cid:durableId="900365575">
    <w:abstractNumId w:val="13"/>
  </w:num>
  <w:num w:numId="8" w16cid:durableId="2068843875">
    <w:abstractNumId w:val="8"/>
  </w:num>
  <w:num w:numId="9" w16cid:durableId="1077558528">
    <w:abstractNumId w:val="0"/>
  </w:num>
  <w:num w:numId="10" w16cid:durableId="558202390">
    <w:abstractNumId w:val="23"/>
  </w:num>
  <w:num w:numId="11" w16cid:durableId="477189020">
    <w:abstractNumId w:val="9"/>
  </w:num>
  <w:num w:numId="12" w16cid:durableId="1053768721">
    <w:abstractNumId w:val="37"/>
  </w:num>
  <w:num w:numId="13" w16cid:durableId="1943146340">
    <w:abstractNumId w:val="25"/>
  </w:num>
  <w:num w:numId="14" w16cid:durableId="1753620835">
    <w:abstractNumId w:val="2"/>
  </w:num>
  <w:num w:numId="15" w16cid:durableId="282422887">
    <w:abstractNumId w:val="34"/>
  </w:num>
  <w:num w:numId="16" w16cid:durableId="1428429736">
    <w:abstractNumId w:val="10"/>
  </w:num>
  <w:num w:numId="17" w16cid:durableId="1983924648">
    <w:abstractNumId w:val="16"/>
  </w:num>
  <w:num w:numId="18" w16cid:durableId="1169517879">
    <w:abstractNumId w:val="35"/>
  </w:num>
  <w:num w:numId="19" w16cid:durableId="1618102729">
    <w:abstractNumId w:val="5"/>
  </w:num>
  <w:num w:numId="20" w16cid:durableId="970592339">
    <w:abstractNumId w:val="29"/>
  </w:num>
  <w:num w:numId="21" w16cid:durableId="821119894">
    <w:abstractNumId w:val="36"/>
  </w:num>
  <w:num w:numId="22" w16cid:durableId="1443305406">
    <w:abstractNumId w:val="32"/>
  </w:num>
  <w:num w:numId="23" w16cid:durableId="901453576">
    <w:abstractNumId w:val="33"/>
  </w:num>
  <w:num w:numId="24" w16cid:durableId="1780949482">
    <w:abstractNumId w:val="18"/>
  </w:num>
  <w:num w:numId="25" w16cid:durableId="1315066864">
    <w:abstractNumId w:val="21"/>
  </w:num>
  <w:num w:numId="26" w16cid:durableId="1862275786">
    <w:abstractNumId w:val="30"/>
  </w:num>
  <w:num w:numId="27" w16cid:durableId="626545436">
    <w:abstractNumId w:val="3"/>
  </w:num>
  <w:num w:numId="28" w16cid:durableId="1424303367">
    <w:abstractNumId w:val="20"/>
  </w:num>
  <w:num w:numId="29" w16cid:durableId="1356276075">
    <w:abstractNumId w:val="31"/>
  </w:num>
  <w:num w:numId="30" w16cid:durableId="675888930">
    <w:abstractNumId w:val="19"/>
  </w:num>
  <w:num w:numId="31" w16cid:durableId="621880549">
    <w:abstractNumId w:val="4"/>
  </w:num>
  <w:num w:numId="32" w16cid:durableId="1098020313">
    <w:abstractNumId w:val="28"/>
  </w:num>
  <w:num w:numId="33" w16cid:durableId="427166824">
    <w:abstractNumId w:val="7"/>
  </w:num>
  <w:num w:numId="34" w16cid:durableId="2142455190">
    <w:abstractNumId w:val="15"/>
  </w:num>
  <w:num w:numId="35" w16cid:durableId="1948737487">
    <w:abstractNumId w:val="26"/>
  </w:num>
  <w:num w:numId="36" w16cid:durableId="451021168">
    <w:abstractNumId w:val="1"/>
  </w:num>
  <w:num w:numId="37" w16cid:durableId="1674525439">
    <w:abstractNumId w:val="14"/>
  </w:num>
  <w:num w:numId="38" w16cid:durableId="18610434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E7"/>
    <w:rsid w:val="0001608A"/>
    <w:rsid w:val="00050402"/>
    <w:rsid w:val="00093A8C"/>
    <w:rsid w:val="0011114B"/>
    <w:rsid w:val="00130DE9"/>
    <w:rsid w:val="001452FA"/>
    <w:rsid w:val="00165726"/>
    <w:rsid w:val="001A3619"/>
    <w:rsid w:val="001E744F"/>
    <w:rsid w:val="0025467B"/>
    <w:rsid w:val="00256666"/>
    <w:rsid w:val="00281123"/>
    <w:rsid w:val="002E60D7"/>
    <w:rsid w:val="003918EC"/>
    <w:rsid w:val="003C5FE3"/>
    <w:rsid w:val="003E57E1"/>
    <w:rsid w:val="00414DDA"/>
    <w:rsid w:val="00440619"/>
    <w:rsid w:val="004A28F6"/>
    <w:rsid w:val="004E4005"/>
    <w:rsid w:val="00521CF5"/>
    <w:rsid w:val="005327E9"/>
    <w:rsid w:val="005A0AAA"/>
    <w:rsid w:val="005E3A1B"/>
    <w:rsid w:val="005F0F34"/>
    <w:rsid w:val="0061664E"/>
    <w:rsid w:val="006418EC"/>
    <w:rsid w:val="006561FD"/>
    <w:rsid w:val="006B1319"/>
    <w:rsid w:val="00706F7D"/>
    <w:rsid w:val="00757FF5"/>
    <w:rsid w:val="00812D71"/>
    <w:rsid w:val="00817986"/>
    <w:rsid w:val="00850A08"/>
    <w:rsid w:val="0088126E"/>
    <w:rsid w:val="008A3C47"/>
    <w:rsid w:val="008C4815"/>
    <w:rsid w:val="008C7C2E"/>
    <w:rsid w:val="00945E7D"/>
    <w:rsid w:val="00947605"/>
    <w:rsid w:val="00963E9E"/>
    <w:rsid w:val="00981F41"/>
    <w:rsid w:val="009910B0"/>
    <w:rsid w:val="0099497A"/>
    <w:rsid w:val="009A6308"/>
    <w:rsid w:val="009E6A2E"/>
    <w:rsid w:val="00A54D5E"/>
    <w:rsid w:val="00A626D2"/>
    <w:rsid w:val="00A80C89"/>
    <w:rsid w:val="00B47653"/>
    <w:rsid w:val="00B75750"/>
    <w:rsid w:val="00B84B17"/>
    <w:rsid w:val="00B909AC"/>
    <w:rsid w:val="00B92DE7"/>
    <w:rsid w:val="00BC37C0"/>
    <w:rsid w:val="00BE5C45"/>
    <w:rsid w:val="00BE7DB6"/>
    <w:rsid w:val="00BF603D"/>
    <w:rsid w:val="00BF7E87"/>
    <w:rsid w:val="00C214D4"/>
    <w:rsid w:val="00C4604C"/>
    <w:rsid w:val="00CB0ADE"/>
    <w:rsid w:val="00CC2D77"/>
    <w:rsid w:val="00D71C13"/>
    <w:rsid w:val="00DC06A6"/>
    <w:rsid w:val="00DF49A6"/>
    <w:rsid w:val="00E04A2F"/>
    <w:rsid w:val="00E17FAA"/>
    <w:rsid w:val="00E22C5F"/>
    <w:rsid w:val="00E334C1"/>
    <w:rsid w:val="00E81FA7"/>
    <w:rsid w:val="00EB13B3"/>
    <w:rsid w:val="00EE27E6"/>
    <w:rsid w:val="00F22F4C"/>
    <w:rsid w:val="00F25191"/>
    <w:rsid w:val="00F77205"/>
    <w:rsid w:val="00F8307F"/>
    <w:rsid w:val="00F93706"/>
    <w:rsid w:val="00FD55DA"/>
    <w:rsid w:val="00FD56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E7EE"/>
  <w15:chartTrackingRefBased/>
  <w15:docId w15:val="{8BD23C87-24D7-40A8-B92F-6FA9B82C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2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2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2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2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DE7"/>
    <w:rPr>
      <w:rFonts w:eastAsiaTheme="majorEastAsia" w:cstheme="majorBidi"/>
      <w:color w:val="272727" w:themeColor="text1" w:themeTint="D8"/>
    </w:rPr>
  </w:style>
  <w:style w:type="paragraph" w:styleId="Title">
    <w:name w:val="Title"/>
    <w:basedOn w:val="Normal"/>
    <w:next w:val="Normal"/>
    <w:link w:val="TitleChar"/>
    <w:uiPriority w:val="10"/>
    <w:qFormat/>
    <w:rsid w:val="00B92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DE7"/>
    <w:pPr>
      <w:spacing w:before="160"/>
      <w:jc w:val="center"/>
    </w:pPr>
    <w:rPr>
      <w:i/>
      <w:iCs/>
      <w:color w:val="404040" w:themeColor="text1" w:themeTint="BF"/>
    </w:rPr>
  </w:style>
  <w:style w:type="character" w:customStyle="1" w:styleId="QuoteChar">
    <w:name w:val="Quote Char"/>
    <w:basedOn w:val="DefaultParagraphFont"/>
    <w:link w:val="Quote"/>
    <w:uiPriority w:val="29"/>
    <w:rsid w:val="00B92DE7"/>
    <w:rPr>
      <w:i/>
      <w:iCs/>
      <w:color w:val="404040" w:themeColor="text1" w:themeTint="BF"/>
    </w:rPr>
  </w:style>
  <w:style w:type="paragraph" w:styleId="ListParagraph">
    <w:name w:val="List Paragraph"/>
    <w:basedOn w:val="Normal"/>
    <w:uiPriority w:val="34"/>
    <w:qFormat/>
    <w:rsid w:val="00B92DE7"/>
    <w:pPr>
      <w:ind w:left="720"/>
      <w:contextualSpacing/>
    </w:pPr>
  </w:style>
  <w:style w:type="character" w:styleId="IntenseEmphasis">
    <w:name w:val="Intense Emphasis"/>
    <w:basedOn w:val="DefaultParagraphFont"/>
    <w:uiPriority w:val="21"/>
    <w:qFormat/>
    <w:rsid w:val="00B92DE7"/>
    <w:rPr>
      <w:i/>
      <w:iCs/>
      <w:color w:val="0F4761" w:themeColor="accent1" w:themeShade="BF"/>
    </w:rPr>
  </w:style>
  <w:style w:type="paragraph" w:styleId="IntenseQuote">
    <w:name w:val="Intense Quote"/>
    <w:basedOn w:val="Normal"/>
    <w:next w:val="Normal"/>
    <w:link w:val="IntenseQuoteChar"/>
    <w:uiPriority w:val="30"/>
    <w:qFormat/>
    <w:rsid w:val="00B92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DE7"/>
    <w:rPr>
      <w:i/>
      <w:iCs/>
      <w:color w:val="0F4761" w:themeColor="accent1" w:themeShade="BF"/>
    </w:rPr>
  </w:style>
  <w:style w:type="character" w:styleId="IntenseReference">
    <w:name w:val="Intense Reference"/>
    <w:basedOn w:val="DefaultParagraphFont"/>
    <w:uiPriority w:val="32"/>
    <w:qFormat/>
    <w:rsid w:val="00B92DE7"/>
    <w:rPr>
      <w:b/>
      <w:bCs/>
      <w:smallCaps/>
      <w:color w:val="0F4761" w:themeColor="accent1" w:themeShade="BF"/>
      <w:spacing w:val="5"/>
    </w:rPr>
  </w:style>
  <w:style w:type="table" w:styleId="TableGrid">
    <w:name w:val="Table Grid"/>
    <w:basedOn w:val="TableNormal"/>
    <w:uiPriority w:val="39"/>
    <w:rsid w:val="00BE7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06F7D"/>
    <w:rPr>
      <w:color w:val="666666"/>
    </w:rPr>
  </w:style>
  <w:style w:type="paragraph" w:styleId="Caption">
    <w:name w:val="caption"/>
    <w:basedOn w:val="Normal"/>
    <w:next w:val="Normal"/>
    <w:uiPriority w:val="35"/>
    <w:unhideWhenUsed/>
    <w:qFormat/>
    <w:rsid w:val="00850A0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229">
      <w:bodyDiv w:val="1"/>
      <w:marLeft w:val="0"/>
      <w:marRight w:val="0"/>
      <w:marTop w:val="0"/>
      <w:marBottom w:val="0"/>
      <w:divBdr>
        <w:top w:val="none" w:sz="0" w:space="0" w:color="auto"/>
        <w:left w:val="none" w:sz="0" w:space="0" w:color="auto"/>
        <w:bottom w:val="none" w:sz="0" w:space="0" w:color="auto"/>
        <w:right w:val="none" w:sz="0" w:space="0" w:color="auto"/>
      </w:divBdr>
      <w:divsChild>
        <w:div w:id="437678366">
          <w:marLeft w:val="0"/>
          <w:marRight w:val="0"/>
          <w:marTop w:val="0"/>
          <w:marBottom w:val="0"/>
          <w:divBdr>
            <w:top w:val="none" w:sz="0" w:space="0" w:color="auto"/>
            <w:left w:val="none" w:sz="0" w:space="0" w:color="auto"/>
            <w:bottom w:val="none" w:sz="0" w:space="0" w:color="auto"/>
            <w:right w:val="none" w:sz="0" w:space="0" w:color="auto"/>
          </w:divBdr>
        </w:div>
        <w:div w:id="1181552404">
          <w:marLeft w:val="0"/>
          <w:marRight w:val="0"/>
          <w:marTop w:val="0"/>
          <w:marBottom w:val="0"/>
          <w:divBdr>
            <w:top w:val="none" w:sz="0" w:space="0" w:color="auto"/>
            <w:left w:val="none" w:sz="0" w:space="0" w:color="auto"/>
            <w:bottom w:val="none" w:sz="0" w:space="0" w:color="auto"/>
            <w:right w:val="none" w:sz="0" w:space="0" w:color="auto"/>
          </w:divBdr>
        </w:div>
        <w:div w:id="135882462">
          <w:marLeft w:val="0"/>
          <w:marRight w:val="0"/>
          <w:marTop w:val="0"/>
          <w:marBottom w:val="0"/>
          <w:divBdr>
            <w:top w:val="none" w:sz="0" w:space="0" w:color="auto"/>
            <w:left w:val="none" w:sz="0" w:space="0" w:color="auto"/>
            <w:bottom w:val="none" w:sz="0" w:space="0" w:color="auto"/>
            <w:right w:val="none" w:sz="0" w:space="0" w:color="auto"/>
          </w:divBdr>
        </w:div>
      </w:divsChild>
    </w:div>
    <w:div w:id="120147368">
      <w:bodyDiv w:val="1"/>
      <w:marLeft w:val="0"/>
      <w:marRight w:val="0"/>
      <w:marTop w:val="0"/>
      <w:marBottom w:val="0"/>
      <w:divBdr>
        <w:top w:val="none" w:sz="0" w:space="0" w:color="auto"/>
        <w:left w:val="none" w:sz="0" w:space="0" w:color="auto"/>
        <w:bottom w:val="none" w:sz="0" w:space="0" w:color="auto"/>
        <w:right w:val="none" w:sz="0" w:space="0" w:color="auto"/>
      </w:divBdr>
      <w:divsChild>
        <w:div w:id="1707485010">
          <w:marLeft w:val="0"/>
          <w:marRight w:val="0"/>
          <w:marTop w:val="0"/>
          <w:marBottom w:val="0"/>
          <w:divBdr>
            <w:top w:val="none" w:sz="0" w:space="0" w:color="auto"/>
            <w:left w:val="none" w:sz="0" w:space="0" w:color="auto"/>
            <w:bottom w:val="none" w:sz="0" w:space="0" w:color="auto"/>
            <w:right w:val="none" w:sz="0" w:space="0" w:color="auto"/>
          </w:divBdr>
        </w:div>
        <w:div w:id="72823368">
          <w:marLeft w:val="0"/>
          <w:marRight w:val="0"/>
          <w:marTop w:val="0"/>
          <w:marBottom w:val="0"/>
          <w:divBdr>
            <w:top w:val="none" w:sz="0" w:space="0" w:color="auto"/>
            <w:left w:val="none" w:sz="0" w:space="0" w:color="auto"/>
            <w:bottom w:val="none" w:sz="0" w:space="0" w:color="auto"/>
            <w:right w:val="none" w:sz="0" w:space="0" w:color="auto"/>
          </w:divBdr>
        </w:div>
      </w:divsChild>
    </w:div>
    <w:div w:id="167641857">
      <w:bodyDiv w:val="1"/>
      <w:marLeft w:val="0"/>
      <w:marRight w:val="0"/>
      <w:marTop w:val="0"/>
      <w:marBottom w:val="0"/>
      <w:divBdr>
        <w:top w:val="none" w:sz="0" w:space="0" w:color="auto"/>
        <w:left w:val="none" w:sz="0" w:space="0" w:color="auto"/>
        <w:bottom w:val="none" w:sz="0" w:space="0" w:color="auto"/>
        <w:right w:val="none" w:sz="0" w:space="0" w:color="auto"/>
      </w:divBdr>
      <w:divsChild>
        <w:div w:id="1968923509">
          <w:marLeft w:val="0"/>
          <w:marRight w:val="0"/>
          <w:marTop w:val="0"/>
          <w:marBottom w:val="0"/>
          <w:divBdr>
            <w:top w:val="none" w:sz="0" w:space="0" w:color="auto"/>
            <w:left w:val="none" w:sz="0" w:space="0" w:color="auto"/>
            <w:bottom w:val="none" w:sz="0" w:space="0" w:color="auto"/>
            <w:right w:val="none" w:sz="0" w:space="0" w:color="auto"/>
          </w:divBdr>
          <w:divsChild>
            <w:div w:id="2134060682">
              <w:marLeft w:val="0"/>
              <w:marRight w:val="0"/>
              <w:marTop w:val="0"/>
              <w:marBottom w:val="0"/>
              <w:divBdr>
                <w:top w:val="none" w:sz="0" w:space="0" w:color="auto"/>
                <w:left w:val="none" w:sz="0" w:space="0" w:color="auto"/>
                <w:bottom w:val="none" w:sz="0" w:space="0" w:color="auto"/>
                <w:right w:val="none" w:sz="0" w:space="0" w:color="auto"/>
              </w:divBdr>
            </w:div>
            <w:div w:id="814185132">
              <w:marLeft w:val="0"/>
              <w:marRight w:val="0"/>
              <w:marTop w:val="0"/>
              <w:marBottom w:val="0"/>
              <w:divBdr>
                <w:top w:val="none" w:sz="0" w:space="0" w:color="auto"/>
                <w:left w:val="none" w:sz="0" w:space="0" w:color="auto"/>
                <w:bottom w:val="none" w:sz="0" w:space="0" w:color="auto"/>
                <w:right w:val="none" w:sz="0" w:space="0" w:color="auto"/>
              </w:divBdr>
            </w:div>
            <w:div w:id="418798559">
              <w:marLeft w:val="0"/>
              <w:marRight w:val="0"/>
              <w:marTop w:val="0"/>
              <w:marBottom w:val="0"/>
              <w:divBdr>
                <w:top w:val="none" w:sz="0" w:space="0" w:color="auto"/>
                <w:left w:val="none" w:sz="0" w:space="0" w:color="auto"/>
                <w:bottom w:val="none" w:sz="0" w:space="0" w:color="auto"/>
                <w:right w:val="none" w:sz="0" w:space="0" w:color="auto"/>
              </w:divBdr>
            </w:div>
            <w:div w:id="638459471">
              <w:marLeft w:val="0"/>
              <w:marRight w:val="0"/>
              <w:marTop w:val="0"/>
              <w:marBottom w:val="0"/>
              <w:divBdr>
                <w:top w:val="none" w:sz="0" w:space="0" w:color="auto"/>
                <w:left w:val="none" w:sz="0" w:space="0" w:color="auto"/>
                <w:bottom w:val="none" w:sz="0" w:space="0" w:color="auto"/>
                <w:right w:val="none" w:sz="0" w:space="0" w:color="auto"/>
              </w:divBdr>
            </w:div>
            <w:div w:id="1356879382">
              <w:marLeft w:val="0"/>
              <w:marRight w:val="0"/>
              <w:marTop w:val="0"/>
              <w:marBottom w:val="0"/>
              <w:divBdr>
                <w:top w:val="none" w:sz="0" w:space="0" w:color="auto"/>
                <w:left w:val="none" w:sz="0" w:space="0" w:color="auto"/>
                <w:bottom w:val="none" w:sz="0" w:space="0" w:color="auto"/>
                <w:right w:val="none" w:sz="0" w:space="0" w:color="auto"/>
              </w:divBdr>
            </w:div>
            <w:div w:id="595794368">
              <w:marLeft w:val="0"/>
              <w:marRight w:val="0"/>
              <w:marTop w:val="0"/>
              <w:marBottom w:val="0"/>
              <w:divBdr>
                <w:top w:val="none" w:sz="0" w:space="0" w:color="auto"/>
                <w:left w:val="none" w:sz="0" w:space="0" w:color="auto"/>
                <w:bottom w:val="none" w:sz="0" w:space="0" w:color="auto"/>
                <w:right w:val="none" w:sz="0" w:space="0" w:color="auto"/>
              </w:divBdr>
            </w:div>
          </w:divsChild>
        </w:div>
        <w:div w:id="439691559">
          <w:marLeft w:val="0"/>
          <w:marRight w:val="0"/>
          <w:marTop w:val="0"/>
          <w:marBottom w:val="0"/>
          <w:divBdr>
            <w:top w:val="none" w:sz="0" w:space="0" w:color="auto"/>
            <w:left w:val="none" w:sz="0" w:space="0" w:color="auto"/>
            <w:bottom w:val="none" w:sz="0" w:space="0" w:color="auto"/>
            <w:right w:val="none" w:sz="0" w:space="0" w:color="auto"/>
          </w:divBdr>
        </w:div>
        <w:div w:id="1672219042">
          <w:marLeft w:val="0"/>
          <w:marRight w:val="0"/>
          <w:marTop w:val="0"/>
          <w:marBottom w:val="0"/>
          <w:divBdr>
            <w:top w:val="none" w:sz="0" w:space="0" w:color="auto"/>
            <w:left w:val="none" w:sz="0" w:space="0" w:color="auto"/>
            <w:bottom w:val="none" w:sz="0" w:space="0" w:color="auto"/>
            <w:right w:val="none" w:sz="0" w:space="0" w:color="auto"/>
          </w:divBdr>
        </w:div>
        <w:div w:id="353848149">
          <w:marLeft w:val="0"/>
          <w:marRight w:val="0"/>
          <w:marTop w:val="0"/>
          <w:marBottom w:val="0"/>
          <w:divBdr>
            <w:top w:val="none" w:sz="0" w:space="0" w:color="auto"/>
            <w:left w:val="none" w:sz="0" w:space="0" w:color="auto"/>
            <w:bottom w:val="none" w:sz="0" w:space="0" w:color="auto"/>
            <w:right w:val="none" w:sz="0" w:space="0" w:color="auto"/>
          </w:divBdr>
        </w:div>
        <w:div w:id="609975751">
          <w:marLeft w:val="0"/>
          <w:marRight w:val="0"/>
          <w:marTop w:val="0"/>
          <w:marBottom w:val="0"/>
          <w:divBdr>
            <w:top w:val="none" w:sz="0" w:space="0" w:color="auto"/>
            <w:left w:val="none" w:sz="0" w:space="0" w:color="auto"/>
            <w:bottom w:val="none" w:sz="0" w:space="0" w:color="auto"/>
            <w:right w:val="none" w:sz="0" w:space="0" w:color="auto"/>
          </w:divBdr>
        </w:div>
        <w:div w:id="1868328832">
          <w:marLeft w:val="0"/>
          <w:marRight w:val="0"/>
          <w:marTop w:val="0"/>
          <w:marBottom w:val="0"/>
          <w:divBdr>
            <w:top w:val="none" w:sz="0" w:space="0" w:color="auto"/>
            <w:left w:val="none" w:sz="0" w:space="0" w:color="auto"/>
            <w:bottom w:val="none" w:sz="0" w:space="0" w:color="auto"/>
            <w:right w:val="none" w:sz="0" w:space="0" w:color="auto"/>
          </w:divBdr>
        </w:div>
        <w:div w:id="1005667423">
          <w:marLeft w:val="0"/>
          <w:marRight w:val="0"/>
          <w:marTop w:val="0"/>
          <w:marBottom w:val="0"/>
          <w:divBdr>
            <w:top w:val="none" w:sz="0" w:space="0" w:color="auto"/>
            <w:left w:val="none" w:sz="0" w:space="0" w:color="auto"/>
            <w:bottom w:val="none" w:sz="0" w:space="0" w:color="auto"/>
            <w:right w:val="none" w:sz="0" w:space="0" w:color="auto"/>
          </w:divBdr>
        </w:div>
        <w:div w:id="335812176">
          <w:marLeft w:val="0"/>
          <w:marRight w:val="0"/>
          <w:marTop w:val="0"/>
          <w:marBottom w:val="0"/>
          <w:divBdr>
            <w:top w:val="none" w:sz="0" w:space="0" w:color="auto"/>
            <w:left w:val="none" w:sz="0" w:space="0" w:color="auto"/>
            <w:bottom w:val="none" w:sz="0" w:space="0" w:color="auto"/>
            <w:right w:val="none" w:sz="0" w:space="0" w:color="auto"/>
          </w:divBdr>
        </w:div>
        <w:div w:id="2095517409">
          <w:marLeft w:val="0"/>
          <w:marRight w:val="0"/>
          <w:marTop w:val="0"/>
          <w:marBottom w:val="0"/>
          <w:divBdr>
            <w:top w:val="none" w:sz="0" w:space="0" w:color="auto"/>
            <w:left w:val="none" w:sz="0" w:space="0" w:color="auto"/>
            <w:bottom w:val="none" w:sz="0" w:space="0" w:color="auto"/>
            <w:right w:val="none" w:sz="0" w:space="0" w:color="auto"/>
          </w:divBdr>
        </w:div>
        <w:div w:id="1588347262">
          <w:marLeft w:val="0"/>
          <w:marRight w:val="0"/>
          <w:marTop w:val="0"/>
          <w:marBottom w:val="0"/>
          <w:divBdr>
            <w:top w:val="none" w:sz="0" w:space="0" w:color="auto"/>
            <w:left w:val="none" w:sz="0" w:space="0" w:color="auto"/>
            <w:bottom w:val="none" w:sz="0" w:space="0" w:color="auto"/>
            <w:right w:val="none" w:sz="0" w:space="0" w:color="auto"/>
          </w:divBdr>
        </w:div>
        <w:div w:id="325937220">
          <w:marLeft w:val="0"/>
          <w:marRight w:val="0"/>
          <w:marTop w:val="0"/>
          <w:marBottom w:val="0"/>
          <w:divBdr>
            <w:top w:val="none" w:sz="0" w:space="0" w:color="auto"/>
            <w:left w:val="none" w:sz="0" w:space="0" w:color="auto"/>
            <w:bottom w:val="none" w:sz="0" w:space="0" w:color="auto"/>
            <w:right w:val="none" w:sz="0" w:space="0" w:color="auto"/>
          </w:divBdr>
        </w:div>
        <w:div w:id="521627438">
          <w:marLeft w:val="0"/>
          <w:marRight w:val="0"/>
          <w:marTop w:val="0"/>
          <w:marBottom w:val="0"/>
          <w:divBdr>
            <w:top w:val="none" w:sz="0" w:space="0" w:color="auto"/>
            <w:left w:val="none" w:sz="0" w:space="0" w:color="auto"/>
            <w:bottom w:val="none" w:sz="0" w:space="0" w:color="auto"/>
            <w:right w:val="none" w:sz="0" w:space="0" w:color="auto"/>
          </w:divBdr>
        </w:div>
        <w:div w:id="126241212">
          <w:marLeft w:val="0"/>
          <w:marRight w:val="0"/>
          <w:marTop w:val="0"/>
          <w:marBottom w:val="0"/>
          <w:divBdr>
            <w:top w:val="none" w:sz="0" w:space="0" w:color="auto"/>
            <w:left w:val="none" w:sz="0" w:space="0" w:color="auto"/>
            <w:bottom w:val="none" w:sz="0" w:space="0" w:color="auto"/>
            <w:right w:val="none" w:sz="0" w:space="0" w:color="auto"/>
          </w:divBdr>
        </w:div>
        <w:div w:id="1399476120">
          <w:marLeft w:val="0"/>
          <w:marRight w:val="0"/>
          <w:marTop w:val="0"/>
          <w:marBottom w:val="0"/>
          <w:divBdr>
            <w:top w:val="none" w:sz="0" w:space="0" w:color="auto"/>
            <w:left w:val="none" w:sz="0" w:space="0" w:color="auto"/>
            <w:bottom w:val="none" w:sz="0" w:space="0" w:color="auto"/>
            <w:right w:val="none" w:sz="0" w:space="0" w:color="auto"/>
          </w:divBdr>
        </w:div>
        <w:div w:id="261035781">
          <w:marLeft w:val="0"/>
          <w:marRight w:val="0"/>
          <w:marTop w:val="0"/>
          <w:marBottom w:val="0"/>
          <w:divBdr>
            <w:top w:val="none" w:sz="0" w:space="0" w:color="auto"/>
            <w:left w:val="none" w:sz="0" w:space="0" w:color="auto"/>
            <w:bottom w:val="none" w:sz="0" w:space="0" w:color="auto"/>
            <w:right w:val="none" w:sz="0" w:space="0" w:color="auto"/>
          </w:divBdr>
        </w:div>
        <w:div w:id="937443792">
          <w:marLeft w:val="0"/>
          <w:marRight w:val="0"/>
          <w:marTop w:val="0"/>
          <w:marBottom w:val="0"/>
          <w:divBdr>
            <w:top w:val="none" w:sz="0" w:space="0" w:color="auto"/>
            <w:left w:val="none" w:sz="0" w:space="0" w:color="auto"/>
            <w:bottom w:val="none" w:sz="0" w:space="0" w:color="auto"/>
            <w:right w:val="none" w:sz="0" w:space="0" w:color="auto"/>
          </w:divBdr>
        </w:div>
        <w:div w:id="1841121102">
          <w:marLeft w:val="0"/>
          <w:marRight w:val="0"/>
          <w:marTop w:val="0"/>
          <w:marBottom w:val="0"/>
          <w:divBdr>
            <w:top w:val="none" w:sz="0" w:space="0" w:color="auto"/>
            <w:left w:val="none" w:sz="0" w:space="0" w:color="auto"/>
            <w:bottom w:val="none" w:sz="0" w:space="0" w:color="auto"/>
            <w:right w:val="none" w:sz="0" w:space="0" w:color="auto"/>
          </w:divBdr>
        </w:div>
      </w:divsChild>
    </w:div>
    <w:div w:id="300428458">
      <w:bodyDiv w:val="1"/>
      <w:marLeft w:val="0"/>
      <w:marRight w:val="0"/>
      <w:marTop w:val="0"/>
      <w:marBottom w:val="0"/>
      <w:divBdr>
        <w:top w:val="none" w:sz="0" w:space="0" w:color="auto"/>
        <w:left w:val="none" w:sz="0" w:space="0" w:color="auto"/>
        <w:bottom w:val="none" w:sz="0" w:space="0" w:color="auto"/>
        <w:right w:val="none" w:sz="0" w:space="0" w:color="auto"/>
      </w:divBdr>
    </w:div>
    <w:div w:id="329453449">
      <w:bodyDiv w:val="1"/>
      <w:marLeft w:val="0"/>
      <w:marRight w:val="0"/>
      <w:marTop w:val="0"/>
      <w:marBottom w:val="0"/>
      <w:divBdr>
        <w:top w:val="none" w:sz="0" w:space="0" w:color="auto"/>
        <w:left w:val="none" w:sz="0" w:space="0" w:color="auto"/>
        <w:bottom w:val="none" w:sz="0" w:space="0" w:color="auto"/>
        <w:right w:val="none" w:sz="0" w:space="0" w:color="auto"/>
      </w:divBdr>
    </w:div>
    <w:div w:id="410395690">
      <w:bodyDiv w:val="1"/>
      <w:marLeft w:val="0"/>
      <w:marRight w:val="0"/>
      <w:marTop w:val="0"/>
      <w:marBottom w:val="0"/>
      <w:divBdr>
        <w:top w:val="none" w:sz="0" w:space="0" w:color="auto"/>
        <w:left w:val="none" w:sz="0" w:space="0" w:color="auto"/>
        <w:bottom w:val="none" w:sz="0" w:space="0" w:color="auto"/>
        <w:right w:val="none" w:sz="0" w:space="0" w:color="auto"/>
      </w:divBdr>
      <w:divsChild>
        <w:div w:id="1065179630">
          <w:marLeft w:val="0"/>
          <w:marRight w:val="0"/>
          <w:marTop w:val="0"/>
          <w:marBottom w:val="0"/>
          <w:divBdr>
            <w:top w:val="none" w:sz="0" w:space="0" w:color="auto"/>
            <w:left w:val="none" w:sz="0" w:space="0" w:color="auto"/>
            <w:bottom w:val="none" w:sz="0" w:space="0" w:color="auto"/>
            <w:right w:val="none" w:sz="0" w:space="0" w:color="auto"/>
          </w:divBdr>
        </w:div>
        <w:div w:id="1823887168">
          <w:marLeft w:val="0"/>
          <w:marRight w:val="0"/>
          <w:marTop w:val="0"/>
          <w:marBottom w:val="0"/>
          <w:divBdr>
            <w:top w:val="none" w:sz="0" w:space="0" w:color="auto"/>
            <w:left w:val="none" w:sz="0" w:space="0" w:color="auto"/>
            <w:bottom w:val="none" w:sz="0" w:space="0" w:color="auto"/>
            <w:right w:val="none" w:sz="0" w:space="0" w:color="auto"/>
          </w:divBdr>
        </w:div>
        <w:div w:id="1994597748">
          <w:marLeft w:val="0"/>
          <w:marRight w:val="0"/>
          <w:marTop w:val="0"/>
          <w:marBottom w:val="0"/>
          <w:divBdr>
            <w:top w:val="none" w:sz="0" w:space="0" w:color="auto"/>
            <w:left w:val="none" w:sz="0" w:space="0" w:color="auto"/>
            <w:bottom w:val="none" w:sz="0" w:space="0" w:color="auto"/>
            <w:right w:val="none" w:sz="0" w:space="0" w:color="auto"/>
          </w:divBdr>
        </w:div>
        <w:div w:id="1021054705">
          <w:marLeft w:val="0"/>
          <w:marRight w:val="0"/>
          <w:marTop w:val="0"/>
          <w:marBottom w:val="0"/>
          <w:divBdr>
            <w:top w:val="none" w:sz="0" w:space="0" w:color="auto"/>
            <w:left w:val="none" w:sz="0" w:space="0" w:color="auto"/>
            <w:bottom w:val="none" w:sz="0" w:space="0" w:color="auto"/>
            <w:right w:val="none" w:sz="0" w:space="0" w:color="auto"/>
          </w:divBdr>
        </w:div>
        <w:div w:id="2037995795">
          <w:marLeft w:val="0"/>
          <w:marRight w:val="0"/>
          <w:marTop w:val="0"/>
          <w:marBottom w:val="0"/>
          <w:divBdr>
            <w:top w:val="none" w:sz="0" w:space="0" w:color="auto"/>
            <w:left w:val="none" w:sz="0" w:space="0" w:color="auto"/>
            <w:bottom w:val="none" w:sz="0" w:space="0" w:color="auto"/>
            <w:right w:val="none" w:sz="0" w:space="0" w:color="auto"/>
          </w:divBdr>
        </w:div>
        <w:div w:id="1190949931">
          <w:marLeft w:val="0"/>
          <w:marRight w:val="0"/>
          <w:marTop w:val="0"/>
          <w:marBottom w:val="0"/>
          <w:divBdr>
            <w:top w:val="none" w:sz="0" w:space="0" w:color="auto"/>
            <w:left w:val="none" w:sz="0" w:space="0" w:color="auto"/>
            <w:bottom w:val="none" w:sz="0" w:space="0" w:color="auto"/>
            <w:right w:val="none" w:sz="0" w:space="0" w:color="auto"/>
          </w:divBdr>
        </w:div>
        <w:div w:id="1517764820">
          <w:marLeft w:val="0"/>
          <w:marRight w:val="0"/>
          <w:marTop w:val="0"/>
          <w:marBottom w:val="0"/>
          <w:divBdr>
            <w:top w:val="none" w:sz="0" w:space="0" w:color="auto"/>
            <w:left w:val="none" w:sz="0" w:space="0" w:color="auto"/>
            <w:bottom w:val="none" w:sz="0" w:space="0" w:color="auto"/>
            <w:right w:val="none" w:sz="0" w:space="0" w:color="auto"/>
          </w:divBdr>
        </w:div>
        <w:div w:id="1077171282">
          <w:marLeft w:val="0"/>
          <w:marRight w:val="0"/>
          <w:marTop w:val="0"/>
          <w:marBottom w:val="0"/>
          <w:divBdr>
            <w:top w:val="none" w:sz="0" w:space="0" w:color="auto"/>
            <w:left w:val="none" w:sz="0" w:space="0" w:color="auto"/>
            <w:bottom w:val="none" w:sz="0" w:space="0" w:color="auto"/>
            <w:right w:val="none" w:sz="0" w:space="0" w:color="auto"/>
          </w:divBdr>
        </w:div>
        <w:div w:id="1668248947">
          <w:marLeft w:val="0"/>
          <w:marRight w:val="0"/>
          <w:marTop w:val="0"/>
          <w:marBottom w:val="0"/>
          <w:divBdr>
            <w:top w:val="none" w:sz="0" w:space="0" w:color="auto"/>
            <w:left w:val="none" w:sz="0" w:space="0" w:color="auto"/>
            <w:bottom w:val="none" w:sz="0" w:space="0" w:color="auto"/>
            <w:right w:val="none" w:sz="0" w:space="0" w:color="auto"/>
          </w:divBdr>
        </w:div>
        <w:div w:id="1661930678">
          <w:marLeft w:val="0"/>
          <w:marRight w:val="0"/>
          <w:marTop w:val="0"/>
          <w:marBottom w:val="0"/>
          <w:divBdr>
            <w:top w:val="none" w:sz="0" w:space="0" w:color="auto"/>
            <w:left w:val="none" w:sz="0" w:space="0" w:color="auto"/>
            <w:bottom w:val="none" w:sz="0" w:space="0" w:color="auto"/>
            <w:right w:val="none" w:sz="0" w:space="0" w:color="auto"/>
          </w:divBdr>
        </w:div>
        <w:div w:id="1046956044">
          <w:marLeft w:val="0"/>
          <w:marRight w:val="0"/>
          <w:marTop w:val="0"/>
          <w:marBottom w:val="0"/>
          <w:divBdr>
            <w:top w:val="none" w:sz="0" w:space="0" w:color="auto"/>
            <w:left w:val="none" w:sz="0" w:space="0" w:color="auto"/>
            <w:bottom w:val="none" w:sz="0" w:space="0" w:color="auto"/>
            <w:right w:val="none" w:sz="0" w:space="0" w:color="auto"/>
          </w:divBdr>
        </w:div>
        <w:div w:id="519901131">
          <w:marLeft w:val="0"/>
          <w:marRight w:val="0"/>
          <w:marTop w:val="0"/>
          <w:marBottom w:val="0"/>
          <w:divBdr>
            <w:top w:val="none" w:sz="0" w:space="0" w:color="auto"/>
            <w:left w:val="none" w:sz="0" w:space="0" w:color="auto"/>
            <w:bottom w:val="none" w:sz="0" w:space="0" w:color="auto"/>
            <w:right w:val="none" w:sz="0" w:space="0" w:color="auto"/>
          </w:divBdr>
        </w:div>
        <w:div w:id="300962712">
          <w:marLeft w:val="0"/>
          <w:marRight w:val="0"/>
          <w:marTop w:val="0"/>
          <w:marBottom w:val="0"/>
          <w:divBdr>
            <w:top w:val="none" w:sz="0" w:space="0" w:color="auto"/>
            <w:left w:val="none" w:sz="0" w:space="0" w:color="auto"/>
            <w:bottom w:val="none" w:sz="0" w:space="0" w:color="auto"/>
            <w:right w:val="none" w:sz="0" w:space="0" w:color="auto"/>
          </w:divBdr>
        </w:div>
      </w:divsChild>
    </w:div>
    <w:div w:id="482503461">
      <w:bodyDiv w:val="1"/>
      <w:marLeft w:val="0"/>
      <w:marRight w:val="0"/>
      <w:marTop w:val="0"/>
      <w:marBottom w:val="0"/>
      <w:divBdr>
        <w:top w:val="none" w:sz="0" w:space="0" w:color="auto"/>
        <w:left w:val="none" w:sz="0" w:space="0" w:color="auto"/>
        <w:bottom w:val="none" w:sz="0" w:space="0" w:color="auto"/>
        <w:right w:val="none" w:sz="0" w:space="0" w:color="auto"/>
      </w:divBdr>
      <w:divsChild>
        <w:div w:id="1595086387">
          <w:marLeft w:val="0"/>
          <w:marRight w:val="0"/>
          <w:marTop w:val="0"/>
          <w:marBottom w:val="0"/>
          <w:divBdr>
            <w:top w:val="none" w:sz="0" w:space="0" w:color="auto"/>
            <w:left w:val="none" w:sz="0" w:space="0" w:color="auto"/>
            <w:bottom w:val="none" w:sz="0" w:space="0" w:color="auto"/>
            <w:right w:val="none" w:sz="0" w:space="0" w:color="auto"/>
          </w:divBdr>
        </w:div>
        <w:div w:id="913930880">
          <w:marLeft w:val="0"/>
          <w:marRight w:val="0"/>
          <w:marTop w:val="0"/>
          <w:marBottom w:val="0"/>
          <w:divBdr>
            <w:top w:val="none" w:sz="0" w:space="0" w:color="auto"/>
            <w:left w:val="none" w:sz="0" w:space="0" w:color="auto"/>
            <w:bottom w:val="none" w:sz="0" w:space="0" w:color="auto"/>
            <w:right w:val="none" w:sz="0" w:space="0" w:color="auto"/>
          </w:divBdr>
        </w:div>
      </w:divsChild>
    </w:div>
    <w:div w:id="593514080">
      <w:bodyDiv w:val="1"/>
      <w:marLeft w:val="0"/>
      <w:marRight w:val="0"/>
      <w:marTop w:val="0"/>
      <w:marBottom w:val="0"/>
      <w:divBdr>
        <w:top w:val="none" w:sz="0" w:space="0" w:color="auto"/>
        <w:left w:val="none" w:sz="0" w:space="0" w:color="auto"/>
        <w:bottom w:val="none" w:sz="0" w:space="0" w:color="auto"/>
        <w:right w:val="none" w:sz="0" w:space="0" w:color="auto"/>
      </w:divBdr>
      <w:divsChild>
        <w:div w:id="60838799">
          <w:marLeft w:val="0"/>
          <w:marRight w:val="0"/>
          <w:marTop w:val="0"/>
          <w:marBottom w:val="0"/>
          <w:divBdr>
            <w:top w:val="none" w:sz="0" w:space="0" w:color="auto"/>
            <w:left w:val="none" w:sz="0" w:space="0" w:color="auto"/>
            <w:bottom w:val="none" w:sz="0" w:space="0" w:color="auto"/>
            <w:right w:val="none" w:sz="0" w:space="0" w:color="auto"/>
          </w:divBdr>
        </w:div>
        <w:div w:id="731200584">
          <w:marLeft w:val="0"/>
          <w:marRight w:val="0"/>
          <w:marTop w:val="0"/>
          <w:marBottom w:val="0"/>
          <w:divBdr>
            <w:top w:val="none" w:sz="0" w:space="0" w:color="auto"/>
            <w:left w:val="none" w:sz="0" w:space="0" w:color="auto"/>
            <w:bottom w:val="none" w:sz="0" w:space="0" w:color="auto"/>
            <w:right w:val="none" w:sz="0" w:space="0" w:color="auto"/>
          </w:divBdr>
        </w:div>
      </w:divsChild>
    </w:div>
    <w:div w:id="797378498">
      <w:bodyDiv w:val="1"/>
      <w:marLeft w:val="0"/>
      <w:marRight w:val="0"/>
      <w:marTop w:val="0"/>
      <w:marBottom w:val="0"/>
      <w:divBdr>
        <w:top w:val="none" w:sz="0" w:space="0" w:color="auto"/>
        <w:left w:val="none" w:sz="0" w:space="0" w:color="auto"/>
        <w:bottom w:val="none" w:sz="0" w:space="0" w:color="auto"/>
        <w:right w:val="none" w:sz="0" w:space="0" w:color="auto"/>
      </w:divBdr>
      <w:divsChild>
        <w:div w:id="1825198162">
          <w:marLeft w:val="0"/>
          <w:marRight w:val="0"/>
          <w:marTop w:val="0"/>
          <w:marBottom w:val="0"/>
          <w:divBdr>
            <w:top w:val="none" w:sz="0" w:space="0" w:color="auto"/>
            <w:left w:val="none" w:sz="0" w:space="0" w:color="auto"/>
            <w:bottom w:val="none" w:sz="0" w:space="0" w:color="auto"/>
            <w:right w:val="none" w:sz="0" w:space="0" w:color="auto"/>
          </w:divBdr>
        </w:div>
        <w:div w:id="1780490310">
          <w:marLeft w:val="0"/>
          <w:marRight w:val="0"/>
          <w:marTop w:val="0"/>
          <w:marBottom w:val="0"/>
          <w:divBdr>
            <w:top w:val="none" w:sz="0" w:space="0" w:color="auto"/>
            <w:left w:val="none" w:sz="0" w:space="0" w:color="auto"/>
            <w:bottom w:val="none" w:sz="0" w:space="0" w:color="auto"/>
            <w:right w:val="none" w:sz="0" w:space="0" w:color="auto"/>
          </w:divBdr>
        </w:div>
      </w:divsChild>
    </w:div>
    <w:div w:id="939679276">
      <w:bodyDiv w:val="1"/>
      <w:marLeft w:val="0"/>
      <w:marRight w:val="0"/>
      <w:marTop w:val="0"/>
      <w:marBottom w:val="0"/>
      <w:divBdr>
        <w:top w:val="none" w:sz="0" w:space="0" w:color="auto"/>
        <w:left w:val="none" w:sz="0" w:space="0" w:color="auto"/>
        <w:bottom w:val="none" w:sz="0" w:space="0" w:color="auto"/>
        <w:right w:val="none" w:sz="0" w:space="0" w:color="auto"/>
      </w:divBdr>
      <w:divsChild>
        <w:div w:id="609051877">
          <w:marLeft w:val="0"/>
          <w:marRight w:val="0"/>
          <w:marTop w:val="0"/>
          <w:marBottom w:val="0"/>
          <w:divBdr>
            <w:top w:val="none" w:sz="0" w:space="0" w:color="auto"/>
            <w:left w:val="none" w:sz="0" w:space="0" w:color="auto"/>
            <w:bottom w:val="none" w:sz="0" w:space="0" w:color="auto"/>
            <w:right w:val="none" w:sz="0" w:space="0" w:color="auto"/>
          </w:divBdr>
        </w:div>
        <w:div w:id="1793665205">
          <w:marLeft w:val="0"/>
          <w:marRight w:val="0"/>
          <w:marTop w:val="0"/>
          <w:marBottom w:val="0"/>
          <w:divBdr>
            <w:top w:val="none" w:sz="0" w:space="0" w:color="auto"/>
            <w:left w:val="none" w:sz="0" w:space="0" w:color="auto"/>
            <w:bottom w:val="none" w:sz="0" w:space="0" w:color="auto"/>
            <w:right w:val="none" w:sz="0" w:space="0" w:color="auto"/>
          </w:divBdr>
        </w:div>
        <w:div w:id="1975060493">
          <w:marLeft w:val="0"/>
          <w:marRight w:val="0"/>
          <w:marTop w:val="0"/>
          <w:marBottom w:val="0"/>
          <w:divBdr>
            <w:top w:val="none" w:sz="0" w:space="0" w:color="auto"/>
            <w:left w:val="none" w:sz="0" w:space="0" w:color="auto"/>
            <w:bottom w:val="none" w:sz="0" w:space="0" w:color="auto"/>
            <w:right w:val="none" w:sz="0" w:space="0" w:color="auto"/>
          </w:divBdr>
        </w:div>
        <w:div w:id="408424796">
          <w:marLeft w:val="0"/>
          <w:marRight w:val="0"/>
          <w:marTop w:val="0"/>
          <w:marBottom w:val="0"/>
          <w:divBdr>
            <w:top w:val="none" w:sz="0" w:space="0" w:color="auto"/>
            <w:left w:val="none" w:sz="0" w:space="0" w:color="auto"/>
            <w:bottom w:val="none" w:sz="0" w:space="0" w:color="auto"/>
            <w:right w:val="none" w:sz="0" w:space="0" w:color="auto"/>
          </w:divBdr>
        </w:div>
        <w:div w:id="461268920">
          <w:marLeft w:val="0"/>
          <w:marRight w:val="0"/>
          <w:marTop w:val="0"/>
          <w:marBottom w:val="0"/>
          <w:divBdr>
            <w:top w:val="none" w:sz="0" w:space="0" w:color="auto"/>
            <w:left w:val="none" w:sz="0" w:space="0" w:color="auto"/>
            <w:bottom w:val="none" w:sz="0" w:space="0" w:color="auto"/>
            <w:right w:val="none" w:sz="0" w:space="0" w:color="auto"/>
          </w:divBdr>
        </w:div>
        <w:div w:id="1947956253">
          <w:marLeft w:val="0"/>
          <w:marRight w:val="0"/>
          <w:marTop w:val="0"/>
          <w:marBottom w:val="0"/>
          <w:divBdr>
            <w:top w:val="none" w:sz="0" w:space="0" w:color="auto"/>
            <w:left w:val="none" w:sz="0" w:space="0" w:color="auto"/>
            <w:bottom w:val="none" w:sz="0" w:space="0" w:color="auto"/>
            <w:right w:val="none" w:sz="0" w:space="0" w:color="auto"/>
          </w:divBdr>
        </w:div>
        <w:div w:id="2901807">
          <w:marLeft w:val="0"/>
          <w:marRight w:val="0"/>
          <w:marTop w:val="0"/>
          <w:marBottom w:val="0"/>
          <w:divBdr>
            <w:top w:val="none" w:sz="0" w:space="0" w:color="auto"/>
            <w:left w:val="none" w:sz="0" w:space="0" w:color="auto"/>
            <w:bottom w:val="none" w:sz="0" w:space="0" w:color="auto"/>
            <w:right w:val="none" w:sz="0" w:space="0" w:color="auto"/>
          </w:divBdr>
        </w:div>
        <w:div w:id="252325680">
          <w:marLeft w:val="0"/>
          <w:marRight w:val="0"/>
          <w:marTop w:val="0"/>
          <w:marBottom w:val="0"/>
          <w:divBdr>
            <w:top w:val="none" w:sz="0" w:space="0" w:color="auto"/>
            <w:left w:val="none" w:sz="0" w:space="0" w:color="auto"/>
            <w:bottom w:val="none" w:sz="0" w:space="0" w:color="auto"/>
            <w:right w:val="none" w:sz="0" w:space="0" w:color="auto"/>
          </w:divBdr>
        </w:div>
        <w:div w:id="102456832">
          <w:marLeft w:val="0"/>
          <w:marRight w:val="0"/>
          <w:marTop w:val="0"/>
          <w:marBottom w:val="0"/>
          <w:divBdr>
            <w:top w:val="none" w:sz="0" w:space="0" w:color="auto"/>
            <w:left w:val="none" w:sz="0" w:space="0" w:color="auto"/>
            <w:bottom w:val="none" w:sz="0" w:space="0" w:color="auto"/>
            <w:right w:val="none" w:sz="0" w:space="0" w:color="auto"/>
          </w:divBdr>
        </w:div>
        <w:div w:id="1023093455">
          <w:marLeft w:val="0"/>
          <w:marRight w:val="0"/>
          <w:marTop w:val="0"/>
          <w:marBottom w:val="0"/>
          <w:divBdr>
            <w:top w:val="none" w:sz="0" w:space="0" w:color="auto"/>
            <w:left w:val="none" w:sz="0" w:space="0" w:color="auto"/>
            <w:bottom w:val="none" w:sz="0" w:space="0" w:color="auto"/>
            <w:right w:val="none" w:sz="0" w:space="0" w:color="auto"/>
          </w:divBdr>
        </w:div>
        <w:div w:id="1381398345">
          <w:marLeft w:val="0"/>
          <w:marRight w:val="0"/>
          <w:marTop w:val="0"/>
          <w:marBottom w:val="0"/>
          <w:divBdr>
            <w:top w:val="none" w:sz="0" w:space="0" w:color="auto"/>
            <w:left w:val="none" w:sz="0" w:space="0" w:color="auto"/>
            <w:bottom w:val="none" w:sz="0" w:space="0" w:color="auto"/>
            <w:right w:val="none" w:sz="0" w:space="0" w:color="auto"/>
          </w:divBdr>
        </w:div>
        <w:div w:id="1316453455">
          <w:marLeft w:val="0"/>
          <w:marRight w:val="0"/>
          <w:marTop w:val="0"/>
          <w:marBottom w:val="0"/>
          <w:divBdr>
            <w:top w:val="none" w:sz="0" w:space="0" w:color="auto"/>
            <w:left w:val="none" w:sz="0" w:space="0" w:color="auto"/>
            <w:bottom w:val="none" w:sz="0" w:space="0" w:color="auto"/>
            <w:right w:val="none" w:sz="0" w:space="0" w:color="auto"/>
          </w:divBdr>
        </w:div>
        <w:div w:id="139924179">
          <w:marLeft w:val="0"/>
          <w:marRight w:val="0"/>
          <w:marTop w:val="0"/>
          <w:marBottom w:val="0"/>
          <w:divBdr>
            <w:top w:val="none" w:sz="0" w:space="0" w:color="auto"/>
            <w:left w:val="none" w:sz="0" w:space="0" w:color="auto"/>
            <w:bottom w:val="none" w:sz="0" w:space="0" w:color="auto"/>
            <w:right w:val="none" w:sz="0" w:space="0" w:color="auto"/>
          </w:divBdr>
        </w:div>
      </w:divsChild>
    </w:div>
    <w:div w:id="967277124">
      <w:bodyDiv w:val="1"/>
      <w:marLeft w:val="0"/>
      <w:marRight w:val="0"/>
      <w:marTop w:val="0"/>
      <w:marBottom w:val="0"/>
      <w:divBdr>
        <w:top w:val="none" w:sz="0" w:space="0" w:color="auto"/>
        <w:left w:val="none" w:sz="0" w:space="0" w:color="auto"/>
        <w:bottom w:val="none" w:sz="0" w:space="0" w:color="auto"/>
        <w:right w:val="none" w:sz="0" w:space="0" w:color="auto"/>
      </w:divBdr>
      <w:divsChild>
        <w:div w:id="319428909">
          <w:marLeft w:val="0"/>
          <w:marRight w:val="0"/>
          <w:marTop w:val="0"/>
          <w:marBottom w:val="0"/>
          <w:divBdr>
            <w:top w:val="none" w:sz="0" w:space="0" w:color="auto"/>
            <w:left w:val="none" w:sz="0" w:space="0" w:color="auto"/>
            <w:bottom w:val="none" w:sz="0" w:space="0" w:color="auto"/>
            <w:right w:val="none" w:sz="0" w:space="0" w:color="auto"/>
          </w:divBdr>
        </w:div>
        <w:div w:id="1784690159">
          <w:marLeft w:val="0"/>
          <w:marRight w:val="0"/>
          <w:marTop w:val="0"/>
          <w:marBottom w:val="0"/>
          <w:divBdr>
            <w:top w:val="none" w:sz="0" w:space="0" w:color="auto"/>
            <w:left w:val="none" w:sz="0" w:space="0" w:color="auto"/>
            <w:bottom w:val="none" w:sz="0" w:space="0" w:color="auto"/>
            <w:right w:val="none" w:sz="0" w:space="0" w:color="auto"/>
          </w:divBdr>
        </w:div>
      </w:divsChild>
    </w:div>
    <w:div w:id="981885773">
      <w:bodyDiv w:val="1"/>
      <w:marLeft w:val="0"/>
      <w:marRight w:val="0"/>
      <w:marTop w:val="0"/>
      <w:marBottom w:val="0"/>
      <w:divBdr>
        <w:top w:val="none" w:sz="0" w:space="0" w:color="auto"/>
        <w:left w:val="none" w:sz="0" w:space="0" w:color="auto"/>
        <w:bottom w:val="none" w:sz="0" w:space="0" w:color="auto"/>
        <w:right w:val="none" w:sz="0" w:space="0" w:color="auto"/>
      </w:divBdr>
      <w:divsChild>
        <w:div w:id="248200255">
          <w:marLeft w:val="0"/>
          <w:marRight w:val="0"/>
          <w:marTop w:val="0"/>
          <w:marBottom w:val="0"/>
          <w:divBdr>
            <w:top w:val="none" w:sz="0" w:space="0" w:color="auto"/>
            <w:left w:val="none" w:sz="0" w:space="0" w:color="auto"/>
            <w:bottom w:val="none" w:sz="0" w:space="0" w:color="auto"/>
            <w:right w:val="none" w:sz="0" w:space="0" w:color="auto"/>
          </w:divBdr>
          <w:divsChild>
            <w:div w:id="59908735">
              <w:marLeft w:val="0"/>
              <w:marRight w:val="0"/>
              <w:marTop w:val="0"/>
              <w:marBottom w:val="0"/>
              <w:divBdr>
                <w:top w:val="none" w:sz="0" w:space="0" w:color="auto"/>
                <w:left w:val="none" w:sz="0" w:space="0" w:color="auto"/>
                <w:bottom w:val="none" w:sz="0" w:space="0" w:color="auto"/>
                <w:right w:val="none" w:sz="0" w:space="0" w:color="auto"/>
              </w:divBdr>
            </w:div>
            <w:div w:id="1191727426">
              <w:marLeft w:val="0"/>
              <w:marRight w:val="0"/>
              <w:marTop w:val="0"/>
              <w:marBottom w:val="0"/>
              <w:divBdr>
                <w:top w:val="none" w:sz="0" w:space="0" w:color="auto"/>
                <w:left w:val="none" w:sz="0" w:space="0" w:color="auto"/>
                <w:bottom w:val="none" w:sz="0" w:space="0" w:color="auto"/>
                <w:right w:val="none" w:sz="0" w:space="0" w:color="auto"/>
              </w:divBdr>
            </w:div>
            <w:div w:id="2021545585">
              <w:marLeft w:val="0"/>
              <w:marRight w:val="0"/>
              <w:marTop w:val="0"/>
              <w:marBottom w:val="0"/>
              <w:divBdr>
                <w:top w:val="none" w:sz="0" w:space="0" w:color="auto"/>
                <w:left w:val="none" w:sz="0" w:space="0" w:color="auto"/>
                <w:bottom w:val="none" w:sz="0" w:space="0" w:color="auto"/>
                <w:right w:val="none" w:sz="0" w:space="0" w:color="auto"/>
              </w:divBdr>
            </w:div>
            <w:div w:id="562134467">
              <w:marLeft w:val="0"/>
              <w:marRight w:val="0"/>
              <w:marTop w:val="0"/>
              <w:marBottom w:val="0"/>
              <w:divBdr>
                <w:top w:val="none" w:sz="0" w:space="0" w:color="auto"/>
                <w:left w:val="none" w:sz="0" w:space="0" w:color="auto"/>
                <w:bottom w:val="none" w:sz="0" w:space="0" w:color="auto"/>
                <w:right w:val="none" w:sz="0" w:space="0" w:color="auto"/>
              </w:divBdr>
            </w:div>
            <w:div w:id="1316253488">
              <w:marLeft w:val="0"/>
              <w:marRight w:val="0"/>
              <w:marTop w:val="0"/>
              <w:marBottom w:val="0"/>
              <w:divBdr>
                <w:top w:val="none" w:sz="0" w:space="0" w:color="auto"/>
                <w:left w:val="none" w:sz="0" w:space="0" w:color="auto"/>
                <w:bottom w:val="none" w:sz="0" w:space="0" w:color="auto"/>
                <w:right w:val="none" w:sz="0" w:space="0" w:color="auto"/>
              </w:divBdr>
            </w:div>
            <w:div w:id="868420235">
              <w:marLeft w:val="0"/>
              <w:marRight w:val="0"/>
              <w:marTop w:val="0"/>
              <w:marBottom w:val="0"/>
              <w:divBdr>
                <w:top w:val="none" w:sz="0" w:space="0" w:color="auto"/>
                <w:left w:val="none" w:sz="0" w:space="0" w:color="auto"/>
                <w:bottom w:val="none" w:sz="0" w:space="0" w:color="auto"/>
                <w:right w:val="none" w:sz="0" w:space="0" w:color="auto"/>
              </w:divBdr>
            </w:div>
          </w:divsChild>
        </w:div>
        <w:div w:id="1571580043">
          <w:marLeft w:val="0"/>
          <w:marRight w:val="0"/>
          <w:marTop w:val="0"/>
          <w:marBottom w:val="0"/>
          <w:divBdr>
            <w:top w:val="none" w:sz="0" w:space="0" w:color="auto"/>
            <w:left w:val="none" w:sz="0" w:space="0" w:color="auto"/>
            <w:bottom w:val="none" w:sz="0" w:space="0" w:color="auto"/>
            <w:right w:val="none" w:sz="0" w:space="0" w:color="auto"/>
          </w:divBdr>
        </w:div>
        <w:div w:id="891312249">
          <w:marLeft w:val="0"/>
          <w:marRight w:val="0"/>
          <w:marTop w:val="0"/>
          <w:marBottom w:val="0"/>
          <w:divBdr>
            <w:top w:val="none" w:sz="0" w:space="0" w:color="auto"/>
            <w:left w:val="none" w:sz="0" w:space="0" w:color="auto"/>
            <w:bottom w:val="none" w:sz="0" w:space="0" w:color="auto"/>
            <w:right w:val="none" w:sz="0" w:space="0" w:color="auto"/>
          </w:divBdr>
        </w:div>
        <w:div w:id="991984198">
          <w:marLeft w:val="0"/>
          <w:marRight w:val="0"/>
          <w:marTop w:val="0"/>
          <w:marBottom w:val="0"/>
          <w:divBdr>
            <w:top w:val="none" w:sz="0" w:space="0" w:color="auto"/>
            <w:left w:val="none" w:sz="0" w:space="0" w:color="auto"/>
            <w:bottom w:val="none" w:sz="0" w:space="0" w:color="auto"/>
            <w:right w:val="none" w:sz="0" w:space="0" w:color="auto"/>
          </w:divBdr>
        </w:div>
        <w:div w:id="2064791233">
          <w:marLeft w:val="0"/>
          <w:marRight w:val="0"/>
          <w:marTop w:val="0"/>
          <w:marBottom w:val="0"/>
          <w:divBdr>
            <w:top w:val="none" w:sz="0" w:space="0" w:color="auto"/>
            <w:left w:val="none" w:sz="0" w:space="0" w:color="auto"/>
            <w:bottom w:val="none" w:sz="0" w:space="0" w:color="auto"/>
            <w:right w:val="none" w:sz="0" w:space="0" w:color="auto"/>
          </w:divBdr>
        </w:div>
        <w:div w:id="507332093">
          <w:marLeft w:val="0"/>
          <w:marRight w:val="0"/>
          <w:marTop w:val="0"/>
          <w:marBottom w:val="0"/>
          <w:divBdr>
            <w:top w:val="none" w:sz="0" w:space="0" w:color="auto"/>
            <w:left w:val="none" w:sz="0" w:space="0" w:color="auto"/>
            <w:bottom w:val="none" w:sz="0" w:space="0" w:color="auto"/>
            <w:right w:val="none" w:sz="0" w:space="0" w:color="auto"/>
          </w:divBdr>
        </w:div>
        <w:div w:id="257711989">
          <w:marLeft w:val="0"/>
          <w:marRight w:val="0"/>
          <w:marTop w:val="0"/>
          <w:marBottom w:val="0"/>
          <w:divBdr>
            <w:top w:val="none" w:sz="0" w:space="0" w:color="auto"/>
            <w:left w:val="none" w:sz="0" w:space="0" w:color="auto"/>
            <w:bottom w:val="none" w:sz="0" w:space="0" w:color="auto"/>
            <w:right w:val="none" w:sz="0" w:space="0" w:color="auto"/>
          </w:divBdr>
        </w:div>
        <w:div w:id="927229312">
          <w:marLeft w:val="0"/>
          <w:marRight w:val="0"/>
          <w:marTop w:val="0"/>
          <w:marBottom w:val="0"/>
          <w:divBdr>
            <w:top w:val="none" w:sz="0" w:space="0" w:color="auto"/>
            <w:left w:val="none" w:sz="0" w:space="0" w:color="auto"/>
            <w:bottom w:val="none" w:sz="0" w:space="0" w:color="auto"/>
            <w:right w:val="none" w:sz="0" w:space="0" w:color="auto"/>
          </w:divBdr>
        </w:div>
        <w:div w:id="179928569">
          <w:marLeft w:val="0"/>
          <w:marRight w:val="0"/>
          <w:marTop w:val="0"/>
          <w:marBottom w:val="0"/>
          <w:divBdr>
            <w:top w:val="none" w:sz="0" w:space="0" w:color="auto"/>
            <w:left w:val="none" w:sz="0" w:space="0" w:color="auto"/>
            <w:bottom w:val="none" w:sz="0" w:space="0" w:color="auto"/>
            <w:right w:val="none" w:sz="0" w:space="0" w:color="auto"/>
          </w:divBdr>
        </w:div>
        <w:div w:id="1672027560">
          <w:marLeft w:val="0"/>
          <w:marRight w:val="0"/>
          <w:marTop w:val="0"/>
          <w:marBottom w:val="0"/>
          <w:divBdr>
            <w:top w:val="none" w:sz="0" w:space="0" w:color="auto"/>
            <w:left w:val="none" w:sz="0" w:space="0" w:color="auto"/>
            <w:bottom w:val="none" w:sz="0" w:space="0" w:color="auto"/>
            <w:right w:val="none" w:sz="0" w:space="0" w:color="auto"/>
          </w:divBdr>
        </w:div>
        <w:div w:id="1005353643">
          <w:marLeft w:val="0"/>
          <w:marRight w:val="0"/>
          <w:marTop w:val="0"/>
          <w:marBottom w:val="0"/>
          <w:divBdr>
            <w:top w:val="none" w:sz="0" w:space="0" w:color="auto"/>
            <w:left w:val="none" w:sz="0" w:space="0" w:color="auto"/>
            <w:bottom w:val="none" w:sz="0" w:space="0" w:color="auto"/>
            <w:right w:val="none" w:sz="0" w:space="0" w:color="auto"/>
          </w:divBdr>
        </w:div>
        <w:div w:id="288514522">
          <w:marLeft w:val="0"/>
          <w:marRight w:val="0"/>
          <w:marTop w:val="0"/>
          <w:marBottom w:val="0"/>
          <w:divBdr>
            <w:top w:val="none" w:sz="0" w:space="0" w:color="auto"/>
            <w:left w:val="none" w:sz="0" w:space="0" w:color="auto"/>
            <w:bottom w:val="none" w:sz="0" w:space="0" w:color="auto"/>
            <w:right w:val="none" w:sz="0" w:space="0" w:color="auto"/>
          </w:divBdr>
        </w:div>
        <w:div w:id="34700789">
          <w:marLeft w:val="0"/>
          <w:marRight w:val="0"/>
          <w:marTop w:val="0"/>
          <w:marBottom w:val="0"/>
          <w:divBdr>
            <w:top w:val="none" w:sz="0" w:space="0" w:color="auto"/>
            <w:left w:val="none" w:sz="0" w:space="0" w:color="auto"/>
            <w:bottom w:val="none" w:sz="0" w:space="0" w:color="auto"/>
            <w:right w:val="none" w:sz="0" w:space="0" w:color="auto"/>
          </w:divBdr>
        </w:div>
        <w:div w:id="1438521895">
          <w:marLeft w:val="0"/>
          <w:marRight w:val="0"/>
          <w:marTop w:val="0"/>
          <w:marBottom w:val="0"/>
          <w:divBdr>
            <w:top w:val="none" w:sz="0" w:space="0" w:color="auto"/>
            <w:left w:val="none" w:sz="0" w:space="0" w:color="auto"/>
            <w:bottom w:val="none" w:sz="0" w:space="0" w:color="auto"/>
            <w:right w:val="none" w:sz="0" w:space="0" w:color="auto"/>
          </w:divBdr>
        </w:div>
        <w:div w:id="1640109447">
          <w:marLeft w:val="0"/>
          <w:marRight w:val="0"/>
          <w:marTop w:val="0"/>
          <w:marBottom w:val="0"/>
          <w:divBdr>
            <w:top w:val="none" w:sz="0" w:space="0" w:color="auto"/>
            <w:left w:val="none" w:sz="0" w:space="0" w:color="auto"/>
            <w:bottom w:val="none" w:sz="0" w:space="0" w:color="auto"/>
            <w:right w:val="none" w:sz="0" w:space="0" w:color="auto"/>
          </w:divBdr>
        </w:div>
        <w:div w:id="2020615132">
          <w:marLeft w:val="0"/>
          <w:marRight w:val="0"/>
          <w:marTop w:val="0"/>
          <w:marBottom w:val="0"/>
          <w:divBdr>
            <w:top w:val="none" w:sz="0" w:space="0" w:color="auto"/>
            <w:left w:val="none" w:sz="0" w:space="0" w:color="auto"/>
            <w:bottom w:val="none" w:sz="0" w:space="0" w:color="auto"/>
            <w:right w:val="none" w:sz="0" w:space="0" w:color="auto"/>
          </w:divBdr>
        </w:div>
        <w:div w:id="1202669231">
          <w:marLeft w:val="0"/>
          <w:marRight w:val="0"/>
          <w:marTop w:val="0"/>
          <w:marBottom w:val="0"/>
          <w:divBdr>
            <w:top w:val="none" w:sz="0" w:space="0" w:color="auto"/>
            <w:left w:val="none" w:sz="0" w:space="0" w:color="auto"/>
            <w:bottom w:val="none" w:sz="0" w:space="0" w:color="auto"/>
            <w:right w:val="none" w:sz="0" w:space="0" w:color="auto"/>
          </w:divBdr>
        </w:div>
      </w:divsChild>
    </w:div>
    <w:div w:id="1157528673">
      <w:bodyDiv w:val="1"/>
      <w:marLeft w:val="0"/>
      <w:marRight w:val="0"/>
      <w:marTop w:val="0"/>
      <w:marBottom w:val="0"/>
      <w:divBdr>
        <w:top w:val="none" w:sz="0" w:space="0" w:color="auto"/>
        <w:left w:val="none" w:sz="0" w:space="0" w:color="auto"/>
        <w:bottom w:val="none" w:sz="0" w:space="0" w:color="auto"/>
        <w:right w:val="none" w:sz="0" w:space="0" w:color="auto"/>
      </w:divBdr>
    </w:div>
    <w:div w:id="1178812093">
      <w:bodyDiv w:val="1"/>
      <w:marLeft w:val="0"/>
      <w:marRight w:val="0"/>
      <w:marTop w:val="0"/>
      <w:marBottom w:val="0"/>
      <w:divBdr>
        <w:top w:val="none" w:sz="0" w:space="0" w:color="auto"/>
        <w:left w:val="none" w:sz="0" w:space="0" w:color="auto"/>
        <w:bottom w:val="none" w:sz="0" w:space="0" w:color="auto"/>
        <w:right w:val="none" w:sz="0" w:space="0" w:color="auto"/>
      </w:divBdr>
      <w:divsChild>
        <w:div w:id="1517453260">
          <w:marLeft w:val="0"/>
          <w:marRight w:val="0"/>
          <w:marTop w:val="0"/>
          <w:marBottom w:val="0"/>
          <w:divBdr>
            <w:top w:val="none" w:sz="0" w:space="0" w:color="auto"/>
            <w:left w:val="none" w:sz="0" w:space="0" w:color="auto"/>
            <w:bottom w:val="none" w:sz="0" w:space="0" w:color="auto"/>
            <w:right w:val="none" w:sz="0" w:space="0" w:color="auto"/>
          </w:divBdr>
        </w:div>
        <w:div w:id="1714311379">
          <w:marLeft w:val="0"/>
          <w:marRight w:val="0"/>
          <w:marTop w:val="0"/>
          <w:marBottom w:val="0"/>
          <w:divBdr>
            <w:top w:val="none" w:sz="0" w:space="0" w:color="auto"/>
            <w:left w:val="none" w:sz="0" w:space="0" w:color="auto"/>
            <w:bottom w:val="none" w:sz="0" w:space="0" w:color="auto"/>
            <w:right w:val="none" w:sz="0" w:space="0" w:color="auto"/>
          </w:divBdr>
        </w:div>
      </w:divsChild>
    </w:div>
    <w:div w:id="1343582349">
      <w:bodyDiv w:val="1"/>
      <w:marLeft w:val="0"/>
      <w:marRight w:val="0"/>
      <w:marTop w:val="0"/>
      <w:marBottom w:val="0"/>
      <w:divBdr>
        <w:top w:val="none" w:sz="0" w:space="0" w:color="auto"/>
        <w:left w:val="none" w:sz="0" w:space="0" w:color="auto"/>
        <w:bottom w:val="none" w:sz="0" w:space="0" w:color="auto"/>
        <w:right w:val="none" w:sz="0" w:space="0" w:color="auto"/>
      </w:divBdr>
    </w:div>
    <w:div w:id="1523395188">
      <w:bodyDiv w:val="1"/>
      <w:marLeft w:val="0"/>
      <w:marRight w:val="0"/>
      <w:marTop w:val="0"/>
      <w:marBottom w:val="0"/>
      <w:divBdr>
        <w:top w:val="none" w:sz="0" w:space="0" w:color="auto"/>
        <w:left w:val="none" w:sz="0" w:space="0" w:color="auto"/>
        <w:bottom w:val="none" w:sz="0" w:space="0" w:color="auto"/>
        <w:right w:val="none" w:sz="0" w:space="0" w:color="auto"/>
      </w:divBdr>
      <w:divsChild>
        <w:div w:id="941032058">
          <w:marLeft w:val="0"/>
          <w:marRight w:val="0"/>
          <w:marTop w:val="0"/>
          <w:marBottom w:val="0"/>
          <w:divBdr>
            <w:top w:val="none" w:sz="0" w:space="0" w:color="auto"/>
            <w:left w:val="none" w:sz="0" w:space="0" w:color="auto"/>
            <w:bottom w:val="none" w:sz="0" w:space="0" w:color="auto"/>
            <w:right w:val="none" w:sz="0" w:space="0" w:color="auto"/>
          </w:divBdr>
        </w:div>
        <w:div w:id="285281681">
          <w:marLeft w:val="0"/>
          <w:marRight w:val="0"/>
          <w:marTop w:val="0"/>
          <w:marBottom w:val="0"/>
          <w:divBdr>
            <w:top w:val="none" w:sz="0" w:space="0" w:color="auto"/>
            <w:left w:val="none" w:sz="0" w:space="0" w:color="auto"/>
            <w:bottom w:val="none" w:sz="0" w:space="0" w:color="auto"/>
            <w:right w:val="none" w:sz="0" w:space="0" w:color="auto"/>
          </w:divBdr>
        </w:div>
        <w:div w:id="142505205">
          <w:marLeft w:val="0"/>
          <w:marRight w:val="0"/>
          <w:marTop w:val="0"/>
          <w:marBottom w:val="0"/>
          <w:divBdr>
            <w:top w:val="none" w:sz="0" w:space="0" w:color="auto"/>
            <w:left w:val="none" w:sz="0" w:space="0" w:color="auto"/>
            <w:bottom w:val="none" w:sz="0" w:space="0" w:color="auto"/>
            <w:right w:val="none" w:sz="0" w:space="0" w:color="auto"/>
          </w:divBdr>
        </w:div>
        <w:div w:id="2029210921">
          <w:marLeft w:val="0"/>
          <w:marRight w:val="0"/>
          <w:marTop w:val="0"/>
          <w:marBottom w:val="0"/>
          <w:divBdr>
            <w:top w:val="none" w:sz="0" w:space="0" w:color="auto"/>
            <w:left w:val="none" w:sz="0" w:space="0" w:color="auto"/>
            <w:bottom w:val="none" w:sz="0" w:space="0" w:color="auto"/>
            <w:right w:val="none" w:sz="0" w:space="0" w:color="auto"/>
          </w:divBdr>
        </w:div>
        <w:div w:id="793599432">
          <w:marLeft w:val="0"/>
          <w:marRight w:val="0"/>
          <w:marTop w:val="0"/>
          <w:marBottom w:val="0"/>
          <w:divBdr>
            <w:top w:val="none" w:sz="0" w:space="0" w:color="auto"/>
            <w:left w:val="none" w:sz="0" w:space="0" w:color="auto"/>
            <w:bottom w:val="none" w:sz="0" w:space="0" w:color="auto"/>
            <w:right w:val="none" w:sz="0" w:space="0" w:color="auto"/>
          </w:divBdr>
        </w:div>
        <w:div w:id="1971327871">
          <w:marLeft w:val="0"/>
          <w:marRight w:val="0"/>
          <w:marTop w:val="0"/>
          <w:marBottom w:val="0"/>
          <w:divBdr>
            <w:top w:val="none" w:sz="0" w:space="0" w:color="auto"/>
            <w:left w:val="none" w:sz="0" w:space="0" w:color="auto"/>
            <w:bottom w:val="none" w:sz="0" w:space="0" w:color="auto"/>
            <w:right w:val="none" w:sz="0" w:space="0" w:color="auto"/>
          </w:divBdr>
        </w:div>
        <w:div w:id="1957171536">
          <w:marLeft w:val="0"/>
          <w:marRight w:val="0"/>
          <w:marTop w:val="0"/>
          <w:marBottom w:val="0"/>
          <w:divBdr>
            <w:top w:val="none" w:sz="0" w:space="0" w:color="auto"/>
            <w:left w:val="none" w:sz="0" w:space="0" w:color="auto"/>
            <w:bottom w:val="none" w:sz="0" w:space="0" w:color="auto"/>
            <w:right w:val="none" w:sz="0" w:space="0" w:color="auto"/>
          </w:divBdr>
        </w:div>
        <w:div w:id="1239289212">
          <w:marLeft w:val="0"/>
          <w:marRight w:val="0"/>
          <w:marTop w:val="0"/>
          <w:marBottom w:val="0"/>
          <w:divBdr>
            <w:top w:val="none" w:sz="0" w:space="0" w:color="auto"/>
            <w:left w:val="none" w:sz="0" w:space="0" w:color="auto"/>
            <w:bottom w:val="none" w:sz="0" w:space="0" w:color="auto"/>
            <w:right w:val="none" w:sz="0" w:space="0" w:color="auto"/>
          </w:divBdr>
        </w:div>
        <w:div w:id="1275139137">
          <w:marLeft w:val="0"/>
          <w:marRight w:val="0"/>
          <w:marTop w:val="0"/>
          <w:marBottom w:val="0"/>
          <w:divBdr>
            <w:top w:val="none" w:sz="0" w:space="0" w:color="auto"/>
            <w:left w:val="none" w:sz="0" w:space="0" w:color="auto"/>
            <w:bottom w:val="none" w:sz="0" w:space="0" w:color="auto"/>
            <w:right w:val="none" w:sz="0" w:space="0" w:color="auto"/>
          </w:divBdr>
        </w:div>
        <w:div w:id="550845340">
          <w:marLeft w:val="0"/>
          <w:marRight w:val="0"/>
          <w:marTop w:val="0"/>
          <w:marBottom w:val="0"/>
          <w:divBdr>
            <w:top w:val="none" w:sz="0" w:space="0" w:color="auto"/>
            <w:left w:val="none" w:sz="0" w:space="0" w:color="auto"/>
            <w:bottom w:val="none" w:sz="0" w:space="0" w:color="auto"/>
            <w:right w:val="none" w:sz="0" w:space="0" w:color="auto"/>
          </w:divBdr>
        </w:div>
        <w:div w:id="1483501792">
          <w:marLeft w:val="0"/>
          <w:marRight w:val="0"/>
          <w:marTop w:val="0"/>
          <w:marBottom w:val="0"/>
          <w:divBdr>
            <w:top w:val="none" w:sz="0" w:space="0" w:color="auto"/>
            <w:left w:val="none" w:sz="0" w:space="0" w:color="auto"/>
            <w:bottom w:val="none" w:sz="0" w:space="0" w:color="auto"/>
            <w:right w:val="none" w:sz="0" w:space="0" w:color="auto"/>
          </w:divBdr>
        </w:div>
        <w:div w:id="1585843520">
          <w:marLeft w:val="0"/>
          <w:marRight w:val="0"/>
          <w:marTop w:val="0"/>
          <w:marBottom w:val="0"/>
          <w:divBdr>
            <w:top w:val="none" w:sz="0" w:space="0" w:color="auto"/>
            <w:left w:val="none" w:sz="0" w:space="0" w:color="auto"/>
            <w:bottom w:val="none" w:sz="0" w:space="0" w:color="auto"/>
            <w:right w:val="none" w:sz="0" w:space="0" w:color="auto"/>
          </w:divBdr>
        </w:div>
        <w:div w:id="1321303254">
          <w:marLeft w:val="0"/>
          <w:marRight w:val="0"/>
          <w:marTop w:val="0"/>
          <w:marBottom w:val="0"/>
          <w:divBdr>
            <w:top w:val="none" w:sz="0" w:space="0" w:color="auto"/>
            <w:left w:val="none" w:sz="0" w:space="0" w:color="auto"/>
            <w:bottom w:val="none" w:sz="0" w:space="0" w:color="auto"/>
            <w:right w:val="none" w:sz="0" w:space="0" w:color="auto"/>
          </w:divBdr>
        </w:div>
      </w:divsChild>
    </w:div>
    <w:div w:id="1845317905">
      <w:bodyDiv w:val="1"/>
      <w:marLeft w:val="0"/>
      <w:marRight w:val="0"/>
      <w:marTop w:val="0"/>
      <w:marBottom w:val="0"/>
      <w:divBdr>
        <w:top w:val="none" w:sz="0" w:space="0" w:color="auto"/>
        <w:left w:val="none" w:sz="0" w:space="0" w:color="auto"/>
        <w:bottom w:val="none" w:sz="0" w:space="0" w:color="auto"/>
        <w:right w:val="none" w:sz="0" w:space="0" w:color="auto"/>
      </w:divBdr>
      <w:divsChild>
        <w:div w:id="370617523">
          <w:marLeft w:val="0"/>
          <w:marRight w:val="0"/>
          <w:marTop w:val="0"/>
          <w:marBottom w:val="0"/>
          <w:divBdr>
            <w:top w:val="none" w:sz="0" w:space="0" w:color="auto"/>
            <w:left w:val="none" w:sz="0" w:space="0" w:color="auto"/>
            <w:bottom w:val="none" w:sz="0" w:space="0" w:color="auto"/>
            <w:right w:val="none" w:sz="0" w:space="0" w:color="auto"/>
          </w:divBdr>
        </w:div>
        <w:div w:id="1441679686">
          <w:marLeft w:val="0"/>
          <w:marRight w:val="0"/>
          <w:marTop w:val="0"/>
          <w:marBottom w:val="0"/>
          <w:divBdr>
            <w:top w:val="none" w:sz="0" w:space="0" w:color="auto"/>
            <w:left w:val="none" w:sz="0" w:space="0" w:color="auto"/>
            <w:bottom w:val="none" w:sz="0" w:space="0" w:color="auto"/>
            <w:right w:val="none" w:sz="0" w:space="0" w:color="auto"/>
          </w:divBdr>
        </w:div>
        <w:div w:id="282420307">
          <w:marLeft w:val="0"/>
          <w:marRight w:val="0"/>
          <w:marTop w:val="0"/>
          <w:marBottom w:val="0"/>
          <w:divBdr>
            <w:top w:val="none" w:sz="0" w:space="0" w:color="auto"/>
            <w:left w:val="none" w:sz="0" w:space="0" w:color="auto"/>
            <w:bottom w:val="none" w:sz="0" w:space="0" w:color="auto"/>
            <w:right w:val="none" w:sz="0" w:space="0" w:color="auto"/>
          </w:divBdr>
        </w:div>
      </w:divsChild>
    </w:div>
    <w:div w:id="2006204633">
      <w:bodyDiv w:val="1"/>
      <w:marLeft w:val="0"/>
      <w:marRight w:val="0"/>
      <w:marTop w:val="0"/>
      <w:marBottom w:val="0"/>
      <w:divBdr>
        <w:top w:val="none" w:sz="0" w:space="0" w:color="auto"/>
        <w:left w:val="none" w:sz="0" w:space="0" w:color="auto"/>
        <w:bottom w:val="none" w:sz="0" w:space="0" w:color="auto"/>
        <w:right w:val="none" w:sz="0" w:space="0" w:color="auto"/>
      </w:divBdr>
      <w:divsChild>
        <w:div w:id="1828134564">
          <w:marLeft w:val="0"/>
          <w:marRight w:val="0"/>
          <w:marTop w:val="0"/>
          <w:marBottom w:val="0"/>
          <w:divBdr>
            <w:top w:val="none" w:sz="0" w:space="0" w:color="auto"/>
            <w:left w:val="none" w:sz="0" w:space="0" w:color="auto"/>
            <w:bottom w:val="none" w:sz="0" w:space="0" w:color="auto"/>
            <w:right w:val="none" w:sz="0" w:space="0" w:color="auto"/>
          </w:divBdr>
        </w:div>
        <w:div w:id="2014527982">
          <w:marLeft w:val="0"/>
          <w:marRight w:val="0"/>
          <w:marTop w:val="0"/>
          <w:marBottom w:val="0"/>
          <w:divBdr>
            <w:top w:val="none" w:sz="0" w:space="0" w:color="auto"/>
            <w:left w:val="none" w:sz="0" w:space="0" w:color="auto"/>
            <w:bottom w:val="none" w:sz="0" w:space="0" w:color="auto"/>
            <w:right w:val="none" w:sz="0" w:space="0" w:color="auto"/>
          </w:divBdr>
        </w:div>
        <w:div w:id="1787963196">
          <w:marLeft w:val="0"/>
          <w:marRight w:val="0"/>
          <w:marTop w:val="0"/>
          <w:marBottom w:val="0"/>
          <w:divBdr>
            <w:top w:val="none" w:sz="0" w:space="0" w:color="auto"/>
            <w:left w:val="none" w:sz="0" w:space="0" w:color="auto"/>
            <w:bottom w:val="none" w:sz="0" w:space="0" w:color="auto"/>
            <w:right w:val="none" w:sz="0" w:space="0" w:color="auto"/>
          </w:divBdr>
        </w:div>
        <w:div w:id="838036138">
          <w:marLeft w:val="0"/>
          <w:marRight w:val="0"/>
          <w:marTop w:val="0"/>
          <w:marBottom w:val="0"/>
          <w:divBdr>
            <w:top w:val="none" w:sz="0" w:space="0" w:color="auto"/>
            <w:left w:val="none" w:sz="0" w:space="0" w:color="auto"/>
            <w:bottom w:val="none" w:sz="0" w:space="0" w:color="auto"/>
            <w:right w:val="none" w:sz="0" w:space="0" w:color="auto"/>
          </w:divBdr>
        </w:div>
        <w:div w:id="561871868">
          <w:marLeft w:val="0"/>
          <w:marRight w:val="0"/>
          <w:marTop w:val="0"/>
          <w:marBottom w:val="0"/>
          <w:divBdr>
            <w:top w:val="none" w:sz="0" w:space="0" w:color="auto"/>
            <w:left w:val="none" w:sz="0" w:space="0" w:color="auto"/>
            <w:bottom w:val="none" w:sz="0" w:space="0" w:color="auto"/>
            <w:right w:val="none" w:sz="0" w:space="0" w:color="auto"/>
          </w:divBdr>
        </w:div>
        <w:div w:id="819156703">
          <w:marLeft w:val="0"/>
          <w:marRight w:val="0"/>
          <w:marTop w:val="0"/>
          <w:marBottom w:val="0"/>
          <w:divBdr>
            <w:top w:val="none" w:sz="0" w:space="0" w:color="auto"/>
            <w:left w:val="none" w:sz="0" w:space="0" w:color="auto"/>
            <w:bottom w:val="none" w:sz="0" w:space="0" w:color="auto"/>
            <w:right w:val="none" w:sz="0" w:space="0" w:color="auto"/>
          </w:divBdr>
        </w:div>
        <w:div w:id="1338338467">
          <w:marLeft w:val="0"/>
          <w:marRight w:val="0"/>
          <w:marTop w:val="0"/>
          <w:marBottom w:val="0"/>
          <w:divBdr>
            <w:top w:val="none" w:sz="0" w:space="0" w:color="auto"/>
            <w:left w:val="none" w:sz="0" w:space="0" w:color="auto"/>
            <w:bottom w:val="none" w:sz="0" w:space="0" w:color="auto"/>
            <w:right w:val="none" w:sz="0" w:space="0" w:color="auto"/>
          </w:divBdr>
        </w:div>
        <w:div w:id="1501896170">
          <w:marLeft w:val="0"/>
          <w:marRight w:val="0"/>
          <w:marTop w:val="0"/>
          <w:marBottom w:val="0"/>
          <w:divBdr>
            <w:top w:val="none" w:sz="0" w:space="0" w:color="auto"/>
            <w:left w:val="none" w:sz="0" w:space="0" w:color="auto"/>
            <w:bottom w:val="none" w:sz="0" w:space="0" w:color="auto"/>
            <w:right w:val="none" w:sz="0" w:space="0" w:color="auto"/>
          </w:divBdr>
        </w:div>
        <w:div w:id="400373807">
          <w:marLeft w:val="0"/>
          <w:marRight w:val="0"/>
          <w:marTop w:val="0"/>
          <w:marBottom w:val="0"/>
          <w:divBdr>
            <w:top w:val="none" w:sz="0" w:space="0" w:color="auto"/>
            <w:left w:val="none" w:sz="0" w:space="0" w:color="auto"/>
            <w:bottom w:val="none" w:sz="0" w:space="0" w:color="auto"/>
            <w:right w:val="none" w:sz="0" w:space="0" w:color="auto"/>
          </w:divBdr>
        </w:div>
        <w:div w:id="106245534">
          <w:marLeft w:val="0"/>
          <w:marRight w:val="0"/>
          <w:marTop w:val="0"/>
          <w:marBottom w:val="0"/>
          <w:divBdr>
            <w:top w:val="none" w:sz="0" w:space="0" w:color="auto"/>
            <w:left w:val="none" w:sz="0" w:space="0" w:color="auto"/>
            <w:bottom w:val="none" w:sz="0" w:space="0" w:color="auto"/>
            <w:right w:val="none" w:sz="0" w:space="0" w:color="auto"/>
          </w:divBdr>
        </w:div>
        <w:div w:id="166138738">
          <w:marLeft w:val="0"/>
          <w:marRight w:val="0"/>
          <w:marTop w:val="0"/>
          <w:marBottom w:val="0"/>
          <w:divBdr>
            <w:top w:val="none" w:sz="0" w:space="0" w:color="auto"/>
            <w:left w:val="none" w:sz="0" w:space="0" w:color="auto"/>
            <w:bottom w:val="none" w:sz="0" w:space="0" w:color="auto"/>
            <w:right w:val="none" w:sz="0" w:space="0" w:color="auto"/>
          </w:divBdr>
        </w:div>
        <w:div w:id="117842558">
          <w:marLeft w:val="0"/>
          <w:marRight w:val="0"/>
          <w:marTop w:val="0"/>
          <w:marBottom w:val="0"/>
          <w:divBdr>
            <w:top w:val="none" w:sz="0" w:space="0" w:color="auto"/>
            <w:left w:val="none" w:sz="0" w:space="0" w:color="auto"/>
            <w:bottom w:val="none" w:sz="0" w:space="0" w:color="auto"/>
            <w:right w:val="none" w:sz="0" w:space="0" w:color="auto"/>
          </w:divBdr>
        </w:div>
        <w:div w:id="1263954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2450</TotalTime>
  <Pages>8</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Hall</dc:creator>
  <cp:keywords/>
  <dc:description/>
  <cp:lastModifiedBy>Kelly Hall</cp:lastModifiedBy>
  <cp:revision>13</cp:revision>
  <dcterms:created xsi:type="dcterms:W3CDTF">2025-05-02T05:43:00Z</dcterms:created>
  <dcterms:modified xsi:type="dcterms:W3CDTF">2025-07-15T02:08:00Z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id="tGksGWY0"/&gt;&lt;style id="http://www.zotero.org/styles/american-medical-association" hasBibliography="1" bibliographyStyleHasBeenSet="0"/&gt;&lt;prefs&gt;&lt;pref name="fieldType" value="Field"/&gt;&lt;pref name="auto</vt:lpwstr>
  </property>
  <property fmtid="{D5CDD505-2E9C-101B-9397-08002B2CF9AE}" pid="3" name="ZOTERO_PREF_2">
    <vt:lpwstr>maticJournalAbbreviations" value="true"/&gt;&lt;/prefs&gt;&lt;/data&gt;</vt:lpwstr>
  </property>
</Properties>
</file>