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CF86" w14:textId="77777777" w:rsidR="00EE683C" w:rsidRP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I began by collecting historical data from the CFTC’s </w:t>
      </w:r>
      <w:r w:rsidRPr="00EE683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Disaggregated Futures Only Reports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, downloading weekly data from 2011 through 2025. For return data, I used historical prices from Yahoo Finance, specifically targeting the next contract to expiration.</w:t>
      </w:r>
    </w:p>
    <w:p w14:paraId="3F481A67" w14:textId="77777777" w:rsidR="00EE683C" w:rsidRP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To start the analysis, I focused on Coffee Futures, where each contract represents 37,500 </w:t>
      </w:r>
      <w:proofErr w:type="spellStart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of coffee. I retrieved price data using Yahoo Finance’s Python API for the KC=F ticker. Simultaneously, I aggregated and cleaned the CFTC reports across all years, filtered to only include records relevant to coffee.</w:t>
      </w:r>
    </w:p>
    <w:p w14:paraId="4C29A946" w14:textId="172F24AC" w:rsid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Since the CFTC data is reported weekly, my next task was to align each report at time t with returns over the subsequent week (t+1). To compute weekly returns, I calculated the percent change in closing prices over the following 5 trading days. These were then merged with the CFTC data on their reporting dates. While I initially assumed a consistent 5-day interval between reports, a more accurate implementation would shift the returns by one period and dynamically calculate the number of days between report dates to avoid look-ahead bias.</w:t>
      </w:r>
    </w:p>
    <w:p w14:paraId="506869CE" w14:textId="50AFE0E5" w:rsidR="00DB219F" w:rsidRPr="00EE683C" w:rsidRDefault="00DB219F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653A1F6" wp14:editId="084DB33B">
            <wp:extent cx="2561831" cy="1537099"/>
            <wp:effectExtent l="0" t="0" r="3810" b="0"/>
            <wp:docPr id="83352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07" name="Picture 8335206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09" cy="15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3AF" w14:textId="1106CE83" w:rsidR="00EE683C" w:rsidRP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To address potential non-stationarity in the independent variables, I also computed percent changes for each CFTC feature. This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meant that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the inputs were in comparable, stationary form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which is an important assumption for linear models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1307F0" w14:textId="175871BF" w:rsid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After removing observations with missing values, I initially standardized the data (zero mean, unit variance) using </w:t>
      </w:r>
      <w:proofErr w:type="spellStart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. This left me with approximately 130 features aligned with forward weekly returns. To manage the high-dimensional feature space and reduce the risk of overfitting, I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decided to use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L1-regularized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Lasso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regression, using a 70-15-15 train-validation-test split. I tuned the regularization parameter alpha to optimize performance on the validation set, then evaluated the final model on the test set. I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decided against using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nonlinear models to prevent overfitting, which I observed even with an unregularized linear model (as shown</w:t>
      </w:r>
      <w:r w:rsid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below) getting an out of sample R^2 of -46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EB8172" w14:textId="68E2713A" w:rsidR="00DB219F" w:rsidRPr="00EE683C" w:rsidRDefault="00DB219F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521EAC70" wp14:editId="6E13DD5A">
            <wp:extent cx="2297336" cy="1378402"/>
            <wp:effectExtent l="0" t="0" r="1905" b="6350"/>
            <wp:docPr id="1115908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9166" name="Picture 1943529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12" cy="13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434D" w14:textId="2788F883" w:rsid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Initial results showed low explanatory power, with R^2 values between -0.05 and 0.02</w:t>
      </w:r>
      <w:r w:rsid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(shown below)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. In many cases, the optimal model relied on heavy regularization,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with about 5-10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active coefficients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which tells me that these are 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noisy features </w:t>
      </w:r>
      <w:r w:rsidRPr="00DB219F">
        <w:rPr>
          <w:rFonts w:ascii="Times New Roman" w:eastAsia="Times New Roman" w:hAnsi="Times New Roman" w:cs="Times New Roman"/>
          <w:kern w:val="0"/>
          <w14:ligatures w14:val="none"/>
        </w:rPr>
        <w:t>that have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poor signal-to-noise ratios.</w:t>
      </w:r>
    </w:p>
    <w:p w14:paraId="59FBB532" w14:textId="4EB4FC19" w:rsidR="00DB219F" w:rsidRPr="00EE683C" w:rsidRDefault="00DB219F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02A05DB" wp14:editId="514CBF24">
            <wp:extent cx="2705415" cy="1623249"/>
            <wp:effectExtent l="0" t="0" r="0" b="2540"/>
            <wp:docPr id="823194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4012" name="Picture 8231940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9" cy="1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8260C" wp14:editId="7AF38D9D">
            <wp:extent cx="2782879" cy="1192535"/>
            <wp:effectExtent l="0" t="0" r="0" b="1270"/>
            <wp:docPr id="2095709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9838" name="Picture 20957098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4" cy="11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4E5" w14:textId="5357D4C5" w:rsid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To address potential outliers, I experimented with several transformations. First, I applied a </w:t>
      </w:r>
      <w:proofErr w:type="spellStart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RobustScaler</w:t>
      </w:r>
      <w:proofErr w:type="spellEnd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, but many features still exceeded ±3 standard deviations. I then tried </w:t>
      </w:r>
      <w:proofErr w:type="spellStart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winsorizing</w:t>
      </w:r>
      <w:proofErr w:type="spellEnd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the features to various bounds (e.g., ±2, ±3, ±4, and ±5 standard deviations), but this often led to excessive binning at the endpoints</w:t>
      </w:r>
      <w:r w:rsid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(shown below)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. Finally, I applied the Yeo-Johnson transformation (a generalization of Box-Cox that accommodates negative values), which better normalized the data and mitigated the impact of extreme outliers. Despite this, the Lasso regression continued to</w:t>
      </w:r>
      <w:r w:rsidR="00DB219F" w:rsidRP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fail in providing major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improvements in predictive power.</w:t>
      </w:r>
    </w:p>
    <w:p w14:paraId="569AAB74" w14:textId="06B0779C" w:rsidR="00DB219F" w:rsidRPr="00EE683C" w:rsidRDefault="00DB219F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AE93DD7" wp14:editId="1C68C8FF">
            <wp:extent cx="2478704" cy="1859028"/>
            <wp:effectExtent l="0" t="0" r="0" b="0"/>
            <wp:docPr id="1702764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4262" name="Picture 1702764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95" cy="18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974" w14:textId="6FEF0448" w:rsid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>I extended the analysis to two other commodities: gold (a highly storable asset) and live cattle (a less storable one)</w:t>
      </w:r>
      <w:r w:rsidR="00DB219F" w:rsidRP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to see if storability could affect predictability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. For gold, the model performed worse than a constant predictor, with the best R^2 &lt; 0. For live cattle, performance was slightly 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better, with the highest R^2 </w:t>
      </w:r>
      <w:r w:rsidR="00DB219F" w:rsidRPr="00DB219F">
        <w:rPr>
          <w:rFonts w:ascii="Times New Roman" w:eastAsia="Times New Roman" w:hAnsi="Times New Roman" w:cs="Times New Roman"/>
          <w:kern w:val="0"/>
          <w14:ligatures w14:val="none"/>
        </w:rPr>
        <w:t>being about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0.02</w:t>
      </w:r>
      <w:r w:rsidR="00DB219F">
        <w:rPr>
          <w:rFonts w:ascii="Times New Roman" w:eastAsia="Times New Roman" w:hAnsi="Times New Roman" w:cs="Times New Roman"/>
          <w:kern w:val="0"/>
          <w14:ligatures w14:val="none"/>
        </w:rPr>
        <w:t xml:space="preserve"> (shown below)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. The most predictive variable was </w:t>
      </w:r>
      <w:proofErr w:type="spellStart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Traders_M_Money_Short_All</w:t>
      </w:r>
      <w:proofErr w:type="spellEnd"/>
      <w:r w:rsidRPr="00EE683C">
        <w:rPr>
          <w:rFonts w:ascii="Times New Roman" w:eastAsia="Times New Roman" w:hAnsi="Times New Roman" w:cs="Times New Roman"/>
          <w:kern w:val="0"/>
          <w14:ligatures w14:val="none"/>
        </w:rPr>
        <w:t>, but even its coefficient was small (approximately -0.00755).</w:t>
      </w:r>
    </w:p>
    <w:p w14:paraId="0D60A6CC" w14:textId="776A8CD1" w:rsidR="00DB219F" w:rsidRPr="00EE683C" w:rsidRDefault="00DB219F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B6CF476" wp14:editId="756AC732">
            <wp:extent cx="2576945" cy="1546167"/>
            <wp:effectExtent l="0" t="0" r="1270" b="3810"/>
            <wp:docPr id="5321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318" name="Picture 5321133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17" cy="15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937B8" wp14:editId="4CB27622">
            <wp:extent cx="3030367" cy="1298590"/>
            <wp:effectExtent l="0" t="0" r="5080" b="0"/>
            <wp:docPr id="170986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62724" name="Picture 17098627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53" cy="13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1CD4" w14:textId="2BB6857D" w:rsidR="00EE683C" w:rsidRPr="00EE683C" w:rsidRDefault="00EE683C" w:rsidP="00EE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In summary, despite extensive preprocessing, feature transformations, and </w:t>
      </w:r>
      <w:r w:rsidR="00DB219F" w:rsidRPr="00DB219F">
        <w:rPr>
          <w:rFonts w:ascii="Times New Roman" w:eastAsia="Times New Roman" w:hAnsi="Times New Roman" w:cs="Times New Roman"/>
          <w:kern w:val="0"/>
          <w14:ligatures w14:val="none"/>
        </w:rPr>
        <w:t>attempt at more robust</w:t>
      </w:r>
      <w:r w:rsidRPr="00EE683C">
        <w:rPr>
          <w:rFonts w:ascii="Times New Roman" w:eastAsia="Times New Roman" w:hAnsi="Times New Roman" w:cs="Times New Roman"/>
          <w:kern w:val="0"/>
          <w14:ligatures w14:val="none"/>
        </w:rPr>
        <w:t xml:space="preserve"> modeling techniques, I found little evidence of predictive power in the weekly disaggregated CFTC positioning data for short-term returns across the commodities analyzed.</w:t>
      </w:r>
    </w:p>
    <w:p w14:paraId="058A0CAC" w14:textId="77777777" w:rsidR="000E47B8" w:rsidRDefault="000E47B8">
      <w:pPr>
        <w:rPr>
          <w:rFonts w:ascii="Times New Roman" w:hAnsi="Times New Roman" w:cs="Times New Roman"/>
        </w:rPr>
      </w:pPr>
    </w:p>
    <w:p w14:paraId="2230F086" w14:textId="77777777" w:rsidR="00D8769F" w:rsidRDefault="00D8769F">
      <w:pPr>
        <w:rPr>
          <w:rFonts w:ascii="Times New Roman" w:hAnsi="Times New Roman" w:cs="Times New Roman"/>
        </w:rPr>
      </w:pPr>
    </w:p>
    <w:p w14:paraId="39D7B215" w14:textId="68197E0E" w:rsidR="00D8769F" w:rsidRDefault="00D87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721E6911" w14:textId="77777777" w:rsidR="00D8769F" w:rsidRDefault="00D8769F">
      <w:pPr>
        <w:rPr>
          <w:rFonts w:ascii="Times New Roman" w:hAnsi="Times New Roman" w:cs="Times New Roman"/>
        </w:rPr>
      </w:pPr>
    </w:p>
    <w:p w14:paraId="3A2C2FE5" w14:textId="04CDD6C1" w:rsidR="00D8769F" w:rsidRDefault="00D8769F">
      <w:pPr>
        <w:rPr>
          <w:rFonts w:ascii="Times New Roman" w:hAnsi="Times New Roman" w:cs="Times New Roman"/>
        </w:rPr>
      </w:pPr>
      <w:r w:rsidRPr="00D8769F">
        <w:rPr>
          <w:rFonts w:ascii="Times New Roman" w:hAnsi="Times New Roman" w:cs="Times New Roman"/>
        </w:rPr>
        <w:t xml:space="preserve">Zhang, Yang and Laws, Jason, Investor Sentiment and Forecasting Ability: Evidence from COT Reports in Precious Metal Futures Markets (September 16, 2013). Available at SSRN: https://ssrn.com/abstract=2382299 or </w:t>
      </w:r>
      <w:hyperlink r:id="rId13" w:history="1">
        <w:r w:rsidRPr="00901DC2">
          <w:rPr>
            <w:rStyle w:val="Hyperlink"/>
            <w:rFonts w:ascii="Times New Roman" w:hAnsi="Times New Roman" w:cs="Times New Roman"/>
          </w:rPr>
          <w:t>http://dx.doi.org/10.2139/ssrn.2382299</w:t>
        </w:r>
      </w:hyperlink>
    </w:p>
    <w:p w14:paraId="4A24111A" w14:textId="7CF6BD64" w:rsidR="00D8769F" w:rsidRPr="00DB219F" w:rsidRDefault="00D8769F">
      <w:pPr>
        <w:rPr>
          <w:rFonts w:ascii="Times New Roman" w:hAnsi="Times New Roman" w:cs="Times New Roman"/>
        </w:rPr>
      </w:pPr>
      <w:r>
        <w:t xml:space="preserve">OpenAI. </w:t>
      </w:r>
      <w:r>
        <w:rPr>
          <w:rStyle w:val="Emphasis"/>
        </w:rPr>
        <w:t>ChatGPT (April 16, 2025)</w:t>
      </w:r>
      <w:r>
        <w:t xml:space="preserve">. Available at: </w:t>
      </w:r>
      <w:hyperlink r:id="rId14" w:tgtFrame="_new" w:history="1">
        <w:r>
          <w:rPr>
            <w:rStyle w:val="Hyperlink"/>
          </w:rPr>
          <w:t>https://chat.openai.com</w:t>
        </w:r>
      </w:hyperlink>
      <w:r>
        <w:t xml:space="preserve"> </w:t>
      </w:r>
    </w:p>
    <w:sectPr w:rsidR="00D8769F" w:rsidRPr="00DB219F" w:rsidSect="00D369B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507A" w14:textId="77777777" w:rsidR="00C973D7" w:rsidRDefault="00C973D7" w:rsidP="00EE683C">
      <w:pPr>
        <w:spacing w:after="0" w:line="240" w:lineRule="auto"/>
      </w:pPr>
      <w:r>
        <w:separator/>
      </w:r>
    </w:p>
  </w:endnote>
  <w:endnote w:type="continuationSeparator" w:id="0">
    <w:p w14:paraId="629AC96E" w14:textId="77777777" w:rsidR="00C973D7" w:rsidRDefault="00C973D7" w:rsidP="00EE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8F4D0" w14:textId="77777777" w:rsidR="00C973D7" w:rsidRDefault="00C973D7" w:rsidP="00EE683C">
      <w:pPr>
        <w:spacing w:after="0" w:line="240" w:lineRule="auto"/>
      </w:pPr>
      <w:r>
        <w:separator/>
      </w:r>
    </w:p>
  </w:footnote>
  <w:footnote w:type="continuationSeparator" w:id="0">
    <w:p w14:paraId="2853746E" w14:textId="77777777" w:rsidR="00C973D7" w:rsidRDefault="00C973D7" w:rsidP="00EE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E1D0B" w14:textId="64EDC1FD" w:rsidR="00EE683C" w:rsidRDefault="00EE683C">
    <w:pPr>
      <w:pStyle w:val="Header"/>
    </w:pPr>
    <w:r>
      <w:t>15.437 Optional Project</w:t>
    </w:r>
  </w:p>
  <w:p w14:paraId="5AAB4313" w14:textId="3E34DDF0" w:rsidR="00EE683C" w:rsidRDefault="00EE683C">
    <w:pPr>
      <w:pStyle w:val="Header"/>
    </w:pPr>
    <w:r>
      <w:t xml:space="preserve">Alexander </w:t>
    </w:r>
    <w:proofErr w:type="spellStart"/>
    <w:r>
      <w:t>Podrez</w:t>
    </w:r>
    <w:proofErr w:type="spellEnd"/>
  </w:p>
  <w:p w14:paraId="7BF61629" w14:textId="77777777" w:rsidR="00EE683C" w:rsidRDefault="00EE68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3C"/>
    <w:rsid w:val="000119E3"/>
    <w:rsid w:val="000E47B8"/>
    <w:rsid w:val="00265F0E"/>
    <w:rsid w:val="00372A49"/>
    <w:rsid w:val="00431FA2"/>
    <w:rsid w:val="005E7E4C"/>
    <w:rsid w:val="008D6B68"/>
    <w:rsid w:val="009E410B"/>
    <w:rsid w:val="00BE0B63"/>
    <w:rsid w:val="00C973D7"/>
    <w:rsid w:val="00D07437"/>
    <w:rsid w:val="00D369B3"/>
    <w:rsid w:val="00D8769F"/>
    <w:rsid w:val="00DB219F"/>
    <w:rsid w:val="00DE0BEB"/>
    <w:rsid w:val="00EB38C0"/>
    <w:rsid w:val="00EE683C"/>
    <w:rsid w:val="00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0ABF"/>
  <w15:chartTrackingRefBased/>
  <w15:docId w15:val="{2B48AF0A-4BDC-3642-975B-2610DDE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E68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683C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EE683C"/>
  </w:style>
  <w:style w:type="paragraph" w:styleId="Header">
    <w:name w:val="header"/>
    <w:basedOn w:val="Normal"/>
    <w:link w:val="HeaderChar"/>
    <w:uiPriority w:val="99"/>
    <w:unhideWhenUsed/>
    <w:rsid w:val="00EE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83C"/>
  </w:style>
  <w:style w:type="paragraph" w:styleId="Footer">
    <w:name w:val="footer"/>
    <w:basedOn w:val="Normal"/>
    <w:link w:val="FooterChar"/>
    <w:uiPriority w:val="99"/>
    <w:unhideWhenUsed/>
    <w:rsid w:val="00EE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3C"/>
  </w:style>
  <w:style w:type="character" w:styleId="Hyperlink">
    <w:name w:val="Hyperlink"/>
    <w:basedOn w:val="DefaultParagraphFont"/>
    <w:uiPriority w:val="99"/>
    <w:unhideWhenUsed/>
    <w:rsid w:val="00D87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x.doi.org/10.2139/ssrn.23822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Podrez</dc:creator>
  <cp:keywords/>
  <dc:description/>
  <cp:lastModifiedBy>Alexander Podrez</cp:lastModifiedBy>
  <cp:revision>3</cp:revision>
  <dcterms:created xsi:type="dcterms:W3CDTF">2025-04-17T02:43:00Z</dcterms:created>
  <dcterms:modified xsi:type="dcterms:W3CDTF">2025-04-17T02:43:00Z</dcterms:modified>
</cp:coreProperties>
</file>