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microbial</w:t>
      </w:r>
      <w:r>
        <w:t xml:space="preserve"> </w:t>
      </w:r>
      <w:r>
        <w:t xml:space="preserve">community</w:t>
      </w:r>
      <w:r>
        <w:t xml:space="preserve"> </w:t>
      </w:r>
      <w:r>
        <w:t xml:space="preserve">of</w:t>
      </w:r>
      <w:r>
        <w:t xml:space="preserve"> </w:t>
      </w:r>
      <w:r>
        <w:t xml:space="preserve">the</w:t>
      </w:r>
      <w:r>
        <w:t xml:space="preserve"> </w:t>
      </w:r>
      <w:r>
        <w:t xml:space="preserve">human</w:t>
      </w:r>
      <w:r>
        <w:t xml:space="preserve"> </w:t>
      </w:r>
      <w:r>
        <w:t xml:space="preserve">gut</w:t>
      </w:r>
      <w:r>
        <w:t xml:space="preserve"> </w:t>
      </w:r>
      <w:r>
        <w:t xml:space="preserve">in</w:t>
      </w:r>
      <w:r>
        <w:t xml:space="preserve"> </w:t>
      </w:r>
      <w:r>
        <w:t xml:space="preserve">colorectal</w:t>
      </w:r>
      <w:r>
        <w:t xml:space="preserve"> </w:t>
      </w:r>
      <w:r>
        <w:t xml:space="preserve">cancer</w:t>
      </w:r>
    </w:p>
    <w:p>
      <w:pPr>
        <w:pStyle w:val="Author"/>
      </w:pPr>
      <w:r>
        <w:t xml:space="preserve">Nicole</w:t>
      </w:r>
      <w:r>
        <w:t xml:space="preserve"> </w:t>
      </w:r>
      <w:r>
        <w:t xml:space="preserve">Bowers,</w:t>
      </w:r>
      <w:r>
        <w:t xml:space="preserve"> </w:t>
      </w:r>
      <w:r>
        <w:t xml:space="preserve">Brittany</w:t>
      </w:r>
      <w:r>
        <w:t xml:space="preserve"> </w:t>
      </w:r>
      <w:r>
        <w:t xml:space="preserve">Hicks,</w:t>
      </w:r>
      <w:r>
        <w:t xml:space="preserve"> </w:t>
      </w:r>
      <w:r>
        <w:t xml:space="preserve">Christina</w:t>
      </w:r>
      <w:r>
        <w:t xml:space="preserve"> </w:t>
      </w:r>
      <w:r>
        <w:t xml:space="preserve">Kang-Yun,</w:t>
      </w:r>
      <w:r>
        <w:t xml:space="preserve"> </w:t>
      </w:r>
      <w:r>
        <w:t xml:space="preserve">Katelyn</w:t>
      </w:r>
      <w:r>
        <w:t xml:space="preserve"> </w:t>
      </w:r>
      <w:r>
        <w:t xml:space="preserve">Polemi,</w:t>
      </w:r>
      <w:r>
        <w:t xml:space="preserve"> </w:t>
      </w:r>
      <w:r>
        <w:t xml:space="preserve">Kelly</w:t>
      </w:r>
      <w:r>
        <w:t xml:space="preserve"> </w:t>
      </w:r>
      <w:r>
        <w:t xml:space="preserve">Sovacool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Heading1"/>
      </w:pPr>
      <w:bookmarkStart w:id="22" w:name="methods"/>
      <w:r>
        <w:t xml:space="preserve">Methods</w:t>
      </w:r>
      <w:bookmarkEnd w:id="22"/>
    </w:p>
    <w:p>
      <w:pPr>
        <w:pStyle w:val="Heading2"/>
      </w:pPr>
      <w:bookmarkStart w:id="23" w:name="study-design-and-data-collection"/>
      <w:r>
        <w:t xml:space="preserve">Study design and data collection</w:t>
      </w:r>
      <w:bookmarkEnd w:id="23"/>
    </w:p>
    <w:p>
      <w:pPr>
        <w:pStyle w:val="FirstParagraph"/>
      </w:pPr>
      <w:r>
        <w:t xml:space="preserve">(</w:t>
      </w:r>
      <w:r>
        <w:rPr>
          <w:b/>
        </w:rPr>
        <w:t xml:space="preserve">???</w:t>
      </w:r>
      <w:r>
        <w:t xml:space="preserve">,</w:t>
      </w:r>
      <w:r>
        <w:t xml:space="preserve"> </w:t>
      </w:r>
      <w:hyperlink w:anchor="ref-Zackular_human_2014">
        <w:r>
          <w:rPr>
            <w:rStyle w:val="Hyperlink"/>
          </w:rPr>
          <w:t xml:space="preserve">1</w:t>
        </w:r>
      </w:hyperlink>
      <w:r>
        <w:t xml:space="preserve">)</w:t>
      </w:r>
    </w:p>
    <w:p>
      <w:pPr>
        <w:pStyle w:val="BodyText"/>
      </w:pPr>
      <w:r>
        <w:t xml:space="preserve">The data are available in the NCBI Sequence Read Archive as</w:t>
      </w:r>
      <w:r>
        <w:t xml:space="preserve"> </w:t>
      </w:r>
      <w:hyperlink r:id="rId24">
        <w:r>
          <w:rPr>
            <w:rStyle w:val="Hyperlink"/>
          </w:rPr>
          <w:t xml:space="preserve">PRJNA389927</w:t>
        </w:r>
      </w:hyperlink>
      <w:r>
        <w:t xml:space="preserve">.</w:t>
      </w:r>
      <w:r>
        <w:t xml:space="preserve"> </w:t>
      </w:r>
      <w:r>
        <w:t xml:space="preserve">All code used in preparation of this report is available in the following GitHub repository:</w:t>
      </w:r>
      <w:r>
        <w:t xml:space="preserve"> </w:t>
      </w:r>
      <w:hyperlink r:id="rId25">
        <w:r>
          <w:rPr>
            <w:rStyle w:val="Hyperlink"/>
          </w:rPr>
          <w:t xml:space="preserve">https://github.com/kelly-sovacool/bioinf545-group3-project</w:t>
        </w:r>
      </w:hyperlink>
      <w:r>
        <w:t xml:space="preserve">.</w:t>
      </w:r>
      <w:r>
        <w:t xml:space="preserve"> </w:t>
      </w:r>
    </w:p>
    <w:p>
      <w:pPr>
        <w:pStyle w:val="Heading2"/>
      </w:pPr>
      <w:bookmarkStart w:id="26" w:name="s-rrna-gene-sequence-processing"/>
      <w:r>
        <w:t xml:space="preserve">16S rRNA gene sequence processing</w:t>
      </w:r>
      <w:bookmarkEnd w:id="26"/>
    </w:p>
    <w:p>
      <w:pPr>
        <w:pStyle w:val="Heading2"/>
      </w:pPr>
      <w:bookmarkStart w:id="27" w:name="metagenome-and-virome-quality-control"/>
      <w:r>
        <w:t xml:space="preserve">Metagenome and virome quality control</w:t>
      </w:r>
      <w:bookmarkEnd w:id="27"/>
    </w:p>
    <w:p>
      <w:pPr>
        <w:pStyle w:val="FirstParagraph"/>
      </w:pPr>
      <w:r>
        <w:t xml:space="preserve">Trimmomatic (v.0.39)</w:t>
      </w:r>
      <w:r>
        <w:t xml:space="preserve"> </w:t>
      </w:r>
      <w:r>
        <w:t xml:space="preserve">(</w:t>
      </w:r>
      <w:hyperlink w:anchor="ref-bolger_trimmomatic_2014">
        <w:r>
          <w:rPr>
            <w:rStyle w:val="Hyperlink"/>
          </w:rPr>
          <w:t xml:space="preserve">2</w:t>
        </w:r>
      </w:hyperlink>
      <w:r>
        <w:t xml:space="preserve">)</w:t>
      </w:r>
      <w:r>
        <w:t xml:space="preserve"> </w:t>
      </w:r>
      <w:r>
        <w:t xml:space="preserve">was used to remove adapter sequences and low-quality reads in metagenome and virome sample sets.</w:t>
      </w:r>
      <w:r>
        <w:t xml:space="preserve"> </w:t>
      </w:r>
      <w:r>
        <w:t xml:space="preserve">The read quality was assessed using FastQC (v.0.11.9)</w:t>
      </w:r>
      <w:r>
        <w:t xml:space="preserve"> </w:t>
      </w:r>
      <w:r>
        <w:t xml:space="preserve">(</w:t>
      </w:r>
      <w:hyperlink w:anchor="ref-andrews_fastqc_2010">
        <w:r>
          <w:rPr>
            <w:rStyle w:val="Hyperlink"/>
          </w:rPr>
          <w:t xml:space="preserve">3</w:t>
        </w:r>
      </w:hyperlink>
      <w:r>
        <w:t xml:space="preserve">)</w:t>
      </w:r>
      <w:r>
        <w:t xml:space="preserve"> </w:t>
      </w:r>
      <w:r>
        <w:t xml:space="preserve">before and after adapter trimming to confirm removal of adapters and low quality reads.</w:t>
      </w:r>
      <w:r>
        <w:t xml:space="preserve"> </w:t>
      </w:r>
      <w:r>
        <w:t xml:space="preserve">Unpaired reads were dropped using the repair function in BBTools (v.37.62)</w:t>
      </w:r>
      <w:r>
        <w:t xml:space="preserve"> </w:t>
      </w:r>
      <w:r>
        <w:t xml:space="preserve">(</w:t>
      </w:r>
      <w:hyperlink w:anchor="ref-bushnell_bbtools_2018">
        <w:r>
          <w:rPr>
            <w:rStyle w:val="Hyperlink"/>
          </w:rPr>
          <w:t xml:space="preserve">4</w:t>
        </w:r>
      </w:hyperlink>
      <w:r>
        <w:t xml:space="preserve">)</w:t>
      </w:r>
      <w:r>
        <w:t xml:space="preserve">.</w:t>
      </w:r>
      <w:r>
        <w:t xml:space="preserve"> </w:t>
      </w:r>
      <w:r>
        <w:t xml:space="preserve">Then, reads mapping to the human GRCh38 reference genome were removed using the BWA-MEM algorithm (BWA v.0.7.12)</w:t>
      </w:r>
      <w:r>
        <w:t xml:space="preserve"> </w:t>
      </w:r>
      <w:r>
        <w:t xml:space="preserve">(</w:t>
      </w:r>
      <w:hyperlink w:anchor="ref-li_aligning_2013">
        <w:r>
          <w:rPr>
            <w:rStyle w:val="Hyperlink"/>
          </w:rPr>
          <w:t xml:space="preserve">5</w:t>
        </w:r>
      </w:hyperlink>
      <w:r>
        <w:t xml:space="preserve">)</w:t>
      </w:r>
      <w:r>
        <w:t xml:space="preserve">.</w:t>
      </w:r>
      <w:r>
        <w:t xml:space="preserve"> </w:t>
      </w:r>
      <w:r>
        <w:t xml:space="preserve">The paired unmapped reads were used for taxonomic profiling and gene annotation.</w:t>
      </w:r>
    </w:p>
    <w:p>
      <w:pPr>
        <w:pStyle w:val="Heading2"/>
      </w:pPr>
      <w:bookmarkStart w:id="28" w:name="virome-assembly"/>
      <w:r>
        <w:t xml:space="preserve">Virome assembly</w:t>
      </w:r>
      <w:bookmarkEnd w:id="28"/>
    </w:p>
    <w:p>
      <w:pPr>
        <w:pStyle w:val="Heading2"/>
      </w:pPr>
      <w:bookmarkStart w:id="29" w:name="classification-modeling"/>
      <w:r>
        <w:t xml:space="preserve">Classification modeling</w:t>
      </w:r>
      <w:bookmarkEnd w:id="29"/>
    </w:p>
    <w:p>
      <w:pPr>
        <w:pStyle w:val="Heading2"/>
      </w:pPr>
      <w:bookmarkStart w:id="30" w:name="metagenome-taxonomic-profiling-and-gene-annotation"/>
      <w:r>
        <w:t xml:space="preserve">Metagenome taxonomic profiling and gene annotation</w:t>
      </w:r>
      <w:bookmarkEnd w:id="30"/>
    </w:p>
    <w:p>
      <w:pPr>
        <w:pStyle w:val="FirstParagraph"/>
      </w:pPr>
      <w:r>
        <w:t xml:space="preserve">The human genome-free reads were used to profile the metagenomic taxonomy at the species, genus, family, and phylum levels using MetaPhlAn2</w:t>
      </w:r>
      <w:r>
        <w:t xml:space="preserve"> </w:t>
      </w:r>
      <w:r>
        <w:t xml:space="preserve">(</w:t>
      </w:r>
      <w:hyperlink w:anchor="ref-truong_metaphlan2_2015">
        <w:r>
          <w:rPr>
            <w:rStyle w:val="Hyperlink"/>
          </w:rPr>
          <w:t xml:space="preserve">6</w:t>
        </w:r>
      </w:hyperlink>
      <w:r>
        <w:t xml:space="preserve">)</w:t>
      </w:r>
      <w:r>
        <w:t xml:space="preserve">.</w:t>
      </w:r>
      <w:r>
        <w:t xml:space="preserve"> </w:t>
      </w:r>
      <w:r>
        <w:t xml:space="preserve">The results were visualized using the R package phyloseq</w:t>
      </w:r>
      <w:r>
        <w:t xml:space="preserve"> </w:t>
      </w:r>
      <w:r>
        <w:t xml:space="preserve">(</w:t>
      </w:r>
      <w:hyperlink w:anchor="ref-mcmurdie_phyloseq_2013">
        <w:r>
          <w:rPr>
            <w:rStyle w:val="Hyperlink"/>
          </w:rPr>
          <w:t xml:space="preserve">7</w:t>
        </w:r>
      </w:hyperlink>
      <w:r>
        <w:t xml:space="preserve">)</w:t>
      </w:r>
      <w:r>
        <w:t xml:space="preserve">.</w:t>
      </w:r>
    </w:p>
    <w:p>
      <w:pPr>
        <w:pStyle w:val="BodyText"/>
      </w:pPr>
      <w:r>
        <w:t xml:space="preserve">The paired reads that did not map to the human genome were aligned to the integrated gene catalog (IGC)</w:t>
      </w:r>
      <w:r>
        <w:t xml:space="preserve"> </w:t>
      </w:r>
      <w:r>
        <w:t xml:space="preserve">(</w:t>
      </w:r>
      <w:hyperlink w:anchor="ref-li_integrated_2014">
        <w:r>
          <w:rPr>
            <w:rStyle w:val="Hyperlink"/>
          </w:rPr>
          <w:t xml:space="preserve">8</w:t>
        </w:r>
      </w:hyperlink>
      <w:r>
        <w:t xml:space="preserve">)</w:t>
      </w:r>
      <w:r>
        <w:t xml:space="preserve"> </w:t>
      </w:r>
      <w:r>
        <w:t xml:space="preserve">of 1267 gut microbiome samples consisting of approximately 10 million genes with the BWA MEM algorithm for metagenome annotation</w:t>
      </w:r>
      <w:r>
        <w:t xml:space="preserve"> </w:t>
      </w:r>
      <w:r>
        <w:t xml:space="preserve">(</w:t>
      </w:r>
      <w:hyperlink w:anchor="ref-li_aligning_2013">
        <w:r>
          <w:rPr>
            <w:rStyle w:val="Hyperlink"/>
          </w:rPr>
          <w:t xml:space="preserve">5</w:t>
        </w:r>
      </w:hyperlink>
      <w:r>
        <w:t xml:space="preserve">)</w:t>
      </w:r>
      <w:r>
        <w:t xml:space="preserve">.</w:t>
      </w:r>
      <w:r>
        <w:t xml:space="preserve"> </w:t>
      </w:r>
      <w:r>
        <w:t xml:space="preserve">Annotated genes were extracted from the alignment results using functions geneList and countKegg modified from the MGS-Fast pipeline</w:t>
      </w:r>
      <w:r>
        <w:t xml:space="preserve"> </w:t>
      </w:r>
      <w:r>
        <w:t xml:space="preserve">(</w:t>
      </w:r>
      <w:hyperlink w:anchor="ref-brown_mgs-fast_2019">
        <w:r>
          <w:rPr>
            <w:rStyle w:val="Hyperlink"/>
          </w:rPr>
          <w:t xml:space="preserve">9</w:t>
        </w:r>
      </w:hyperlink>
      <w:r>
        <w:t xml:space="preserve">)</w:t>
      </w:r>
      <w:r>
        <w:t xml:space="preserve">.</w:t>
      </w:r>
      <w:r>
        <w:t xml:space="preserve"> </w:t>
      </w:r>
      <w:r>
        <w:t xml:space="preserve">The differences in gene abundance between healthy, adenoma, and cancer groups were assessed using the R package edgeR</w:t>
      </w:r>
      <w:r>
        <w:t xml:space="preserve"> </w:t>
      </w:r>
      <w:r>
        <w:t xml:space="preserve">(</w:t>
      </w:r>
      <w:hyperlink w:anchor="ref-robinson_edger_2009">
        <w:r>
          <w:rPr>
            <w:rStyle w:val="Hyperlink"/>
          </w:rPr>
          <w:t xml:space="preserve">10</w:t>
        </w:r>
      </w:hyperlink>
      <w:r>
        <w:t xml:space="preserve">)</w:t>
      </w:r>
      <w:r>
        <w:t xml:space="preserve">.</w:t>
      </w:r>
      <w:r>
        <w:t xml:space="preserve"> </w:t>
      </w:r>
      <w:r>
        <w:t xml:space="preserve">The top 500 KEGG numbers of genes that were significantly different between healthy and other groups were selected and the relevant KEGG pathway was determined using the KEGG mapper tool</w:t>
      </w:r>
      <w:r>
        <w:t xml:space="preserve"> </w:t>
      </w:r>
      <w:r>
        <w:t xml:space="preserve">(</w:t>
      </w:r>
      <w:hyperlink w:anchor="ref-kanehisa_kegg_2020">
        <w:r>
          <w:rPr>
            <w:rStyle w:val="Hyperlink"/>
          </w:rPr>
          <w:t xml:space="preserve">11</w:t>
        </w:r>
      </w:hyperlink>
      <w:r>
        <w:t xml:space="preserve">)</w:t>
      </w:r>
      <w:r>
        <w:t xml:space="preserve">.</w:t>
      </w:r>
    </w:p>
    <w:p>
      <w:pPr>
        <w:pStyle w:val="Heading1"/>
      </w:pPr>
      <w:bookmarkStart w:id="31" w:name="results"/>
      <w:r>
        <w:t xml:space="preserve">Results</w:t>
      </w:r>
      <w:bookmarkEnd w:id="31"/>
    </w:p>
    <w:p>
      <w:pPr>
        <w:pStyle w:val="FirstParagraph"/>
      </w:pPr>
      <w:r>
        <w:t xml:space="preserve">Example of referring to a figure in text (Fig.</w:t>
      </w:r>
      <w:r>
        <w:t xml:space="preserve"> </w:t>
      </w:r>
      <w:r>
        <w:t xml:space="preserve">)</w:t>
      </w:r>
      <w:r>
        <w:t xml:space="preserve"> </w:t>
      </w:r>
      <w:r>
        <w:t xml:space="preserve">and including it inline with the text.</w:t>
      </w:r>
      <w:r>
        <w:br w:type="textWrapping"/>
      </w:r>
    </w:p>
    <w:p>
      <w:pPr>
        <w:pStyle w:val="Heading2"/>
      </w:pPr>
      <w:bookmarkStart w:id="32" w:name="metagenome-annotation-and-quantification"/>
      <w:r>
        <w:t xml:space="preserve">Metagenome annotation and quantification</w:t>
      </w:r>
      <w:bookmarkEnd w:id="32"/>
    </w:p>
    <w:p>
      <w:pPr>
        <w:pStyle w:val="FirstParagraph"/>
      </w:pPr>
      <w:r>
        <w:t xml:space="preserve">The gut metagenome from patients that are healthy or diagnosed with adenoma or cancer was aligned to the IGC database to annotate the genes with KEGG numbers.</w:t>
      </w:r>
      <w:r>
        <w:t xml:space="preserve"> </w:t>
      </w:r>
      <w:r>
        <w:t xml:space="preserve">KEGG number counts were calculated for all samples, then were used to determine whether specific genes were more or less abundant in patients with adenoma or cancer as compared to those who are healthy using edgeR.</w:t>
      </w:r>
      <w:r>
        <w:t xml:space="preserve"> </w:t>
      </w:r>
      <w:r>
        <w:t xml:space="preserve">Seven samples, including the negative control, with extremely low read counts were excluded from subsequent analyses, as they strongly skewed the results.</w:t>
      </w:r>
      <w:r>
        <w:t xml:space="preserve"> </w:t>
      </w:r>
      <w:r>
        <w:t xml:space="preserve">Multidimensional scaling (MDS) analysis of the KEGG number counts between different groups did not show clear clustering within group (Fig.</w:t>
      </w:r>
      <w:r>
        <w:t xml:space="preserve"> </w:t>
      </w:r>
      <w:r>
        <w:t xml:space="preserve">).</w:t>
      </w:r>
      <w:r>
        <w:t xml:space="preserve"> </w:t>
      </w:r>
      <w:r>
        <w:t xml:space="preserve">Subsequent differential abundance analysis compared the abundance of 5821 distinct genes between healthy vs adenoma and healthy vs cancer patients.</w:t>
      </w:r>
      <w:r>
        <w:t xml:space="preserve"> </w:t>
      </w:r>
      <w:r>
        <w:t xml:space="preserve">In both cases, there were approximately 100 genes that were less abundant in adenoma and cancer patients, whereas around 1200 to 1500 genes were more abundant.</w:t>
      </w:r>
      <w:r>
        <w:t xml:space="preserve"> </w:t>
      </w:r>
      <w:r>
        <w:t xml:space="preserve">Of these differentially abundant genes, 100 genes and 500 genes that are less and more abundant in adenoma or cancer patients were used to map to metabolic pathways using the KEGG mapper.</w:t>
      </w:r>
    </w:p>
    <w:p>
      <w:pPr>
        <w:pStyle w:val="Heading1"/>
      </w:pPr>
      <w:bookmarkStart w:id="33" w:name="discussion"/>
      <w:r>
        <w:t xml:space="preserve">Discussion</w:t>
      </w:r>
      <w:bookmarkEnd w:id="33"/>
    </w:p>
    <w:p>
      <w:pPr>
        <w:pStyle w:val="Heading1"/>
      </w:pPr>
      <w:bookmarkStart w:id="34" w:name="acknowledgements"/>
      <w:r>
        <w:t xml:space="preserve">Acknowledgements</w:t>
      </w:r>
      <w:bookmarkEnd w:id="34"/>
    </w:p>
    <w:p>
      <w:pPr>
        <w:pStyle w:val="FirstParagraph"/>
      </w:pPr>
      <w:r>
        <w:t xml:space="preserve">Author order was determined by alphabetizing by last name.</w:t>
      </w:r>
      <w:r>
        <w:t xml:space="preserve"> </w:t>
      </w:r>
      <w:r>
        <w:t xml:space="preserve">Christina Kang-Yun constructed the workflow for preprocessing metagenome data, taxonomic profiling, and gene annotation and prepared the methods and results for these analyses.</w:t>
      </w:r>
      <w:r>
        <w:t xml:space="preserve"> </w:t>
      </w:r>
    </w:p>
    <w:p>
      <w:pPr>
        <w:pStyle w:val="Heading1"/>
      </w:pPr>
      <w:bookmarkStart w:id="35" w:name="references"/>
      <w:r>
        <w:t xml:space="preserve">References</w:t>
      </w:r>
      <w:bookmarkEnd w:id="35"/>
    </w:p>
    <w:bookmarkStart w:id="55" w:name="refs"/>
    <w:bookmarkStart w:id="37" w:name="ref-Zackular_human_2014"/>
    <w:p>
      <w:pPr>
        <w:pStyle w:val="Bibliography"/>
      </w:pPr>
      <w:r>
        <w:t xml:space="preserve">1.</w:t>
      </w:r>
      <w:r>
        <w:t xml:space="preserve"> </w:t>
      </w:r>
      <w:r>
        <w:rPr>
          <w:b/>
        </w:rPr>
        <w:t xml:space="preserve">Zackular JP</w:t>
      </w:r>
      <w:r>
        <w:t xml:space="preserve">,</w:t>
      </w:r>
      <w:r>
        <w:t xml:space="preserve"> </w:t>
      </w:r>
      <w:r>
        <w:rPr>
          <w:b/>
        </w:rPr>
        <w:t xml:space="preserve">Rogers MA</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Prevention Research</w:t>
      </w:r>
      <w:r>
        <w:t xml:space="preserve"> </w:t>
      </w:r>
      <w:r>
        <w:rPr>
          <w:b/>
        </w:rPr>
        <w:t xml:space="preserve">7</w:t>
      </w:r>
      <w:r>
        <w:t xml:space="preserve">:1112–1121. doi:</w:t>
      </w:r>
      <w:hyperlink r:id="rId36">
        <w:r>
          <w:rPr>
            <w:rStyle w:val="Hyperlink"/>
          </w:rPr>
          <w:t xml:space="preserve">10.1158/1940-6207.CAPR-14-0129</w:t>
        </w:r>
      </w:hyperlink>
      <w:r>
        <w:t xml:space="preserve">.</w:t>
      </w:r>
    </w:p>
    <w:bookmarkEnd w:id="37"/>
    <w:bookmarkStart w:id="39" w:name="ref-bolger_trimmomatic_2014"/>
    <w:p>
      <w:pPr>
        <w:pStyle w:val="Bibliography"/>
      </w:pPr>
      <w:r>
        <w:t xml:space="preserve">2.</w:t>
      </w:r>
      <w:r>
        <w:t xml:space="preserve"> </w:t>
      </w:r>
      <w:r>
        <w:rPr>
          <w:b/>
        </w:rPr>
        <w:t xml:space="preserve">Bolger AM</w:t>
      </w:r>
      <w:r>
        <w:t xml:space="preserve">,</w:t>
      </w:r>
      <w:r>
        <w:t xml:space="preserve"> </w:t>
      </w:r>
      <w:r>
        <w:rPr>
          <w:b/>
        </w:rPr>
        <w:t xml:space="preserve">Lohse M</w:t>
      </w:r>
      <w:r>
        <w:t xml:space="preserve">,</w:t>
      </w:r>
      <w:r>
        <w:t xml:space="preserve"> </w:t>
      </w:r>
      <w:r>
        <w:rPr>
          <w:b/>
        </w:rPr>
        <w:t xml:space="preserve">Usadel B</w:t>
      </w:r>
      <w:r>
        <w:t xml:space="preserve">. 2014. Trimmomatic: a flexible trimmer for Illumina sequence data. Bioinformatics</w:t>
      </w:r>
      <w:r>
        <w:t xml:space="preserve"> </w:t>
      </w:r>
      <w:r>
        <w:rPr>
          <w:b/>
        </w:rPr>
        <w:t xml:space="preserve">30</w:t>
      </w:r>
      <w:r>
        <w:t xml:space="preserve">:2114–2120. doi:</w:t>
      </w:r>
      <w:hyperlink r:id="rId38">
        <w:r>
          <w:rPr>
            <w:rStyle w:val="Hyperlink"/>
          </w:rPr>
          <w:t xml:space="preserve">10.1093/bioinformatics/btu170</w:t>
        </w:r>
      </w:hyperlink>
      <w:r>
        <w:t xml:space="preserve">.</w:t>
      </w:r>
    </w:p>
    <w:bookmarkEnd w:id="39"/>
    <w:bookmarkStart w:id="40" w:name="ref-andrews_fastqc_2010"/>
    <w:p>
      <w:pPr>
        <w:pStyle w:val="Bibliography"/>
      </w:pPr>
      <w:r>
        <w:t xml:space="preserve">3.</w:t>
      </w:r>
      <w:r>
        <w:t xml:space="preserve"> </w:t>
      </w:r>
      <w:r>
        <w:rPr>
          <w:b/>
        </w:rPr>
        <w:t xml:space="preserve">Andrews S</w:t>
      </w:r>
      <w:r>
        <w:t xml:space="preserve">,</w:t>
      </w:r>
      <w:r>
        <w:t xml:space="preserve"> </w:t>
      </w:r>
      <w:r>
        <w:rPr>
          <w:b/>
        </w:rPr>
        <w:t xml:space="preserve">Krueger F</w:t>
      </w:r>
      <w:r>
        <w:t xml:space="preserve">,</w:t>
      </w:r>
      <w:r>
        <w:t xml:space="preserve"> </w:t>
      </w:r>
      <w:r>
        <w:rPr>
          <w:b/>
        </w:rPr>
        <w:t xml:space="preserve">Segonds-Pichon A</w:t>
      </w:r>
      <w:r>
        <w:t xml:space="preserve">,</w:t>
      </w:r>
      <w:r>
        <w:t xml:space="preserve"> </w:t>
      </w:r>
      <w:r>
        <w:rPr>
          <w:b/>
        </w:rPr>
        <w:t xml:space="preserve">Biggins L</w:t>
      </w:r>
      <w:r>
        <w:t xml:space="preserve">,</w:t>
      </w:r>
      <w:r>
        <w:t xml:space="preserve"> </w:t>
      </w:r>
      <w:r>
        <w:rPr>
          <w:b/>
        </w:rPr>
        <w:t xml:space="preserve">Krueger C</w:t>
      </w:r>
      <w:r>
        <w:t xml:space="preserve">,</w:t>
      </w:r>
      <w:r>
        <w:t xml:space="preserve"> </w:t>
      </w:r>
      <w:r>
        <w:rPr>
          <w:b/>
        </w:rPr>
        <w:t xml:space="preserve">Wingett S</w:t>
      </w:r>
      <w:r>
        <w:t xml:space="preserve">. 2010. FastQC. Babraham Institute, Babraham, UK.</w:t>
      </w:r>
    </w:p>
    <w:bookmarkEnd w:id="40"/>
    <w:bookmarkStart w:id="41" w:name="ref-bushnell_bbtools_2018"/>
    <w:p>
      <w:pPr>
        <w:pStyle w:val="Bibliography"/>
      </w:pPr>
      <w:r>
        <w:t xml:space="preserve">4.</w:t>
      </w:r>
      <w:r>
        <w:t xml:space="preserve"> </w:t>
      </w:r>
      <w:r>
        <w:rPr>
          <w:b/>
        </w:rPr>
        <w:t xml:space="preserve">Bushnell B</w:t>
      </w:r>
      <w:r>
        <w:t xml:space="preserve">. 2018. BBTools: A suite of fast, multithreaded bioinformatics tools designed for analysis of dna and rna sequence data.</w:t>
      </w:r>
    </w:p>
    <w:bookmarkEnd w:id="41"/>
    <w:bookmarkStart w:id="42" w:name="ref-li_aligning_2013"/>
    <w:p>
      <w:pPr>
        <w:pStyle w:val="Bibliography"/>
      </w:pPr>
      <w:r>
        <w:t xml:space="preserve">5.</w:t>
      </w:r>
      <w:r>
        <w:t xml:space="preserve"> </w:t>
      </w:r>
      <w:r>
        <w:rPr>
          <w:b/>
        </w:rPr>
        <w:t xml:space="preserve">Li H</w:t>
      </w:r>
      <w:r>
        <w:t xml:space="preserve">. 2013. Aligning sequence reads, clone sequences and assembly contigs with bwa-mem.</w:t>
      </w:r>
    </w:p>
    <w:bookmarkEnd w:id="42"/>
    <w:bookmarkStart w:id="44" w:name="ref-truong_metaphlan2_2015"/>
    <w:p>
      <w:pPr>
        <w:pStyle w:val="Bibliography"/>
      </w:pPr>
      <w:r>
        <w:t xml:space="preserve">6.</w:t>
      </w:r>
      <w:r>
        <w:t xml:space="preserve"> </w:t>
      </w:r>
      <w:r>
        <w:rPr>
          <w:b/>
        </w:rPr>
        <w:t xml:space="preserve">Truong DT</w:t>
      </w:r>
      <w:r>
        <w:t xml:space="preserve">,</w:t>
      </w:r>
      <w:r>
        <w:t xml:space="preserve"> </w:t>
      </w:r>
      <w:r>
        <w:rPr>
          <w:b/>
        </w:rPr>
        <w:t xml:space="preserve">Franzosa EA</w:t>
      </w:r>
      <w:r>
        <w:t xml:space="preserve">,</w:t>
      </w:r>
      <w:r>
        <w:t xml:space="preserve"> </w:t>
      </w:r>
      <w:r>
        <w:rPr>
          <w:b/>
        </w:rPr>
        <w:t xml:space="preserve">Tickle TL</w:t>
      </w:r>
      <w:r>
        <w:t xml:space="preserve">,</w:t>
      </w:r>
      <w:r>
        <w:t xml:space="preserve"> </w:t>
      </w:r>
      <w:r>
        <w:rPr>
          <w:b/>
        </w:rPr>
        <w:t xml:space="preserve">Scholz M</w:t>
      </w:r>
      <w:r>
        <w:t xml:space="preserve">,</w:t>
      </w:r>
      <w:r>
        <w:t xml:space="preserve"> </w:t>
      </w:r>
      <w:r>
        <w:rPr>
          <w:b/>
        </w:rPr>
        <w:t xml:space="preserve">Weingart G</w:t>
      </w:r>
      <w:r>
        <w:t xml:space="preserve">,</w:t>
      </w:r>
      <w:r>
        <w:t xml:space="preserve"> </w:t>
      </w:r>
      <w:r>
        <w:rPr>
          <w:b/>
        </w:rPr>
        <w:t xml:space="preserve">Pasolli E</w:t>
      </w:r>
      <w:r>
        <w:t xml:space="preserve">,</w:t>
      </w:r>
      <w:r>
        <w:t xml:space="preserve"> </w:t>
      </w:r>
      <w:r>
        <w:rPr>
          <w:b/>
        </w:rPr>
        <w:t xml:space="preserve">Tett A</w:t>
      </w:r>
      <w:r>
        <w:t xml:space="preserve">,</w:t>
      </w:r>
      <w:r>
        <w:t xml:space="preserve"> </w:t>
      </w:r>
      <w:r>
        <w:rPr>
          <w:b/>
        </w:rPr>
        <w:t xml:space="preserve">Huttenhower C</w:t>
      </w:r>
      <w:r>
        <w:t xml:space="preserve">,</w:t>
      </w:r>
      <w:r>
        <w:t xml:space="preserve"> </w:t>
      </w:r>
      <w:r>
        <w:rPr>
          <w:b/>
        </w:rPr>
        <w:t xml:space="preserve">Segata N</w:t>
      </w:r>
      <w:r>
        <w:t xml:space="preserve">. 2015. MetaPhlAn2 for enhanced metagenomic taxonomic profiling. Nature Methods</w:t>
      </w:r>
      <w:r>
        <w:t xml:space="preserve"> </w:t>
      </w:r>
      <w:r>
        <w:rPr>
          <w:b/>
        </w:rPr>
        <w:t xml:space="preserve">12</w:t>
      </w:r>
      <w:r>
        <w:t xml:space="preserve">:902–903. doi:</w:t>
      </w:r>
      <w:hyperlink r:id="rId43">
        <w:r>
          <w:rPr>
            <w:rStyle w:val="Hyperlink"/>
          </w:rPr>
          <w:t xml:space="preserve">10.1038/nmeth.3589</w:t>
        </w:r>
      </w:hyperlink>
      <w:r>
        <w:t xml:space="preserve">.</w:t>
      </w:r>
    </w:p>
    <w:bookmarkEnd w:id="44"/>
    <w:bookmarkStart w:id="46" w:name="ref-mcmurdie_phyloseq_2013"/>
    <w:p>
      <w:pPr>
        <w:pStyle w:val="Bibliography"/>
      </w:pPr>
      <w:r>
        <w:t xml:space="preserve">7.</w:t>
      </w:r>
      <w:r>
        <w:t xml:space="preserve"> </w:t>
      </w:r>
      <w:r>
        <w:rPr>
          <w:b/>
        </w:rPr>
        <w:t xml:space="preserve">McMurdie S</w:t>
      </w:r>
      <w:r>
        <w:rPr>
          <w:b/>
        </w:rPr>
        <w:t xml:space="preserve"> </w:t>
      </w:r>
      <w:r>
        <w:rPr>
          <w:b w:val="0"/>
          <w:b/>
        </w:rPr>
        <w:t xml:space="preserve">Paul J. AND Holmes</w:t>
      </w:r>
      <w:r>
        <w:t xml:space="preserve">. 2013. Phyloseq: An r package for reproducible interactive analysis and graphics of microbiome census data. PLOS ONE</w:t>
      </w:r>
      <w:r>
        <w:t xml:space="preserve"> </w:t>
      </w:r>
      <w:r>
        <w:rPr>
          <w:b/>
        </w:rPr>
        <w:t xml:space="preserve">8</w:t>
      </w:r>
      <w:r>
        <w:t xml:space="preserve">:1–11. doi:</w:t>
      </w:r>
      <w:hyperlink r:id="rId45">
        <w:r>
          <w:rPr>
            <w:rStyle w:val="Hyperlink"/>
          </w:rPr>
          <w:t xml:space="preserve">10.1371/journal.pone.0061217</w:t>
        </w:r>
      </w:hyperlink>
      <w:r>
        <w:t xml:space="preserve">.</w:t>
      </w:r>
    </w:p>
    <w:bookmarkEnd w:id="46"/>
    <w:bookmarkStart w:id="48" w:name="ref-li_integrated_2014"/>
    <w:p>
      <w:pPr>
        <w:pStyle w:val="Bibliography"/>
      </w:pPr>
      <w:r>
        <w:t xml:space="preserve">8.</w:t>
      </w:r>
      <w:r>
        <w:t xml:space="preserve"> </w:t>
      </w:r>
      <w:r>
        <w:rPr>
          <w:b/>
        </w:rPr>
        <w:t xml:space="preserve">Li J</w:t>
      </w:r>
      <w:r>
        <w:t xml:space="preserve">,</w:t>
      </w:r>
      <w:r>
        <w:t xml:space="preserve"> </w:t>
      </w:r>
      <w:r>
        <w:rPr>
          <w:b/>
        </w:rPr>
        <w:t xml:space="preserve">Jia H</w:t>
      </w:r>
      <w:r>
        <w:t xml:space="preserve">,</w:t>
      </w:r>
      <w:r>
        <w:t xml:space="preserve"> </w:t>
      </w:r>
      <w:r>
        <w:rPr>
          <w:b/>
        </w:rPr>
        <w:t xml:space="preserve">Cai X</w:t>
      </w:r>
      <w:r>
        <w:t xml:space="preserve">,</w:t>
      </w:r>
      <w:r>
        <w:t xml:space="preserve"> </w:t>
      </w:r>
      <w:r>
        <w:rPr>
          <w:b/>
        </w:rPr>
        <w:t xml:space="preserve">Zhong H</w:t>
      </w:r>
      <w:r>
        <w:t xml:space="preserve">,</w:t>
      </w:r>
      <w:r>
        <w:t xml:space="preserve"> </w:t>
      </w:r>
      <w:r>
        <w:rPr>
          <w:b/>
        </w:rPr>
        <w:t xml:space="preserve">Feng Q</w:t>
      </w:r>
      <w:r>
        <w:t xml:space="preserve">,</w:t>
      </w:r>
      <w:r>
        <w:t xml:space="preserve"> </w:t>
      </w:r>
      <w:r>
        <w:rPr>
          <w:b/>
        </w:rPr>
        <w:t xml:space="preserve">Sunagawa S</w:t>
      </w:r>
      <w:r>
        <w:t xml:space="preserve">,</w:t>
      </w:r>
      <w:r>
        <w:t xml:space="preserve"> </w:t>
      </w:r>
      <w:r>
        <w:rPr>
          <w:b/>
        </w:rPr>
        <w:t xml:space="preserve">Arumugam M</w:t>
      </w:r>
      <w:r>
        <w:t xml:space="preserve">,</w:t>
      </w:r>
      <w:r>
        <w:t xml:space="preserve"> </w:t>
      </w:r>
      <w:r>
        <w:rPr>
          <w:b/>
        </w:rPr>
        <w:t xml:space="preserve">Kultima JR</w:t>
      </w:r>
      <w:r>
        <w:t xml:space="preserve">,</w:t>
      </w:r>
      <w:r>
        <w:t xml:space="preserve"> </w:t>
      </w:r>
      <w:r>
        <w:rPr>
          <w:b/>
        </w:rPr>
        <w:t xml:space="preserve">Prifti E</w:t>
      </w:r>
      <w:r>
        <w:t xml:space="preserve">,</w:t>
      </w:r>
      <w:r>
        <w:t xml:space="preserve"> </w:t>
      </w:r>
      <w:r>
        <w:rPr>
          <w:b/>
        </w:rPr>
        <w:t xml:space="preserve">Nielsen T</w:t>
      </w:r>
      <w:r>
        <w:t xml:space="preserve">,</w:t>
      </w:r>
      <w:r>
        <w:t xml:space="preserve"> </w:t>
      </w:r>
      <w:r>
        <w:rPr>
          <w:b/>
        </w:rPr>
        <w:t xml:space="preserve">Juncker AS</w:t>
      </w:r>
      <w:r>
        <w:t xml:space="preserve">,</w:t>
      </w:r>
      <w:r>
        <w:t xml:space="preserve"> </w:t>
      </w:r>
      <w:r>
        <w:rPr>
          <w:b/>
        </w:rPr>
        <w:t xml:space="preserve">Manichanh C</w:t>
      </w:r>
      <w:r>
        <w:t xml:space="preserve">,</w:t>
      </w:r>
      <w:r>
        <w:t xml:space="preserve"> </w:t>
      </w:r>
      <w:r>
        <w:rPr>
          <w:b/>
        </w:rPr>
        <w:t xml:space="preserve">Chen B</w:t>
      </w:r>
      <w:r>
        <w:t xml:space="preserve">,</w:t>
      </w:r>
      <w:r>
        <w:t xml:space="preserve"> </w:t>
      </w:r>
      <w:r>
        <w:rPr>
          <w:b/>
        </w:rPr>
        <w:t xml:space="preserve">Zhang W</w:t>
      </w:r>
      <w:r>
        <w:t xml:space="preserve">,</w:t>
      </w:r>
      <w:r>
        <w:t xml:space="preserve"> </w:t>
      </w:r>
      <w:r>
        <w:rPr>
          <w:b/>
        </w:rPr>
        <w:t xml:space="preserve">Levenez F</w:t>
      </w:r>
      <w:r>
        <w:t xml:space="preserve">,</w:t>
      </w:r>
      <w:r>
        <w:t xml:space="preserve"> </w:t>
      </w:r>
      <w:r>
        <w:rPr>
          <w:b/>
        </w:rPr>
        <w:t xml:space="preserve">Wang J</w:t>
      </w:r>
      <w:r>
        <w:t xml:space="preserve">,</w:t>
      </w:r>
      <w:r>
        <w:t xml:space="preserve"> </w:t>
      </w:r>
      <w:r>
        <w:rPr>
          <w:b/>
        </w:rPr>
        <w:t xml:space="preserve">Xu X</w:t>
      </w:r>
      <w:r>
        <w:t xml:space="preserve">,</w:t>
      </w:r>
      <w:r>
        <w:t xml:space="preserve"> </w:t>
      </w:r>
      <w:r>
        <w:rPr>
          <w:b/>
        </w:rPr>
        <w:t xml:space="preserve">Xiao L</w:t>
      </w:r>
      <w:r>
        <w:t xml:space="preserve">,</w:t>
      </w:r>
      <w:r>
        <w:t xml:space="preserve"> </w:t>
      </w:r>
      <w:r>
        <w:rPr>
          <w:b/>
        </w:rPr>
        <w:t xml:space="preserve">Liang S</w:t>
      </w:r>
      <w:r>
        <w:t xml:space="preserve">,</w:t>
      </w:r>
      <w:r>
        <w:t xml:space="preserve"> </w:t>
      </w:r>
      <w:r>
        <w:rPr>
          <w:b/>
        </w:rPr>
        <w:t xml:space="preserve">Zhang D</w:t>
      </w:r>
      <w:r>
        <w:t xml:space="preserve">,</w:t>
      </w:r>
      <w:r>
        <w:t xml:space="preserve"> </w:t>
      </w:r>
      <w:r>
        <w:rPr>
          <w:b/>
        </w:rPr>
        <w:t xml:space="preserve">Zhang Z</w:t>
      </w:r>
      <w:r>
        <w:t xml:space="preserve">,</w:t>
      </w:r>
      <w:r>
        <w:t xml:space="preserve"> </w:t>
      </w:r>
      <w:r>
        <w:rPr>
          <w:b/>
        </w:rPr>
        <w:t xml:space="preserve">Chen W</w:t>
      </w:r>
      <w:r>
        <w:t xml:space="preserve">,</w:t>
      </w:r>
      <w:r>
        <w:t xml:space="preserve"> </w:t>
      </w:r>
      <w:r>
        <w:rPr>
          <w:b/>
        </w:rPr>
        <w:t xml:space="preserve">Zhao H</w:t>
      </w:r>
      <w:r>
        <w:t xml:space="preserve">,</w:t>
      </w:r>
      <w:r>
        <w:t xml:space="preserve"> </w:t>
      </w:r>
      <w:r>
        <w:rPr>
          <w:b/>
        </w:rPr>
        <w:t xml:space="preserve">Al-Aama JY</w:t>
      </w:r>
      <w:r>
        <w:t xml:space="preserve">,</w:t>
      </w:r>
      <w:r>
        <w:t xml:space="preserve"> </w:t>
      </w:r>
      <w:r>
        <w:rPr>
          <w:b/>
        </w:rPr>
        <w:t xml:space="preserve">Edris S</w:t>
      </w:r>
      <w:r>
        <w:t xml:space="preserve">,</w:t>
      </w:r>
      <w:r>
        <w:t xml:space="preserve"> </w:t>
      </w:r>
      <w:r>
        <w:rPr>
          <w:b/>
        </w:rPr>
        <w:t xml:space="preserve">Yang H</w:t>
      </w:r>
      <w:r>
        <w:t xml:space="preserve">,</w:t>
      </w:r>
      <w:r>
        <w:t xml:space="preserve"> </w:t>
      </w:r>
      <w:r>
        <w:rPr>
          <w:b/>
        </w:rPr>
        <w:t xml:space="preserve">Wang J</w:t>
      </w:r>
      <w:r>
        <w:t xml:space="preserve">,</w:t>
      </w:r>
      <w:r>
        <w:t xml:space="preserve"> </w:t>
      </w:r>
      <w:r>
        <w:rPr>
          <w:b/>
        </w:rPr>
        <w:t xml:space="preserve">Hansen T</w:t>
      </w:r>
      <w:r>
        <w:t xml:space="preserve">,</w:t>
      </w:r>
      <w:r>
        <w:t xml:space="preserve"> </w:t>
      </w:r>
      <w:r>
        <w:rPr>
          <w:b/>
        </w:rPr>
        <w:t xml:space="preserve">Nielsen HB</w:t>
      </w:r>
      <w:r>
        <w:t xml:space="preserve">,</w:t>
      </w:r>
      <w:r>
        <w:t xml:space="preserve"> </w:t>
      </w:r>
      <w:r>
        <w:rPr>
          <w:b/>
        </w:rPr>
        <w:t xml:space="preserve">Brunak S</w:t>
      </w:r>
      <w:r>
        <w:t xml:space="preserve">,</w:t>
      </w:r>
      <w:r>
        <w:t xml:space="preserve"> </w:t>
      </w:r>
      <w:r>
        <w:rPr>
          <w:b/>
        </w:rPr>
        <w:t xml:space="preserve">Kristiansen K</w:t>
      </w:r>
      <w:r>
        <w:t xml:space="preserve">,</w:t>
      </w:r>
      <w:r>
        <w:t xml:space="preserve"> </w:t>
      </w:r>
      <w:r>
        <w:rPr>
          <w:b/>
        </w:rPr>
        <w:t xml:space="preserve">Guarner F</w:t>
      </w:r>
      <w:r>
        <w:t xml:space="preserve">,</w:t>
      </w:r>
      <w:r>
        <w:t xml:space="preserve"> </w:t>
      </w:r>
      <w:r>
        <w:rPr>
          <w:b/>
        </w:rPr>
        <w:t xml:space="preserve">Pedersen O</w:t>
      </w:r>
      <w:r>
        <w:t xml:space="preserve">,</w:t>
      </w:r>
      <w:r>
        <w:t xml:space="preserve"> </w:t>
      </w:r>
      <w:r>
        <w:rPr>
          <w:b/>
        </w:rPr>
        <w:t xml:space="preserve">Doré J</w:t>
      </w:r>
      <w:r>
        <w:t xml:space="preserve">,</w:t>
      </w:r>
      <w:r>
        <w:t xml:space="preserve"> </w:t>
      </w:r>
      <w:r>
        <w:rPr>
          <w:b/>
        </w:rPr>
        <w:t xml:space="preserve">Ehrlich SD</w:t>
      </w:r>
      <w:r>
        <w:t xml:space="preserve">,</w:t>
      </w:r>
      <w:r>
        <w:t xml:space="preserve"> </w:t>
      </w:r>
      <w:r>
        <w:rPr>
          <w:b/>
        </w:rPr>
        <w:t xml:space="preserve">Bork P</w:t>
      </w:r>
      <w:r>
        <w:t xml:space="preserve">,</w:t>
      </w:r>
      <w:r>
        <w:t xml:space="preserve"> </w:t>
      </w:r>
      <w:r>
        <w:rPr>
          <w:b/>
        </w:rPr>
        <w:t xml:space="preserve">Wang J</w:t>
      </w:r>
      <w:r>
        <w:t xml:space="preserve">. 2014. An integrated catalog of reference genes in the human gut microbiome. Nat Biotechnol</w:t>
      </w:r>
      <w:r>
        <w:t xml:space="preserve"> </w:t>
      </w:r>
      <w:r>
        <w:rPr>
          <w:b/>
        </w:rPr>
        <w:t xml:space="preserve">32</w:t>
      </w:r>
      <w:r>
        <w:t xml:space="preserve">:834–841. doi:</w:t>
      </w:r>
      <w:hyperlink r:id="rId47">
        <w:r>
          <w:rPr>
            <w:rStyle w:val="Hyperlink"/>
          </w:rPr>
          <w:t xml:space="preserve">10.1038/nbt.2942</w:t>
        </w:r>
      </w:hyperlink>
      <w:r>
        <w:t xml:space="preserve">.</w:t>
      </w:r>
    </w:p>
    <w:bookmarkEnd w:id="48"/>
    <w:bookmarkStart w:id="50" w:name="ref-brown_mgs-fast_2019"/>
    <w:p>
      <w:pPr>
        <w:pStyle w:val="Bibliography"/>
      </w:pPr>
      <w:r>
        <w:t xml:space="preserve">9.</w:t>
      </w:r>
      <w:r>
        <w:t xml:space="preserve"> </w:t>
      </w:r>
      <w:r>
        <w:rPr>
          <w:b/>
        </w:rPr>
        <w:t xml:space="preserve">Brown SM</w:t>
      </w:r>
      <w:r>
        <w:t xml:space="preserve">,</w:t>
      </w:r>
      <w:r>
        <w:t xml:space="preserve"> </w:t>
      </w:r>
      <w:r>
        <w:rPr>
          <w:b/>
        </w:rPr>
        <w:t xml:space="preserve">Chen H</w:t>
      </w:r>
      <w:r>
        <w:t xml:space="preserve">,</w:t>
      </w:r>
      <w:r>
        <w:t xml:space="preserve"> </w:t>
      </w:r>
      <w:r>
        <w:rPr>
          <w:b/>
        </w:rPr>
        <w:t xml:space="preserve">Hao Y</w:t>
      </w:r>
      <w:r>
        <w:t xml:space="preserve">,</w:t>
      </w:r>
      <w:r>
        <w:t xml:space="preserve"> </w:t>
      </w:r>
      <w:r>
        <w:rPr>
          <w:b/>
        </w:rPr>
        <w:t xml:space="preserve">Laungani BP</w:t>
      </w:r>
      <w:r>
        <w:t xml:space="preserve">,</w:t>
      </w:r>
      <w:r>
        <w:t xml:space="preserve"> </w:t>
      </w:r>
      <w:r>
        <w:rPr>
          <w:b/>
        </w:rPr>
        <w:t xml:space="preserve">Ali TA</w:t>
      </w:r>
      <w:r>
        <w:t xml:space="preserve">,</w:t>
      </w:r>
      <w:r>
        <w:t xml:space="preserve"> </w:t>
      </w:r>
      <w:r>
        <w:rPr>
          <w:b/>
        </w:rPr>
        <w:t xml:space="preserve">Dong C</w:t>
      </w:r>
      <w:r>
        <w:t xml:space="preserve">,</w:t>
      </w:r>
      <w:r>
        <w:t xml:space="preserve"> </w:t>
      </w:r>
      <w:r>
        <w:rPr>
          <w:b/>
        </w:rPr>
        <w:t xml:space="preserve">Lijeron C</w:t>
      </w:r>
      <w:r>
        <w:t xml:space="preserve">,</w:t>
      </w:r>
      <w:r>
        <w:t xml:space="preserve"> </w:t>
      </w:r>
      <w:r>
        <w:rPr>
          <w:b/>
        </w:rPr>
        <w:t xml:space="preserve">Kim B</w:t>
      </w:r>
      <w:r>
        <w:t xml:space="preserve">,</w:t>
      </w:r>
      <w:r>
        <w:t xml:space="preserve"> </w:t>
      </w:r>
      <w:r>
        <w:rPr>
          <w:b/>
        </w:rPr>
        <w:t xml:space="preserve">Wultsch C</w:t>
      </w:r>
      <w:r>
        <w:t xml:space="preserve">,</w:t>
      </w:r>
      <w:r>
        <w:t xml:space="preserve"> </w:t>
      </w:r>
      <w:r>
        <w:rPr>
          <w:b/>
        </w:rPr>
        <w:t xml:space="preserve">Pei Z</w:t>
      </w:r>
      <w:r>
        <w:t xml:space="preserve">,</w:t>
      </w:r>
      <w:r>
        <w:t xml:space="preserve"> </w:t>
      </w:r>
      <w:r>
        <w:rPr>
          <w:b/>
        </w:rPr>
        <w:t xml:space="preserve">Krampis K</w:t>
      </w:r>
      <w:r>
        <w:t xml:space="preserve">. 2019. MGS-Fast: Metagenomic shotgun data fast annotation using microbial gene catalogs. Gigascience</w:t>
      </w:r>
      <w:r>
        <w:t xml:space="preserve"> </w:t>
      </w:r>
      <w:r>
        <w:rPr>
          <w:b/>
        </w:rPr>
        <w:t xml:space="preserve">8</w:t>
      </w:r>
      <w:r>
        <w:t xml:space="preserve">. doi:</w:t>
      </w:r>
      <w:hyperlink r:id="rId49">
        <w:r>
          <w:rPr>
            <w:rStyle w:val="Hyperlink"/>
          </w:rPr>
          <w:t xml:space="preserve">10.1093/gigascience/giz020</w:t>
        </w:r>
      </w:hyperlink>
      <w:r>
        <w:t xml:space="preserve">.</w:t>
      </w:r>
    </w:p>
    <w:bookmarkEnd w:id="50"/>
    <w:bookmarkStart w:id="52" w:name="ref-robinson_edger_2009"/>
    <w:p>
      <w:pPr>
        <w:pStyle w:val="Bibliography"/>
      </w:pPr>
      <w:r>
        <w:t xml:space="preserve">10.</w:t>
      </w:r>
      <w:r>
        <w:t xml:space="preserve"> </w:t>
      </w:r>
      <w:r>
        <w:rPr>
          <w:b/>
        </w:rPr>
        <w:t xml:space="preserve">Robinson MD</w:t>
      </w:r>
      <w:r>
        <w:t xml:space="preserve">,</w:t>
      </w:r>
      <w:r>
        <w:t xml:space="preserve"> </w:t>
      </w:r>
      <w:r>
        <w:rPr>
          <w:b/>
        </w:rPr>
        <w:t xml:space="preserve">McCarthy DJ</w:t>
      </w:r>
      <w:r>
        <w:t xml:space="preserve">,</w:t>
      </w:r>
      <w:r>
        <w:t xml:space="preserve"> </w:t>
      </w:r>
      <w:r>
        <w:rPr>
          <w:b/>
        </w:rPr>
        <w:t xml:space="preserve">Smyth GK</w:t>
      </w:r>
      <w:r>
        <w:t xml:space="preserve">. 2009. edgeR: a Bioconductor package for differential expression analysis of digital gene expression data. Bioinformatics</w:t>
      </w:r>
      <w:r>
        <w:t xml:space="preserve"> </w:t>
      </w:r>
      <w:r>
        <w:rPr>
          <w:b/>
        </w:rPr>
        <w:t xml:space="preserve">26</w:t>
      </w:r>
      <w:r>
        <w:t xml:space="preserve">:139–140. doi:</w:t>
      </w:r>
      <w:hyperlink r:id="rId51">
        <w:r>
          <w:rPr>
            <w:rStyle w:val="Hyperlink"/>
          </w:rPr>
          <w:t xml:space="preserve">10.1093/bioinformatics/btp616</w:t>
        </w:r>
      </w:hyperlink>
      <w:r>
        <w:t xml:space="preserve">.</w:t>
      </w:r>
    </w:p>
    <w:bookmarkEnd w:id="52"/>
    <w:bookmarkStart w:id="54" w:name="ref-kanehisa_kegg_2020"/>
    <w:p>
      <w:pPr>
        <w:pStyle w:val="Bibliography"/>
      </w:pPr>
      <w:r>
        <w:t xml:space="preserve">11.</w:t>
      </w:r>
      <w:r>
        <w:t xml:space="preserve"> </w:t>
      </w:r>
      <w:r>
        <w:rPr>
          <w:b/>
        </w:rPr>
        <w:t xml:space="preserve">Kanehisa M</w:t>
      </w:r>
      <w:r>
        <w:t xml:space="preserve">,</w:t>
      </w:r>
      <w:r>
        <w:t xml:space="preserve"> </w:t>
      </w:r>
      <w:r>
        <w:rPr>
          <w:b/>
        </w:rPr>
        <w:t xml:space="preserve">Sato Y</w:t>
      </w:r>
      <w:r>
        <w:t xml:space="preserve">. 2020. KEGG Mapper for inferring cellular functions from protein sequences. Protein Science</w:t>
      </w:r>
      <w:r>
        <w:t xml:space="preserve"> </w:t>
      </w:r>
      <w:r>
        <w:rPr>
          <w:b/>
        </w:rPr>
        <w:t xml:space="preserve">29</w:t>
      </w:r>
      <w:r>
        <w:t xml:space="preserve">:28–35. doi:</w:t>
      </w:r>
      <w:hyperlink r:id="rId53">
        <w:r>
          <w:rPr>
            <w:rStyle w:val="Hyperlink"/>
          </w:rPr>
          <w:t xml:space="preserve">10.1002/pro.3711</w:t>
        </w:r>
      </w:hyperlink>
      <w:r>
        <w:t xml:space="preserve">.</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doi.org/10.1002/pro.3711" TargetMode="External" /><Relationship Type="http://schemas.openxmlformats.org/officeDocument/2006/relationships/hyperlink" Id="rId47" Target="https://doi.org/10.1038/nbt.2942" TargetMode="External" /><Relationship Type="http://schemas.openxmlformats.org/officeDocument/2006/relationships/hyperlink" Id="rId43" Target="https://doi.org/10.1038/nmeth.3589" TargetMode="External" /><Relationship Type="http://schemas.openxmlformats.org/officeDocument/2006/relationships/hyperlink" Id="rId51" Target="https://doi.org/10.1093/bioinformatics/btp616" TargetMode="External" /><Relationship Type="http://schemas.openxmlformats.org/officeDocument/2006/relationships/hyperlink" Id="rId38" Target="https://doi.org/10.1093/bioinformatics/btu170" TargetMode="External" /><Relationship Type="http://schemas.openxmlformats.org/officeDocument/2006/relationships/hyperlink" Id="rId49" Target="https://doi.org/10.1093/gigascience/giz020" TargetMode="External" /><Relationship Type="http://schemas.openxmlformats.org/officeDocument/2006/relationships/hyperlink" Id="rId36" Target="https://doi.org/10.1158/1940-6207.CAPR-14-0129" TargetMode="External" /><Relationship Type="http://schemas.openxmlformats.org/officeDocument/2006/relationships/hyperlink" Id="rId45" Target="https://doi.org/10.1371/journal.pone.0061217" TargetMode="External" /><Relationship Type="http://schemas.openxmlformats.org/officeDocument/2006/relationships/hyperlink" Id="rId25" Target="https://github.com/kelly-sovacool/bioinf545-group3-project" TargetMode="External" /><Relationship Type="http://schemas.openxmlformats.org/officeDocument/2006/relationships/hyperlink" Id="rId24" Target="https://www.ncbi.nlm.nih.gov/bioproject/389927" TargetMode="External" /></Relationships>
</file>

<file path=word/_rels/footnotes.xml.rels><?xml version="1.0" encoding="UTF-8"?>
<Relationships xmlns="http://schemas.openxmlformats.org/package/2006/relationships"><Relationship Type="http://schemas.openxmlformats.org/officeDocument/2006/relationships/hyperlink" Id="rId53" Target="https://doi.org/10.1002/pro.3711" TargetMode="External" /><Relationship Type="http://schemas.openxmlformats.org/officeDocument/2006/relationships/hyperlink" Id="rId47" Target="https://doi.org/10.1038/nbt.2942" TargetMode="External" /><Relationship Type="http://schemas.openxmlformats.org/officeDocument/2006/relationships/hyperlink" Id="rId43" Target="https://doi.org/10.1038/nmeth.3589" TargetMode="External" /><Relationship Type="http://schemas.openxmlformats.org/officeDocument/2006/relationships/hyperlink" Id="rId51" Target="https://doi.org/10.1093/bioinformatics/btp616" TargetMode="External" /><Relationship Type="http://schemas.openxmlformats.org/officeDocument/2006/relationships/hyperlink" Id="rId38" Target="https://doi.org/10.1093/bioinformatics/btu170" TargetMode="External" /><Relationship Type="http://schemas.openxmlformats.org/officeDocument/2006/relationships/hyperlink" Id="rId49" Target="https://doi.org/10.1093/gigascience/giz020" TargetMode="External" /><Relationship Type="http://schemas.openxmlformats.org/officeDocument/2006/relationships/hyperlink" Id="rId36" Target="https://doi.org/10.1158/1940-6207.CAPR-14-0129" TargetMode="External" /><Relationship Type="http://schemas.openxmlformats.org/officeDocument/2006/relationships/hyperlink" Id="rId45" Target="https://doi.org/10.1371/journal.pone.0061217" TargetMode="External" /><Relationship Type="http://schemas.openxmlformats.org/officeDocument/2006/relationships/hyperlink" Id="rId25" Target="https://github.com/kelly-sovacool/bioinf545-group3-project" TargetMode="External" /><Relationship Type="http://schemas.openxmlformats.org/officeDocument/2006/relationships/hyperlink" Id="rId24" Target="https://www.ncbi.nlm.nih.gov/bioproject/3899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microbial community of the human gut in colorectal cancer</dc:title>
  <dc:creator>Nicole Bowers, Brittany Hicks, Christina Kang-Yun, Katelyn Polemi, Kelly Sovacool</dc:creator>
  <cp:keywords/>
  <dcterms:created xsi:type="dcterms:W3CDTF">2020-04-22T05:12:30Z</dcterms:created>
  <dcterms:modified xsi:type="dcterms:W3CDTF">2020-04-22T05:12:30Z</dcterms:modified>
</cp:coreProperties>
</file>