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4" w:space="1"/>
        </w:pBdr>
        <w:spacing w:after="60" w:before="0"/>
      </w:pPr>
    </w:p>
    <w:p>
      <w:pPr>
        <w:spacing w:after="60" w:before="60"/>
        <w:jc w:val="center"/>
      </w:pPr>
      <w:r>
        <w:rPr>
          <w:rFonts w:ascii="Calibri" w:cs="Calibri" w:eastAsia="Calibri" w:hAnsi="Calibri"/>
          <w:b/>
          <w:bCs/>
          <w:smallCaps/>
          <w:color w:val="1F3864"/>
          <w:spacing w:val="30"/>
          <w:sz w:val="36"/>
          <w:szCs w:val="36"/>
        </w:rPr>
        <w:t xml:space="preserve">The Satterwhite Law Firm, PLLC</w:t>
      </w:r>
    </w:p>
    <w:p>
      <w:pPr>
        <w:spacing w:after="60" w:before="0"/>
        <w:jc w:val="center"/>
      </w:pPr>
      <w:r>
        <w:rPr>
          <w:rFonts w:ascii="Calibri" w:cs="Calibri" w:eastAsia="Calibri" w:hAnsi="Calibri"/>
          <w:i/>
          <w:iCs/>
          <w:color w:val="555555"/>
          <w:sz w:val="18"/>
          <w:szCs w:val="18"/>
        </w:rPr>
        <w:t xml:space="preserve">Real Estate  ·  Trusts &amp; Estates  ·  Business</w:t>
      </w:r>
    </w:p>
    <w:p>
      <w:pPr>
        <w:pBdr>
          <w:bottom w:val="single" w:color="1F3864" w:sz="12" w:space="1"/>
        </w:pBdr>
        <w:spacing w:after="360" w:before="0"/>
      </w:pPr>
    </w:p>
    <w:p>
      <w:pPr>
        <w:spacing w:after="120" w:before="0"/>
        <w:jc w:val="center"/>
      </w:pPr>
      <w:r>
        <w:rPr>
          <w:rFonts w:ascii="Calibri" w:cs="Calibri" w:eastAsia="Calibri" w:hAnsi="Calibri"/>
          <w:b/>
          <w:bCs/>
          <w:color w:val="1F3864"/>
          <w:sz w:val="40"/>
          <w:szCs w:val="40"/>
        </w:rPr>
        <w:t xml:space="preserve">Deed Drafting in Virginia</w:t>
      </w:r>
    </w:p>
    <w:p>
      <w:pPr>
        <w:spacing w:after="60" w:before="0"/>
        <w:jc w:val="center"/>
      </w:pPr>
      <w:r>
        <w:rPr>
          <w:rFonts w:ascii="Calibri" w:cs="Calibri" w:eastAsia="Calibri" w:hAnsi="Calibri"/>
          <w:i/>
          <w:iCs/>
          <w:color w:val="444444"/>
          <w:sz w:val="26"/>
          <w:szCs w:val="26"/>
        </w:rPr>
        <w:t xml:space="preserve">A Training Guide for Associates and Law Clerks</w:t>
      </w:r>
    </w:p>
    <w:p>
      <w:pPr>
        <w:spacing w:after="360" w:before="0"/>
        <w:jc w:val="center"/>
      </w:pPr>
      <w:r>
        <w:rPr>
          <w:rFonts w:ascii="Times New Roman" w:cs="Times New Roman" w:eastAsia="Times New Roman" w:hAnsi="Times New Roman"/>
          <w:color w:val="555555"/>
          <w:sz w:val="18"/>
          <w:szCs w:val="18"/>
        </w:rPr>
        <w:t xml:space="preserve">Internal Training Material  ·  The Satterwhite Law Firm, PLLC</w:t>
      </w:r>
    </w:p>
    <w:p>
      <w:pPr>
        <w:pBdr>
          <w:bottom w:val="single" w:color="BF8F00" w:sz="8" w:space="4"/>
        </w:pBdr>
        <w:spacing w:after="160" w:before="280" w:line="280"/>
        <w:jc w:val="left"/>
      </w:pPr>
      <w:r>
        <w:rPr>
          <w:rFonts w:ascii="Calibri" w:cs="Calibri" w:eastAsia="Calibri" w:hAnsi="Calibri"/>
          <w:b/>
          <w:bCs/>
          <w:color w:val="1F3864"/>
          <w:sz w:val="28"/>
          <w:szCs w:val="28"/>
        </w:rPr>
        <w:t xml:space="preserve">How to use this guide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This is internal training material for associates and law clerks who are learning to draft deeds in Virginia. The first half is narrative — a walk-through of why each piece of a deed exists, what it accomplishes, and where new lawyers most often get into trouble. The second half is reference material: tables, checklists, two worked examples, and a deed-rejection diagnosis guide you can pull up at your desk.</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The orienting principle, which we return to throughout: every deed you draft is either preventing a future title problem or creating one. The clerk indexes the deed against your description. The next title examiner reads your recitals to understand what happened. The next closing attorney either follows your derivation clause cleanly or curses your name. Recitals and the derivation clause are not formalities for their own sake; they exist so that the next person can follow the trail.</w:t>
      </w:r>
    </w:p>
    <w:p>
      <w:pPr>
        <w:pBdr>
          <w:top w:val="single" w:color="1F3864" w:sz="6" w:space="6"/>
          <w:bottom w:val="single" w:color="1F3864" w:sz="6" w:space="6"/>
        </w:pBdr>
        <w:spacing w:after="160" w:before="120" w:line="280"/>
        <w:ind w:left="360" w:right="360"/>
        <w:jc w:val="both"/>
      </w:pPr>
      <w:r>
        <w:rPr>
          <w:rFonts w:ascii="Times New Roman" w:cs="Times New Roman" w:eastAsia="Times New Roman" w:hAnsi="Times New Roman"/>
          <w:b/>
          <w:bCs/>
          <w:i/>
          <w:iCs/>
          <w:color w:val="333333"/>
          <w:sz w:val="24"/>
          <w:szCs w:val="24"/>
        </w:rPr>
        <w:t xml:space="preserve">Scope and limitations. </w:t>
      </w:r>
      <w:r>
        <w:rPr>
          <w:rFonts w:ascii="Times New Roman" w:cs="Times New Roman" w:eastAsia="Times New Roman" w:hAnsi="Times New Roman"/>
          <w:i/>
          <w:iCs/>
          <w:color w:val="333333"/>
          <w:sz w:val="24"/>
          <w:szCs w:val="24"/>
        </w:rPr>
        <w:t xml:space="preserve">This guide covers Virginia deed-drafting practice. It does not cover deeds in Maryland, the District of Columbia, or other jurisdictions; settlement work; title insurance underwriting; full title examinations; or contested-title litigation. Citations are to the Virginia Code as currently in force; statutes change — verify before relying on a citation in a deed you are submitting for recordation. Where this guide notes that a particular practice is statutory, the citation is given; where the practice is firm or office practice rather than statutory, that distinction is flagged.</w:t>
      </w:r>
    </w:p>
    <w:p>
      <w:pPr>
        <w:pBdr>
          <w:bottom w:val="single" w:color="BF8F00" w:sz="8" w:space="4"/>
        </w:pBdr>
        <w:spacing w:after="100" w:before="280"/>
        <w:jc w:val="left"/>
      </w:pPr>
      <w:r>
        <w:rPr>
          <w:rFonts w:ascii="Calibri" w:cs="Calibri" w:eastAsia="Calibri" w:hAnsi="Calibri"/>
          <w:b/>
          <w:bCs/>
          <w:color w:val="1F3864"/>
          <w:sz w:val="28"/>
          <w:szCs w:val="28"/>
        </w:rPr>
        <w:t xml:space="preserve">Before you start drafting: when to escalate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This guide is written so that you can draft a routine deed independently. The list below identifies the situations where you should stop and consult a supervising attorney before continuing — either because the analysis is more complex than a routine matter or because a wrong answer creates real liability exposure. The list is not exhaustive; if a file feels off, ask.</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Deceased grantor without a clean survivorship path. </w:t>
      </w:r>
      <w:r>
        <w:rPr>
          <w:rFonts w:ascii="Times New Roman" w:cs="Times New Roman" w:eastAsia="Times New Roman" w:hAnsi="Times New Roman"/>
          <w:b w:val="false"/>
          <w:bCs w:val="false"/>
          <w:i w:val="false"/>
          <w:iCs w:val="false"/>
          <w:smallCaps w:val="false"/>
          <w:color w:val="000000"/>
          <w:sz w:val="24"/>
          <w:szCs w:val="24"/>
        </w:rPr>
        <w:t xml:space="preserve">If the prior deed shows a grantor who has died and there is no recorded survivorship-by-operation-of-law, recorded heir affidavit, qualified will, or estate qualification supporting the present transfer, escalate.</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Property titled in a trust, estate, LLC, partnership, or other entity. </w:t>
      </w:r>
      <w:r>
        <w:rPr>
          <w:rFonts w:ascii="Times New Roman" w:cs="Times New Roman" w:eastAsia="Times New Roman" w:hAnsi="Times New Roman"/>
          <w:b w:val="false"/>
          <w:bCs w:val="false"/>
          <w:i w:val="false"/>
          <w:iCs w:val="false"/>
          <w:smallCaps w:val="false"/>
          <w:color w:val="000000"/>
          <w:sz w:val="24"/>
          <w:szCs w:val="24"/>
        </w:rPr>
        <w:t xml:space="preserve">Entity-titled property raises authority, exemption, and tenancy questions that go beyond routine drafting. Trust-as-grantor deeds in particular need separate analysis.</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Divorce, separation, or former spouses. </w:t>
      </w:r>
      <w:r>
        <w:rPr>
          <w:rFonts w:ascii="Times New Roman" w:cs="Times New Roman" w:eastAsia="Times New Roman" w:hAnsi="Times New Roman"/>
          <w:b w:val="false"/>
          <w:bCs w:val="false"/>
          <w:i w:val="false"/>
          <w:iCs w:val="false"/>
          <w:smallCaps w:val="false"/>
          <w:color w:val="000000"/>
          <w:sz w:val="24"/>
          <w:szCs w:val="24"/>
        </w:rPr>
        <w:t xml:space="preserve">Marital interests, equitable distribution, support obligations, and the existence (or absence) of a property settlement agreement all affect what the deed has to do and who has to sign.</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A non-titled spouse refuses to sign. </w:t>
      </w:r>
      <w:r>
        <w:rPr>
          <w:rFonts w:ascii="Times New Roman" w:cs="Times New Roman" w:eastAsia="Times New Roman" w:hAnsi="Times New Roman"/>
          <w:b w:val="false"/>
          <w:bCs w:val="false"/>
          <w:i w:val="false"/>
          <w:iCs w:val="false"/>
          <w:smallCaps w:val="false"/>
          <w:color w:val="000000"/>
          <w:sz w:val="24"/>
          <w:szCs w:val="24"/>
        </w:rPr>
        <w:t xml:space="preserve">Discussed in the marital-status section of this guide, but not a routine drafting decision — talk to the supervising attorney about the engagement-letter language and the title-underwriting consequences before proceeding.</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Trust beneficiaries do not clearly support the exemption claim. </w:t>
      </w:r>
      <w:r>
        <w:rPr>
          <w:rFonts w:ascii="Times New Roman" w:cs="Times New Roman" w:eastAsia="Times New Roman" w:hAnsi="Times New Roman"/>
          <w:b w:val="false"/>
          <w:bCs w:val="false"/>
          <w:i w:val="false"/>
          <w:iCs w:val="false"/>
          <w:smallCaps w:val="false"/>
          <w:color w:val="000000"/>
          <w:sz w:val="24"/>
          <w:szCs w:val="24"/>
        </w:rPr>
        <w:t xml:space="preserve">If the grantor is not a beneficiary of the trust at all, or if the structure does not match the § 58.1-811(A)(12) requirements, the exemption analysis needs supervisor sign-off before recordation.</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Defective prior legal description or missing derivation. </w:t>
      </w:r>
      <w:r>
        <w:rPr>
          <w:rFonts w:ascii="Times New Roman" w:cs="Times New Roman" w:eastAsia="Times New Roman" w:hAnsi="Times New Roman"/>
          <w:b w:val="false"/>
          <w:bCs w:val="false"/>
          <w:i w:val="false"/>
          <w:iCs w:val="false"/>
          <w:smallCaps w:val="false"/>
          <w:color w:val="000000"/>
          <w:sz w:val="24"/>
          <w:szCs w:val="24"/>
        </w:rPr>
        <w:t xml:space="preserve">If the prior vesting deed has an ambiguous metes-and-bounds description, an incorrect lot/section reference, or no derivation clause itself, do not just copy the defect forward. Escalate so the curative path can be planned.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Mortgaged property with a transfer that may trigger lender consent or due-on-sale concerns. </w:t>
      </w:r>
      <w:r>
        <w:rPr>
          <w:rFonts w:ascii="Times New Roman" w:cs="Times New Roman" w:eastAsia="Times New Roman" w:hAnsi="Times New Roman"/>
          <w:b w:val="false"/>
          <w:bCs w:val="false"/>
          <w:i w:val="false"/>
          <w:iCs w:val="false"/>
          <w:smallCaps w:val="false"/>
          <w:color w:val="000000"/>
          <w:sz w:val="24"/>
          <w:szCs w:val="24"/>
        </w:rPr>
        <w:t xml:space="preserve">Transfers from natural persons to LLCs are the most common example. Escalate before recordation so the engagement-letter scope and lender-consent strategy can be addressed.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Client requests for tax, Medicaid, creditor-protection, or estate-tax advice. </w:t>
      </w:r>
      <w:r>
        <w:rPr>
          <w:rFonts w:ascii="Times New Roman" w:cs="Times New Roman" w:eastAsia="Times New Roman" w:hAnsi="Times New Roman"/>
          <w:b w:val="false"/>
          <w:bCs w:val="false"/>
          <w:i w:val="false"/>
          <w:iCs w:val="false"/>
          <w:smallCaps w:val="false"/>
          <w:color w:val="000000"/>
          <w:sz w:val="24"/>
          <w:szCs w:val="24"/>
        </w:rPr>
        <w:t xml:space="preserve">Out of scope on a deed engagement. Escalate to confirm whether to expand the engagement, refer to other counsel, or document the limitation in writing before proceeding.</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Anything else that feels wrong. </w:t>
      </w:r>
      <w:r>
        <w:rPr>
          <w:rFonts w:ascii="Times New Roman" w:cs="Times New Roman" w:eastAsia="Times New Roman" w:hAnsi="Times New Roman"/>
          <w:b w:val="false"/>
          <w:bCs w:val="false"/>
          <w:i w:val="false"/>
          <w:iCs w:val="false"/>
          <w:smallCaps w:val="false"/>
          <w:color w:val="000000"/>
          <w:sz w:val="24"/>
          <w:szCs w:val="24"/>
        </w:rPr>
        <w:t xml:space="preserve">New lawyers tend to under-escalate, not over-escalate. The cost of a five-minute conversation with a supervising attorney is trivial compared to the cost of a curative deed (or a malpractice claim) later.</w:t>
      </w:r>
    </w:p>
    <w:p>
      <w:pPr>
        <w:pBdr>
          <w:bottom w:val="single" w:color="BF8F00" w:sz="8" w:space="4"/>
        </w:pBdr>
        <w:spacing w:after="160" w:before="280" w:line="280"/>
        <w:jc w:val="left"/>
      </w:pPr>
      <w:r>
        <w:rPr>
          <w:rFonts w:ascii="Calibri" w:cs="Calibri" w:eastAsia="Calibri" w:hAnsi="Calibri"/>
          <w:b/>
          <w:bCs/>
          <w:color w:val="1F3864"/>
          <w:sz w:val="28"/>
          <w:szCs w:val="28"/>
        </w:rPr>
        <w:t xml:space="preserve">1.  What a deed actually does — and what it has to look like to do it</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A deed is the written instrument by which a person (the grantor) conveys an interest in real property to another person (the grantee). Virginia treats deeds as a particular kind of contract whose form, content, execution, and recordation are governed by Title 55.1 of the Virginia Code. The minimum statutory form for a deed appears in Va. Code § 55.1-300 — it is, on the page, surprisingly short.</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In practice, however, deeds are dramatically more elaborate than the statutory minimum, and for good reason. The statutory minimum is the floor for legal validity between the parties. The fuller form addresses three additional audiences whose acceptance the deed also has to satisfy:</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The clerk</w:t>
      </w:r>
      <w:r>
        <w:rPr>
          <w:rFonts w:ascii="Times New Roman" w:cs="Times New Roman" w:eastAsia="Times New Roman" w:hAnsi="Times New Roman"/>
          <w:b w:val="false"/>
          <w:bCs w:val="false"/>
          <w:i w:val="false"/>
          <w:iCs w:val="false"/>
          <w:smallCaps w:val="false"/>
          <w:color w:val="000000"/>
          <w:sz w:val="24"/>
          <w:szCs w:val="24"/>
        </w:rPr>
        <w:t xml:space="preserve"> — who has to index the deed against the property and assess (or recognize an exemption from) recordation tax. If the deed lacks the parcel ID, the assessed value, or the correct exemption citation, it is rejected at intake or assessed tax the client did not expect to pay.</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The next title examiner</w:t>
      </w:r>
      <w:r>
        <w:rPr>
          <w:rFonts w:ascii="Times New Roman" w:cs="Times New Roman" w:eastAsia="Times New Roman" w:hAnsi="Times New Roman"/>
          <w:b w:val="false"/>
          <w:bCs w:val="false"/>
          <w:i w:val="false"/>
          <w:iCs w:val="false"/>
          <w:smallCaps w:val="false"/>
          <w:color w:val="000000"/>
          <w:sz w:val="24"/>
          <w:szCs w:val="24"/>
        </w:rPr>
        <w:t xml:space="preserve"> — who, ten or thirty years from now, will read your deed to understand what happened to title and reach an opinion on whether to insure it. If your recitals are sparse, your derivation clause is wrong, or your vesting language is ambiguous, that examiner has to either decline coverage or open an exception.</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The next closing attorney</w:t>
      </w:r>
      <w:r>
        <w:rPr>
          <w:rFonts w:ascii="Times New Roman" w:cs="Times New Roman" w:eastAsia="Times New Roman" w:hAnsi="Times New Roman"/>
          <w:b w:val="false"/>
          <w:bCs w:val="false"/>
          <w:i w:val="false"/>
          <w:iCs w:val="false"/>
          <w:smallCaps w:val="false"/>
          <w:color w:val="000000"/>
          <w:sz w:val="24"/>
          <w:szCs w:val="24"/>
        </w:rPr>
        <w:t xml:space="preserve"> — who, on the next sale or refinance, will draft from the deed you produced. Anything missing or incorrect creates work for that attorney; anything ambiguous becomes a curative deed, an affidavit, or a closing delay.</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The fuller form also reflects more than a century of accumulated practice in dealing with edge cases — marital interests, deceased grantors, surviving tenants, defective prior deeds, multi-step transactions — that the bare statutory form does not address. When you draft a deed, you are working from forms whose extra material exists because, at some point, somebody learned the hard way.</w:t>
      </w:r>
    </w:p>
    <w:p>
      <w:pPr>
        <w:pBdr>
          <w:bottom w:val="single" w:color="BF8F00" w:sz="8" w:space="4"/>
        </w:pBdr>
        <w:spacing w:after="160" w:before="280" w:line="280"/>
        <w:jc w:val="left"/>
      </w:pPr>
      <w:r>
        <w:rPr>
          <w:rFonts w:ascii="Calibri" w:cs="Calibri" w:eastAsia="Calibri" w:hAnsi="Calibri"/>
          <w:b/>
          <w:bCs/>
          <w:color w:val="1F3864"/>
          <w:sz w:val="28"/>
          <w:szCs w:val="28"/>
        </w:rPr>
        <w:t xml:space="preserve">2.  The header block: who, where, what, and how much</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The first material on every deed is a header block of administrative information. The block is not part of the operative deed in the sense of conveying anything, but every clerk and tax assessor who will ever touch the document needs the items there to do their job. Get any of these wrong, and the deed comes back.</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A note on cover sheets. Va. Code § 17.1-227.1 authorizes circuit court clerks to use cover sheets that carry indexing data, consideration or actual value, exemption authority, parcel ID or tax map number, grantor and grantee information, and a return address. As a result, some of the items below can technically appear on the cover sheet rather than in the body of the deed. Firm practice is to include the information on the deed itself and ensure the cover sheet (where used) matches — redundancy here costs nothing and prevents the rejection-at-intake problem when a clerk's particular practice expects the information on both.</w:t>
      </w:r>
    </w:p>
    <w:p>
      <w:pPr>
        <w:spacing w:after="80" w:before="200" w:line="280"/>
        <w:jc w:val="left"/>
      </w:pPr>
      <w:r>
        <w:rPr>
          <w:rFonts w:ascii="Calibri" w:cs="Calibri" w:eastAsia="Calibri" w:hAnsi="Calibri"/>
          <w:b/>
          <w:bCs/>
          <w:color w:val="1F3864"/>
          <w:sz w:val="24"/>
          <w:szCs w:val="24"/>
        </w:rPr>
        <w:t xml:space="preserve">Preparer block and bar number</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Va. Code § 17.1-223 requires deeds conveying residential real estate of not more than four dwelling units to identify the attorney preparer by name and Virginia State Bar number. The statute does not impose the same identification requirement on non-residential deeds or on deeds prepared by non-attorneys, but office practice is to include the preparer block on every deed regardless — if something goes wrong later, everyone wants to know who drafted it. We add the firm file number underneath as a matter of office practice; that is not statutorily required, but it lets us trace any deed back to the file in seconds when a client calls about a deed we recorded eight years ago.</w:t>
      </w:r>
    </w:p>
    <w:p>
      <w:pPr>
        <w:spacing w:after="80" w:before="200" w:line="280"/>
        <w:jc w:val="left"/>
      </w:pPr>
      <w:r>
        <w:rPr>
          <w:rFonts w:ascii="Calibri" w:cs="Calibri" w:eastAsia="Calibri" w:hAnsi="Calibri"/>
          <w:b/>
          <w:bCs/>
          <w:color w:val="1F3864"/>
          <w:sz w:val="24"/>
          <w:szCs w:val="24"/>
        </w:rPr>
        <w:t xml:space="preserve">Grantee mailing address</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This is the address where the locality will send tax bills, assessment notices, and any other correspondence about the property. For an owner-occupied property the obvious answer is the property address itself. For a rental, vacant land, or any property where the owner does not live, do not assume — ask. The trainer's example: a property the owner rents to tenants. Tax bills sent to the property address get opened by the tenant or thrown away; the owner does not know about a tax problem until a delinquency notice arrives. The drafting rule is to confirm with the client where the locality should send notices, and put that address in the grantee block.</w:t>
      </w:r>
    </w:p>
    <w:p>
      <w:pPr>
        <w:spacing w:after="80" w:before="200" w:line="280"/>
        <w:jc w:val="left"/>
      </w:pPr>
      <w:r>
        <w:rPr>
          <w:rFonts w:ascii="Calibri" w:cs="Calibri" w:eastAsia="Calibri" w:hAnsi="Calibri"/>
          <w:b/>
          <w:bCs/>
          <w:color w:val="1F3864"/>
          <w:sz w:val="24"/>
          <w:szCs w:val="24"/>
        </w:rPr>
        <w:t xml:space="preserve">Tax map / parcel identification number</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Every parcel of property has a unique identifier assigned by the locality. Format varies wildly: Fairfax County uses one numbering scheme, Alexandria City uses an entirely different one, and rural counties may use yet another. Do not normalize, abbreviate, or paraphrase — copy exactly what appears on the locality's tax record. The clerk indexes the deed against this number; a mismatch with the tax record means the deed is indexed against the wrong (or no) parcel.</w:t>
      </w:r>
    </w:p>
    <w:p>
      <w:pPr>
        <w:spacing w:after="80" w:before="200" w:line="280"/>
        <w:jc w:val="left"/>
      </w:pPr>
      <w:r>
        <w:rPr>
          <w:rFonts w:ascii="Calibri" w:cs="Calibri" w:eastAsia="Calibri" w:hAnsi="Calibri"/>
          <w:b/>
          <w:bCs/>
          <w:color w:val="1F3864"/>
          <w:sz w:val="24"/>
          <w:szCs w:val="24"/>
        </w:rPr>
        <w:t xml:space="preserve">Current assessed value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Recordation tax under Va. Code § 58.1-801 is computed on the greater of the consideration paid or the actual value of the property. The statute defines “actual value” as the most recent property tax assessment for the property at the time of conveyance — in other words, the assessed value pulled from the locality's tax record. (For the rest of this guide, “assessed value” and “actual value” are used interchangeably; the locality's tax-record figure is what you put in the deed and what the clerk uses to compute tax.) As office practice, include the current assessed value on the deed or cover sheet for every deed, including exempt deeds, because many clerks use it to verify tax treatment at intake. The trainer's example illustrates why: a distressed property selling for $900,000 but assessed at $1.3 million is taxed on $1.3 million; if the deed shows only the $900,000 sale price and not the assessed value, the clerk's calculation is off, and the deed gets returned. Pull the assessed value from the locality's tax record before drafting.</w:t>
      </w:r>
    </w:p>
    <w:p>
      <w:pPr>
        <w:spacing w:after="80" w:before="200" w:line="280"/>
        <w:jc w:val="left"/>
      </w:pPr>
      <w:r>
        <w:rPr>
          <w:rFonts w:ascii="Calibri" w:cs="Calibri" w:eastAsia="Calibri" w:hAnsi="Calibri"/>
          <w:b/>
          <w:bCs/>
          <w:color w:val="1F3864"/>
          <w:sz w:val="24"/>
          <w:szCs w:val="24"/>
        </w:rPr>
        <w:t xml:space="preserve">Title insurance disclosure (or its absence)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For deeds conveying residential real estate of not more than four dwelling units, Va. Code § 17.1-223 requires the first page to state either the title insurance underwriter insuring the instrument or that “the existence of title insurance is unknown to the preparer.” That second phrase is the statutory language; use it verbatim where the statute applies. On deeds outside the statutory scope (non-residential, more than four units, etc.), office practice is to include the same language for consistency, or the alternative “prepared without the benefit of a title examination,” which is acceptable practice but is not the statutory phrase. Templates contain one of these; do not strip it casually. The point is to put the next examiner on notice about the deed's insurance posture so a future coverage question can be traced.</w:t>
      </w:r>
    </w:p>
    <w:p>
      <w:pPr>
        <w:spacing w:after="80" w:before="200" w:line="280"/>
        <w:jc w:val="left"/>
      </w:pPr>
      <w:r>
        <w:rPr>
          <w:rFonts w:ascii="Calibri" w:cs="Calibri" w:eastAsia="Calibri" w:hAnsi="Calibri"/>
          <w:b/>
          <w:bCs/>
          <w:color w:val="1F3864"/>
          <w:sz w:val="24"/>
          <w:szCs w:val="24"/>
        </w:rPr>
        <w:t xml:space="preserve">Exemption citation, where the deed is tax-exempt</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If the deed is exempt from recordation tax, the deed must recite the specific subsection of Va. Code § 58.1-810 or § 58.1-811 that creates the exemption. The clerk does not infer the exemption from the deed's substance — the clerk reads the citation. A wrong citation gets the deed rejected, or worse, the clerk records it but charges tax. A correct citation but a deed whose substance does not match the citation produces the same problem. The exemption table later in this guide lists the exemptions you will encounter most often.</w:t>
      </w:r>
    </w:p>
    <w:p>
      <w:pPr>
        <w:pBdr>
          <w:bottom w:val="single" w:color="BF8F00" w:sz="8" w:space="4"/>
        </w:pBdr>
        <w:spacing w:after="160" w:before="280" w:line="280"/>
        <w:jc w:val="left"/>
      </w:pPr>
      <w:r>
        <w:rPr>
          <w:rFonts w:ascii="Calibri" w:cs="Calibri" w:eastAsia="Calibri" w:hAnsi="Calibri"/>
          <w:b/>
          <w:bCs/>
          <w:color w:val="1F3864"/>
          <w:sz w:val="28"/>
          <w:szCs w:val="28"/>
        </w:rPr>
        <w:t xml:space="preserve">3.  Choosing the deed type — the title is not cosmetic</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In Virginia, the title of the deed signals to the clerk how to process it for tax and indexing purposes. Choosing the right deed type, and matching the title to the substance of the deed, is one of the most consequential drafting decisions you will make.</w:t>
      </w:r>
    </w:p>
    <w:p>
      <w:pPr>
        <w:spacing w:after="80" w:before="200" w:line="280"/>
        <w:jc w:val="left"/>
      </w:pPr>
      <w:r>
        <w:rPr>
          <w:rFonts w:ascii="Calibri" w:cs="Calibri" w:eastAsia="Calibri" w:hAnsi="Calibri"/>
          <w:b/>
          <w:bCs/>
          <w:color w:val="1F3864"/>
          <w:sz w:val="24"/>
          <w:szCs w:val="24"/>
        </w:rPr>
        <w:t xml:space="preserve">Deed of Bargain and Sale (and warranty deeds generally)</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The standard sale deed. Used when the grantor is conveying property to the grantee in exchange for consideration. The deed states the consideration paid, includes the granting language, the warranty designation (general or special), and the vesting designation for the grantees. Recordation tax is paid on the greater of consideration or assessed value.</w:t>
      </w:r>
    </w:p>
    <w:p>
      <w:pPr>
        <w:spacing w:after="80" w:before="200" w:line="280"/>
        <w:jc w:val="left"/>
      </w:pPr>
      <w:r>
        <w:rPr>
          <w:rFonts w:ascii="Calibri" w:cs="Calibri" w:eastAsia="Calibri" w:hAnsi="Calibri"/>
          <w:b/>
          <w:bCs/>
          <w:color w:val="1F3864"/>
          <w:sz w:val="24"/>
          <w:szCs w:val="24"/>
        </w:rPr>
        <w:t xml:space="preserve">Deed of Gift</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Used when an interest in real property is being transferred between individuals with no consideration passing. Va. Code § 58.1-811(D) exempts deeds of gift from recordation tax — but only if the deed states therein that it is a deed of gift. This is a hard requirement, not a preference. The 1993 Tax Commissioner Ruling, Public Document 93-212 (Oct. 17, 1993) (available at tax.virginia.gov/laws-rules-decisions/rulings-tax-commissioner/93-212), illustrates why: a deed labeled “Deed of Bargain and Sale” with the words “bargain and sale” struck through and “of gift” typed in, but with body language reciting “grant, bargain, sell, and convey” for consideration, was rejected as not being a deed of gift in substance. The deed must (i) say it is a deed of gift in the title, (ii) recite no consideration (or merely “good and valuable consideration” as a formality), and (iii) use granting language consistent with a gift (“grant and convey,” not “grant, bargain, sell, and convey”).</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A common practical question: clients sometimes ask for a “quitclaim deed.” In Virginia, quitclaim deeds exist but are uncommon and have no special tax treatment — if there is no consideration, you still need a deed of gift to claim the exemption. A workable hybrid is to title the deed “Quitclaim Deed of Gift” (or “Deed of Gift in the Nature of a Quitclaim”), provided the body recites donative intent and uses gift-style granting language. The 1993 ruling rejected a hybrid that mixed gift framing with consideration language, so be careful that the body matches.</w:t>
      </w:r>
    </w:p>
    <w:p>
      <w:pPr>
        <w:spacing w:after="80" w:before="200" w:line="280"/>
        <w:jc w:val="left"/>
      </w:pPr>
      <w:r>
        <w:rPr>
          <w:rFonts w:ascii="Calibri" w:cs="Calibri" w:eastAsia="Calibri" w:hAnsi="Calibri"/>
          <w:b/>
          <w:bCs/>
          <w:color w:val="1F3864"/>
          <w:sz w:val="24"/>
          <w:szCs w:val="24"/>
        </w:rPr>
        <w:t xml:space="preserve">Deed Into Trust</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Used when transferring property to the trustees of a revocable inter vivos trust. Va. Code § 58.1-811(A)(12) exempts these transfers where the grantors in the deed and the beneficiaries of the trust are the same persons — regardless of whether other beneficiaries may also be named in the trust instrument — provided no consideration passes. Title the deed “Deed Into Trust” and review the trust before recordation. The fact that a trust names additional beneficiaries (a spouse, children, charitable remainders) does not by itself defeat the exemption; what matters is that each grantor is among the beneficiaries and that no consideration passed. Where the grantor is not a beneficiary of the trust at all (e.g., the trust is for the benefit of children only), the exemption does not apply, and the transfer should be analyzed under a different exemption or treated as taxable.</w:t>
      </w:r>
    </w:p>
    <w:p>
      <w:pPr>
        <w:spacing w:after="80" w:before="200" w:line="280"/>
        <w:jc w:val="left"/>
      </w:pPr>
      <w:r>
        <w:rPr>
          <w:rFonts w:ascii="Calibri" w:cs="Calibri" w:eastAsia="Calibri" w:hAnsi="Calibri"/>
          <w:b/>
          <w:bCs/>
          <w:color w:val="1F3864"/>
          <w:sz w:val="24"/>
          <w:szCs w:val="24"/>
        </w:rPr>
        <w:t xml:space="preserve">Deed of Confirmation (or Confirmatory Deed)</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Used to clean up the public record where ownership has already changed by operation of law (typically through death and survivorship, or through a recorded heir affidavit), but the tax record and the chain of title still show the prior owner. The deed runs from the new owner to the new owner (“A to A”) and recites the events that transferred title — the prior deed, the death, the recorded affidavit if any. The legal “conveyance” is largely ceremonial; the work is in the recitals, which make the record legible to the next examiner. The recordation-tax exemption is Va. Code § 58.1-810(1), which provides that no additional tax is due on a deed of confirmation where tax was paid on the original deed.</w:t>
      </w:r>
    </w:p>
    <w:p>
      <w:pPr>
        <w:spacing w:after="80" w:before="200" w:line="280"/>
        <w:jc w:val="left"/>
      </w:pPr>
      <w:r>
        <w:rPr>
          <w:rFonts w:ascii="Calibri" w:cs="Calibri" w:eastAsia="Calibri" w:hAnsi="Calibri"/>
          <w:b/>
          <w:bCs/>
          <w:color w:val="1F3864"/>
          <w:sz w:val="24"/>
          <w:szCs w:val="24"/>
        </w:rPr>
        <w:t xml:space="preserve">Transfer-on-Death (TOD) Deed</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Authorized by Virginia's Uniform Real Property Transfer on Death Act, Va. Code § 64.2-621 et seq. (with the operative authorization at § 64.2-624). Lets the owner stay on title during life while title passes automatically to the named beneficiary at death, without probate. Recordation is exempt under § 58.1-811(J).</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Critical drafting trap: a TOD deed is not effective unless it is recorded before the transferor's death. Va. Code § 64.2-625 makes that rule explicit, and there is no exception. A signed-but-unrecorded TOD deed sitting in a desk drawer when the transferor dies is legally a nullity — the property passes through the estate as if the deed had never been drafted. Walk the client through the recordation step before they leave the signing, and confirm recordation has actually occurred. The Act also includes a statutory optional form (§ 64.2-635) with specific content requirements; follow the form strictly rather than improvising. The TOD-deed regime is one of the few areas of Virginia deed practice where strict statutory compliance is required, and substantial-compliance arguments are not available.</w:t>
      </w:r>
    </w:p>
    <w:p>
      <w:pPr>
        <w:spacing w:after="80" w:before="200" w:line="280"/>
        <w:jc w:val="left"/>
      </w:pPr>
      <w:r>
        <w:rPr>
          <w:rFonts w:ascii="Calibri" w:cs="Calibri" w:eastAsia="Calibri" w:hAnsi="Calibri"/>
          <w:b/>
          <w:bCs/>
          <w:color w:val="1F3864"/>
          <w:sz w:val="24"/>
          <w:szCs w:val="24"/>
        </w:rPr>
        <w:t xml:space="preserve">Deed of Distribution</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Authorized by § 58.1-811(K) for transfers from an estate or trust to original beneficiaries when no consideration passes. Must state on the front page that it is a “Deed of Distribution.” Used in estate administration, particularly to carry out specific dispositions in a will or trust.</w:t>
      </w:r>
    </w:p>
    <w:p>
      <w:pPr>
        <w:pBdr>
          <w:bottom w:val="single" w:color="BF8F00" w:sz="8" w:space="4"/>
        </w:pBdr>
        <w:spacing w:after="160" w:before="280" w:line="280"/>
        <w:jc w:val="left"/>
      </w:pPr>
      <w:r>
        <w:rPr>
          <w:rFonts w:ascii="Calibri" w:cs="Calibri" w:eastAsia="Calibri" w:hAnsi="Calibri"/>
          <w:b/>
          <w:bCs/>
          <w:color w:val="1F3864"/>
          <w:sz w:val="28"/>
          <w:szCs w:val="28"/>
        </w:rPr>
        <w:t xml:space="preserve">4.  Paragraph-by-paragraph anatomy of a deed</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This section walks through the deed's operative paragraphs in the order they appear. Each is something you will draft or modify on virtually every file.</w:t>
      </w:r>
    </w:p>
    <w:p>
      <w:pPr>
        <w:spacing w:after="80" w:before="200" w:line="280"/>
        <w:jc w:val="left"/>
      </w:pPr>
      <w:r>
        <w:rPr>
          <w:rFonts w:ascii="Calibri" w:cs="Calibri" w:eastAsia="Calibri" w:hAnsi="Calibri"/>
          <w:b/>
          <w:bCs/>
          <w:color w:val="1F3864"/>
          <w:sz w:val="24"/>
          <w:szCs w:val="24"/>
        </w:rPr>
        <w:t xml:space="preserve">Recitals — the “Whereas” paragraphs</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Recitals tell the story of how the parties got to this deed. They are not strictly required for legal validity in straightforward cases, but where any of the following is true, recitals belong in the deed: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A grantor on the prior deed has died and a survivor or heir is conveying. </w:t>
      </w:r>
      <w:r>
        <w:rPr>
          <w:rFonts w:ascii="Times New Roman" w:cs="Times New Roman" w:eastAsia="Times New Roman" w:hAnsi="Times New Roman"/>
          <w:b w:val="false"/>
          <w:bCs w:val="false"/>
          <w:i w:val="false"/>
          <w:iCs w:val="false"/>
          <w:smallCaps w:val="false"/>
          <w:color w:val="000000"/>
          <w:sz w:val="24"/>
          <w:szCs w:val="24"/>
        </w:rPr>
        <w:t xml:space="preserve">Recite the prior deed (date, recording info), the date of death, and the legal effect (“leaving Elaine M. Mott as surviving tenant by the entirety and sole owner by operation of law”).</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Title passed by recorded heir affidavit or other estate instrument. </w:t>
      </w:r>
      <w:r>
        <w:rPr>
          <w:rFonts w:ascii="Times New Roman" w:cs="Times New Roman" w:eastAsia="Times New Roman" w:hAnsi="Times New Roman"/>
          <w:b w:val="false"/>
          <w:bCs w:val="false"/>
          <w:i w:val="false"/>
          <w:iCs w:val="false"/>
          <w:smallCaps w:val="false"/>
          <w:color w:val="000000"/>
          <w:sz w:val="24"/>
          <w:szCs w:val="24"/>
        </w:rPr>
        <w:t xml:space="preserve">Recite the affidavit, the recording information, and the case file or instrument number.</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A name has changed, or the marital status of a grantor has changed. </w:t>
      </w:r>
      <w:r>
        <w:rPr>
          <w:rFonts w:ascii="Times New Roman" w:cs="Times New Roman" w:eastAsia="Times New Roman" w:hAnsi="Times New Roman"/>
          <w:b w:val="false"/>
          <w:bCs w:val="false"/>
          <w:i w:val="false"/>
          <w:iCs w:val="false"/>
          <w:smallCaps w:val="false"/>
          <w:color w:val="000000"/>
          <w:sz w:val="24"/>
          <w:szCs w:val="24"/>
        </w:rPr>
        <w:t xml:space="preserve">Identify the change so the indexing matches the prior deed.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The deed is a curative or confirmatory instrument. </w:t>
      </w:r>
      <w:r>
        <w:rPr>
          <w:rFonts w:ascii="Times New Roman" w:cs="Times New Roman" w:eastAsia="Times New Roman" w:hAnsi="Times New Roman"/>
          <w:b w:val="false"/>
          <w:bCs w:val="false"/>
          <w:i w:val="false"/>
          <w:iCs w:val="false"/>
          <w:smallCaps w:val="false"/>
          <w:color w:val="000000"/>
          <w:sz w:val="24"/>
          <w:szCs w:val="24"/>
        </w:rPr>
        <w:t xml:space="preserve">Walk through what was wrong (or unclear) in the prior record and what this deed accomplishes.</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The trainer's framing is exactly right: “Whereas, this happened. Whereas, this happened. Now therefore, this is what we are doing.” Recitals exist to keep the next examiner from staring at the prior deed and asking “wait, where did the spouse go?” — they head off that question by answering it on the face of the deed.</w:t>
      </w:r>
    </w:p>
    <w:p>
      <w:pPr>
        <w:spacing w:after="80" w:before="200" w:line="280"/>
        <w:jc w:val="left"/>
      </w:pPr>
      <w:r>
        <w:rPr>
          <w:rFonts w:ascii="Calibri" w:cs="Calibri" w:eastAsia="Calibri" w:hAnsi="Calibri"/>
          <w:b/>
          <w:bCs/>
          <w:color w:val="1F3864"/>
          <w:sz w:val="24"/>
          <w:szCs w:val="24"/>
        </w:rPr>
        <w:t xml:space="preserve">Consideration paragraph</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State what is being exchanged. For a sale deed, list the actual purchase price (which the clerk uses to compute recordation tax). For a deed of gift, recite “good and valuable consideration” — no monetary amount, but the formality satisfies the doctrinal requirement that a deed have some consideration to be effective. For a deed into trust, the standard recital is “for estate-planning purposes” or “for good and valuable consideration.” Match the recital to the deed type and the exemption (if any).</w:t>
      </w:r>
    </w:p>
    <w:p>
      <w:pPr>
        <w:spacing w:after="80" w:before="200" w:line="280"/>
        <w:jc w:val="left"/>
      </w:pPr>
      <w:r>
        <w:rPr>
          <w:rFonts w:ascii="Calibri" w:cs="Calibri" w:eastAsia="Calibri" w:hAnsi="Calibri"/>
          <w:b/>
          <w:bCs/>
          <w:color w:val="1F3864"/>
          <w:sz w:val="24"/>
          <w:szCs w:val="24"/>
        </w:rPr>
        <w:t xml:space="preserve">Granting language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This is the operative clause that actually transfers title. Va. Code § 55.1-300 sets the statutory minimum at “grant” or “grant and convey.” Office practice is the longer protective formulation “grant, bargain, sell, and convey,” which costs nothing extra and forecloses the kind of title-underwriter pushback the trainer described from a Maryland matter (where a deed using only “convey” required a curative deed before the title insurer would write coverage).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One important exception: in deeds of gift, do not use “grant, bargain, sell, and convey” — the words “bargain” and “sell” imply consideration, and the 1993 Tax Commissioner Ruling rejected a deed of gift on exactly that basis. For gifts, use “grant and convey” and rely on the § 55.1-300 statutory minimum.</w:t>
      </w:r>
    </w:p>
    <w:p>
      <w:pPr>
        <w:spacing w:after="80" w:before="200" w:line="280"/>
        <w:jc w:val="left"/>
      </w:pPr>
      <w:r>
        <w:rPr>
          <w:rFonts w:ascii="Calibri" w:cs="Calibri" w:eastAsia="Calibri" w:hAnsi="Calibri"/>
          <w:b/>
          <w:bCs/>
          <w:color w:val="1F3864"/>
          <w:sz w:val="24"/>
          <w:szCs w:val="24"/>
        </w:rPr>
        <w:t xml:space="preserve">Warranty designation</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“With general warranty,” “with special warranty,” or no warranty at all (as in many gift and trust deeds). Va. Code § 55.1-356 makes these phrases statutory shorthand: each one expands automatically into the full set of common-law covenants. Do not paraphrase — use the exact statutory phrase. The choice between general and special is substantive: general warranty warrants title against defects from the grantor and all prior owners; special warranty warrants only against defects created during the grantor's ownership. Builders and commercial sellers prefer special warranty; consumer sellers in residential transactions almost always give general warranty. “English covenants of title” is an additional layer that incorporates the covenants of §§ 55.1-359 through 55.1-362 plus seisin in fee simple.</w:t>
      </w:r>
    </w:p>
    <w:p>
      <w:pPr>
        <w:spacing w:after="80" w:before="200" w:line="280"/>
        <w:jc w:val="left"/>
      </w:pPr>
      <w:r>
        <w:rPr>
          <w:rFonts w:ascii="Calibri" w:cs="Calibri" w:eastAsia="Calibri" w:hAnsi="Calibri"/>
          <w:b/>
          <w:bCs/>
          <w:color w:val="1F3864"/>
          <w:sz w:val="24"/>
          <w:szCs w:val="24"/>
        </w:rPr>
        <w:t xml:space="preserve">Vesting / tenancy designation</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Where there is more than one grantee, state how they take title. This is the single most error-prone item in Virginia deed drafting. Under § 55.1-134, the common-law right of survivorship between joint tenants is abolished. Under § 55.1-135, joint tenants take without survivorship unless the deed expressly says “with survivorship” or “with right of survivorship” or equivalent language.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The practical consequence: a deed that says “to Alice and Bob, jointly” or “to Alice and Bob, as joint tenants” creates a tenancy in common in Virginia, not a joint tenancy with survivorship. When Alice dies, her interest passes through her estate, not to Bob — which is almost never what the parties intended. The fix is reflexive: any time you have multiple grantees and they intend survivorship, write “as joint tenants with right of survivorship” in full. For married couples, write “as tenants by the entirety with the common-law right of survivorship” — § 55.1-136 confirms tenants by the entirety carry survivorship by their nature, but the explicit recital prevents future ambiguity if the marriage ends and a court has to construe the original tenancy.</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Note also § 55.1-135's default rule for spouses: if real property is conveyed to spouses without specifying tenancy, they take by moieties (effectively as tenants in common in equal shares) unless the deed expressly designates joint tenancy or tenancy by the entirety. In other words, even married grantees do not automatically take TBE — you have to write it in.</w:t>
      </w:r>
    </w:p>
    <w:p>
      <w:pPr>
        <w:spacing w:after="80" w:before="200" w:line="280"/>
        <w:jc w:val="left"/>
      </w:pPr>
      <w:r>
        <w:rPr>
          <w:rFonts w:ascii="Calibri" w:cs="Calibri" w:eastAsia="Calibri" w:hAnsi="Calibri"/>
          <w:b/>
          <w:bCs/>
          <w:color w:val="1F3864"/>
          <w:sz w:val="24"/>
          <w:szCs w:val="24"/>
        </w:rPr>
        <w:t xml:space="preserve">Property paragraph and legal description</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State the locality (“County of Fairfax, Commonwealth of Virginia” or “City of Alexandria, Commonwealth of Virginia” — and the distinction matters in Northern Virginia, where independent cities like Alexandria and Fairfax City are separate from the surrounding counties). Then provide the legal description.</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Two forms of legal description appear: subdivision descriptions (Lot 49, Section 3, Hayfield View, as recorded in Plat Book ___ at Page ___) and metes and bounds (a verbal walk around the boundaries, beginning at a corner and proceeding by direction and distance). Subdivision descriptions are by far more common for residential property. Pull the description from the prior vesting deed and copy it verbatim. The trainer's productivity tip is correct: tools like Qualia can copy long metes-and-bounds descriptions cleanly, which avoids transcription errors. The short legal description from the locality's tax record is legally sufficient when you have no access to the prior deed, but it is a fallback, not a primary source.</w:t>
      </w:r>
    </w:p>
    <w:p>
      <w:pPr>
        <w:spacing w:after="80" w:before="200" w:line="280"/>
        <w:jc w:val="left"/>
      </w:pPr>
      <w:r>
        <w:rPr>
          <w:rFonts w:ascii="Calibri" w:cs="Calibri" w:eastAsia="Calibri" w:hAnsi="Calibri"/>
          <w:b/>
          <w:bCs/>
          <w:color w:val="1F3864"/>
          <w:sz w:val="24"/>
          <w:szCs w:val="24"/>
        </w:rPr>
        <w:t xml:space="preserve">Derivation clause (the “Being” clause)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This is the clause that ties the deed back to the prior recorded instrument. Most clerks will not record a deed that lacks one. Standard form:</w:t>
      </w:r>
    </w:p>
    <w:p>
      <w:pPr>
        <w:spacing w:after="160" w:before="0" w:line="280"/>
        <w:jc w:val="both"/>
      </w:pPr>
      <w:r>
        <w:rPr>
          <w:rFonts w:ascii="Times New Roman" w:cs="Times New Roman" w:eastAsia="Times New Roman" w:hAnsi="Times New Roman"/>
          <w:b w:val="false"/>
          <w:bCs w:val="false"/>
          <w:i/>
          <w:iCs/>
          <w:smallCaps w:val="false"/>
          <w:color w:val="000000"/>
          <w:sz w:val="24"/>
          <w:szCs w:val="24"/>
        </w:rPr>
        <w:t xml:space="preserve">“Being the same property conveyed unto the grantor herein by deed dated [date], recorded [date] in Deed Book ___ at Page ___ (or as Instrument No. ___) among the land records of [locality], Virginia.”</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Where the chain involves more than one prior conveyance you need to recite, the second clause begins “And Being” and the third “And Also Being.” Match the citation format the locality uses: Fairfax County uses traditional deed-book/page citations (sometimes alongside instrument numbers); other localities have moved to instrument numbers only. Use context clues from documents already recorded in that locality. When in doubt, include both.</w:t>
      </w:r>
    </w:p>
    <w:p>
      <w:pPr>
        <w:spacing w:after="80" w:before="200" w:line="280"/>
        <w:jc w:val="left"/>
      </w:pPr>
      <w:r>
        <w:rPr>
          <w:rFonts w:ascii="Calibri" w:cs="Calibri" w:eastAsia="Calibri" w:hAnsi="Calibri"/>
          <w:b/>
          <w:bCs/>
          <w:color w:val="1F3864"/>
          <w:sz w:val="24"/>
          <w:szCs w:val="24"/>
        </w:rPr>
        <w:t xml:space="preserve">Execution and acknowledgment</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All grantors must sign; grantees generally do not. The deed must be acknowledged before a notary public to be eligible for recordation under § 55.1-600 et seq. Office practice is to bold and underline the grantor's last name on the signature page (helpful to the clerk's indexer, though not all clerks require it). Minimum font size is 10 — most clerks reject smaller. Times New Roman is firm style.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Practice tip: keep the signature on a separate page from the substantive text. If a typo or substantive correction is needed on the body of the deed, you can revise the front pages without re-running the executed signature page. The signature stays clean and reusable, and the client does not have to come back to sign again.</w:t>
      </w:r>
    </w:p>
    <w:p>
      <w:pPr>
        <w:pBdr>
          <w:bottom w:val="single" w:color="BF8F00" w:sz="8" w:space="4"/>
        </w:pBdr>
        <w:spacing w:after="160" w:before="280" w:line="280"/>
        <w:jc w:val="left"/>
      </w:pPr>
      <w:r>
        <w:rPr>
          <w:rFonts w:ascii="Calibri" w:cs="Calibri" w:eastAsia="Calibri" w:hAnsi="Calibri"/>
          <w:b/>
          <w:bCs/>
          <w:color w:val="1F3864"/>
          <w:sz w:val="28"/>
          <w:szCs w:val="28"/>
        </w:rPr>
        <w:t xml:space="preserve">5.  Marital status — why we ask, and what we do about it</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As a matter of Virginia title-underwriting and office practice, every deed we draft should identify the marital status of each individual grantor — particularly for no-consideration transfers, transfers involving a marital residence, and transfers by a sole titled owner. There is no per-se Virginia statute that requires a marital-status recital on every deed; the requirement comes from a combination of marital-property doctrine, title-underwriting practice, and the specific concerns described below. The reason runs deeper than indexing. In Virginia, several doctrines can give a non-titled spouse an interest in the titled spouse's real property:</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Augmented-estate / elective-share rights. </w:t>
      </w:r>
      <w:r>
        <w:rPr>
          <w:rFonts w:ascii="Times New Roman" w:cs="Times New Roman" w:eastAsia="Times New Roman" w:hAnsi="Times New Roman"/>
          <w:b w:val="false"/>
          <w:bCs w:val="false"/>
          <w:i w:val="false"/>
          <w:iCs w:val="false"/>
          <w:smallCaps w:val="false"/>
          <w:color w:val="000000"/>
          <w:sz w:val="24"/>
          <w:szCs w:val="24"/>
        </w:rPr>
        <w:t xml:space="preserve">Under Va. Code §§ 64.2-308.5 through 64.2-308.10, a surviving spouse can elect against the deceased spouse's estate, and the augmented estate includes property the deceased transferred during marriage without the surviving spouse's written consent or joinder. A non-titled spouse who did not sign a no-consideration deed retains a potential claim against that property if the titled spouse predeceases.</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Equitable distribution on divorce. </w:t>
      </w:r>
      <w:r>
        <w:rPr>
          <w:rFonts w:ascii="Times New Roman" w:cs="Times New Roman" w:eastAsia="Times New Roman" w:hAnsi="Times New Roman"/>
          <w:b w:val="false"/>
          <w:bCs w:val="false"/>
          <w:i w:val="false"/>
          <w:iCs w:val="false"/>
          <w:smallCaps w:val="false"/>
          <w:color w:val="000000"/>
          <w:sz w:val="24"/>
          <w:szCs w:val="24"/>
        </w:rPr>
        <w:t xml:space="preserve">Under Va. Code § 20-107.3, separate property of one spouse can be reclassified as marital (or hybrid) property if marital funds or efforts contribute to it. A property titled in one spouse's name alone but maintained with marital assets may have a marital component the non-titled spouse can claim.</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Title underwriting practice. </w:t>
      </w:r>
      <w:r>
        <w:rPr>
          <w:rFonts w:ascii="Times New Roman" w:cs="Times New Roman" w:eastAsia="Times New Roman" w:hAnsi="Times New Roman"/>
          <w:b w:val="false"/>
          <w:bCs w:val="false"/>
          <w:i w:val="false"/>
          <w:iCs w:val="false"/>
          <w:smallCaps w:val="false"/>
          <w:color w:val="000000"/>
          <w:sz w:val="24"/>
          <w:szCs w:val="24"/>
        </w:rPr>
        <w:t xml:space="preserve">Title insurers in Virginia will typically require both spouses to join in a deed conveying real property where one spouse is the sole title holder, particularly for marital residences and no-consideration transfers. Without the spouse's joinder, the insurer may take an exception or decline to insure.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Note: Virginia abolished common-law dower and curtesy effective January 1, 1991 (§ 64.2-301). Older training materials and some practitioners still reference dower or curtesy; those are obsolete. The replacement framework is the augmented-estate / elective-share regime described above. There is also no per-se Virginia statute requiring spousal joinder on every deed — the requirement is driven by the augmented-estate rules, equitable-distribution risk, and underwriting practice rather than a single signing statute.</w:t>
      </w:r>
    </w:p>
    <w:p>
      <w:pPr>
        <w:spacing w:after="80" w:before="200" w:line="280"/>
        <w:jc w:val="left"/>
      </w:pPr>
      <w:r>
        <w:rPr>
          <w:rFonts w:ascii="Calibri" w:cs="Calibri" w:eastAsia="Calibri" w:hAnsi="Calibri"/>
          <w:b/>
          <w:bCs/>
          <w:color w:val="1F3864"/>
          <w:sz w:val="24"/>
          <w:szCs w:val="24"/>
        </w:rPr>
        <w:t xml:space="preserve">The drafting rule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If the grantor is married and the deed conveys real property for no (or nominal) consideration, the spouse should join the deed. Identify the grantor's marital status in the recitals (“divorced and not remarried,” “married, but spouse holds no interest of record and does not join in this deed,” “surviving tenant by the entirety,” etc.) so the next examiner can see what was disclosed at drafting.</w:t>
      </w:r>
    </w:p>
    <w:p>
      <w:pPr>
        <w:spacing w:after="80" w:before="200" w:line="280"/>
        <w:jc w:val="left"/>
      </w:pPr>
      <w:r>
        <w:rPr>
          <w:rFonts w:ascii="Calibri" w:cs="Calibri" w:eastAsia="Calibri" w:hAnsi="Calibri"/>
          <w:b/>
          <w:bCs/>
          <w:color w:val="1F3864"/>
          <w:sz w:val="24"/>
          <w:szCs w:val="24"/>
        </w:rPr>
        <w:t xml:space="preserve">When the client tells you the spouse will not sign</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This is the situation that tests judgment. The trainer's approach — explain the title-insurance and elective-share consequences, recommend that the spouse sign, and if the client still wants to proceed without the spouse, document the recommendation and the client's contrary instruction in the engagement letter — is the right one.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The engagement-letter language for this situation should: (i) describe what you advised the client about the spouse's potential interest and the title-insurance consequences; (ii) confirm that the client directed the firm to proceed without the spouse's joinder despite that advice; (iii) disclaim responsibility for any title or elective-share issue arising from the absence of joinder; and (iv) confirm the scope of the engagement remains limited to drafting and recordation. The fact that you covered yourself in writing does not guarantee a contingency-fee plaintiff will not sue you, but it dramatically improves your defense if they do.</w:t>
      </w:r>
    </w:p>
    <w:p>
      <w:pPr>
        <w:pBdr>
          <w:bottom w:val="single" w:color="BF8F00" w:sz="8" w:space="4"/>
        </w:pBdr>
        <w:spacing w:after="160" w:before="280" w:line="280"/>
        <w:jc w:val="left"/>
      </w:pPr>
      <w:r>
        <w:rPr>
          <w:rFonts w:ascii="Calibri" w:cs="Calibri" w:eastAsia="Calibri" w:hAnsi="Calibri"/>
          <w:b/>
          <w:bCs/>
          <w:color w:val="1F3864"/>
          <w:sz w:val="28"/>
          <w:szCs w:val="28"/>
        </w:rPr>
        <w:t xml:space="preserve">6.  Engagement letters and risk — do not skip this</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Deed work generates a disproportionate share of the file-management headaches in any real-estate practice. Requests come in informally (“can you do me a quick favor and put my house in my trust”), fees are modest, and the temptation to skip the engagement letter is real. Resist it. The malpractice claims that come out of deed work almost always have one common feature: there is no signed engagement letter, and the client's recollection of what the firm was hired to do is more expansive than the firm's recollection.</w:t>
      </w:r>
    </w:p>
    <w:p>
      <w:pPr>
        <w:spacing w:after="80" w:before="200" w:line="280"/>
        <w:jc w:val="left"/>
      </w:pPr>
      <w:r>
        <w:rPr>
          <w:rFonts w:ascii="Calibri" w:cs="Calibri" w:eastAsia="Calibri" w:hAnsi="Calibri"/>
          <w:b/>
          <w:bCs/>
          <w:color w:val="1F3864"/>
          <w:sz w:val="24"/>
          <w:szCs w:val="24"/>
        </w:rPr>
        <w:t xml:space="preserve">What every deed engagement letter should do</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The engagement letter on a deed file is short, but it does specific work:</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Establish the attorney-client relationship and identify the matter. </w:t>
      </w:r>
      <w:r>
        <w:rPr>
          <w:rFonts w:ascii="Times New Roman" w:cs="Times New Roman" w:eastAsia="Times New Roman" w:hAnsi="Times New Roman"/>
          <w:b w:val="false"/>
          <w:bCs w:val="false"/>
          <w:i w:val="false"/>
          <w:iCs w:val="false"/>
          <w:smallCaps w:val="false"/>
          <w:color w:val="000000"/>
          <w:sz w:val="24"/>
          <w:szCs w:val="24"/>
        </w:rPr>
        <w:t xml:space="preserve">Without a signed letter, there is no documented retention; with one, the relationship is on paper.</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Define scope as drafting and recordation only. </w:t>
      </w:r>
      <w:r>
        <w:rPr>
          <w:rFonts w:ascii="Times New Roman" w:cs="Times New Roman" w:eastAsia="Times New Roman" w:hAnsi="Times New Roman"/>
          <w:b w:val="false"/>
          <w:bCs w:val="false"/>
          <w:i w:val="false"/>
          <w:iCs w:val="false"/>
          <w:smallCaps w:val="false"/>
          <w:color w:val="000000"/>
          <w:sz w:val="24"/>
          <w:szCs w:val="24"/>
        </w:rPr>
        <w:t xml:space="preserve">The trainer's framing — “as soon as that deed is recorded, I am no longer your attorney” — is the substance of what the scope clause says. Scope ends on recordation; ongoing representation requires a separate engagement.</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State explicitly what the firm is not doing. </w:t>
      </w:r>
      <w:r>
        <w:rPr>
          <w:rFonts w:ascii="Times New Roman" w:cs="Times New Roman" w:eastAsia="Times New Roman" w:hAnsi="Times New Roman"/>
          <w:b w:val="false"/>
          <w:bCs w:val="false"/>
          <w:i w:val="false"/>
          <w:iCs w:val="false"/>
          <w:smallCaps w:val="false"/>
          <w:color w:val="000000"/>
          <w:sz w:val="24"/>
          <w:szCs w:val="24"/>
        </w:rPr>
        <w:t xml:space="preserve">Tax, gift-tax, and estate-tax advice; lender consent or due-on-sale clause analysis; title insurance review or coverage opinions; ongoing compliance or post-recordation matters. Each of these is a place where a client may later say “you should have told me about that.” Disclaim them in writing.</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Recommend the client consult specific other professionals. </w:t>
      </w:r>
      <w:r>
        <w:rPr>
          <w:rFonts w:ascii="Times New Roman" w:cs="Times New Roman" w:eastAsia="Times New Roman" w:hAnsi="Times New Roman"/>
          <w:b w:val="false"/>
          <w:bCs w:val="false"/>
          <w:i w:val="false"/>
          <w:iCs w:val="false"/>
          <w:smallCaps w:val="false"/>
          <w:color w:val="000000"/>
          <w:sz w:val="24"/>
          <w:szCs w:val="24"/>
        </w:rPr>
        <w:t xml:space="preserve">Tax advisor, lender, estate-planning attorney as appropriate. Naming the categories tells the client they are responsible for those issues.</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State the fee, the deposit if any, and what is and is not included in the flat fee. </w:t>
      </w:r>
      <w:r>
        <w:rPr>
          <w:rFonts w:ascii="Times New Roman" w:cs="Times New Roman" w:eastAsia="Times New Roman" w:hAnsi="Times New Roman"/>
          <w:b w:val="false"/>
          <w:bCs w:val="false"/>
          <w:i w:val="false"/>
          <w:iCs w:val="false"/>
          <w:smallCaps w:val="false"/>
          <w:color w:val="000000"/>
          <w:sz w:val="24"/>
          <w:szCs w:val="24"/>
        </w:rPr>
        <w:t xml:space="preserve">Recordation costs and courier fees are typically reimbursed.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Document client-directed deviations from recommended practice. </w:t>
      </w:r>
      <w:r>
        <w:rPr>
          <w:rFonts w:ascii="Times New Roman" w:cs="Times New Roman" w:eastAsia="Times New Roman" w:hAnsi="Times New Roman"/>
          <w:b w:val="false"/>
          <w:bCs w:val="false"/>
          <w:i w:val="false"/>
          <w:iCs w:val="false"/>
          <w:smallCaps w:val="false"/>
          <w:color w:val="000000"/>
          <w:sz w:val="24"/>
          <w:szCs w:val="24"/>
        </w:rPr>
        <w:t xml:space="preserve">The spouse-will-not-sign scenario above is the canonical example. Get the client's election in writing.</w:t>
      </w:r>
    </w:p>
    <w:p>
      <w:pPr>
        <w:spacing w:after="80" w:before="200" w:line="280"/>
        <w:jc w:val="left"/>
      </w:pPr>
      <w:r>
        <w:rPr>
          <w:rFonts w:ascii="Calibri" w:cs="Calibri" w:eastAsia="Calibri" w:hAnsi="Calibri"/>
          <w:b/>
          <w:bCs/>
          <w:color w:val="1F3864"/>
          <w:sz w:val="24"/>
          <w:szCs w:val="24"/>
        </w:rPr>
        <w:t xml:space="preserve">The trainer's quote, reframed</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“Just because you are right does not mean somebody will not try to sue you.” That is the right mindset. An engagement letter does not prevent claims; it makes claims defensible. The cost of preparing and sending one for every deed file is fifteen minutes; the cost of defending a claim without one is whatever the plaintiff's contingency-fee lawyer can extract.</w:t>
      </w:r>
    </w:p>
    <w:p>
      <w:pPr>
        <w:pBdr>
          <w:bottom w:val="single" w:color="BF8F00" w:sz="8" w:space="4"/>
        </w:pBdr>
        <w:spacing w:after="160" w:before="280" w:line="280"/>
        <w:jc w:val="left"/>
      </w:pPr>
      <w:r>
        <w:rPr>
          <w:rFonts w:ascii="Calibri" w:cs="Calibri" w:eastAsia="Calibri" w:hAnsi="Calibri"/>
          <w:b/>
          <w:bCs/>
          <w:color w:val="1F3864"/>
          <w:sz w:val="28"/>
          <w:szCs w:val="28"/>
        </w:rPr>
        <w:t xml:space="preserve">7.  Research workflow — from client phone call to recorded deed</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This section walks through the actual workflow of producing a deed from scratch, in the order you will do it. The example uses Fairfax County conventions; other localities differ in their tax-record interfaces and land-records systems, but the logical sequence is the same.</w:t>
      </w:r>
    </w:p>
    <w:p>
      <w:pPr>
        <w:spacing w:after="80" w:before="200" w:line="280"/>
        <w:jc w:val="left"/>
      </w:pPr>
      <w:r>
        <w:rPr>
          <w:rFonts w:ascii="Calibri" w:cs="Calibri" w:eastAsia="Calibri" w:hAnsi="Calibri"/>
          <w:b/>
          <w:bCs/>
          <w:color w:val="1F3864"/>
          <w:sz w:val="24"/>
          <w:szCs w:val="24"/>
        </w:rPr>
        <w:t xml:space="preserve">Step 1 — Pull the locality's tax record</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Start at the locality's property tax-search portal (not the land-records system; that is Step 2). For Fairfax County, the URL is the county's online property-search application. Search by the property address. The tax record will show:</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The owner(s) of record. </w:t>
      </w:r>
      <w:r>
        <w:rPr>
          <w:rFonts w:ascii="Times New Roman" w:cs="Times New Roman" w:eastAsia="Times New Roman" w:hAnsi="Times New Roman"/>
          <w:b w:val="false"/>
          <w:bCs w:val="false"/>
          <w:i w:val="false"/>
          <w:iCs w:val="false"/>
          <w:smallCaps w:val="false"/>
          <w:color w:val="000000"/>
          <w:sz w:val="24"/>
          <w:szCs w:val="24"/>
        </w:rPr>
        <w:t xml:space="preserve">Sanity-check against what the client told you. If the client says “I am the owner” and the tax record shows two names, ask follow-up questions before doing anything else: who is the second person, are they still living, are the parties still married, has there been a divorce. Missing a co-owner means the deed is invalid or has to be redone.</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The tax map / parcel ID. </w:t>
      </w:r>
      <w:r>
        <w:rPr>
          <w:rFonts w:ascii="Times New Roman" w:cs="Times New Roman" w:eastAsia="Times New Roman" w:hAnsi="Times New Roman"/>
          <w:b w:val="false"/>
          <w:bCs w:val="false"/>
          <w:i w:val="false"/>
          <w:iCs w:val="false"/>
          <w:smallCaps w:val="false"/>
          <w:color w:val="000000"/>
          <w:sz w:val="24"/>
          <w:szCs w:val="24"/>
        </w:rPr>
        <w:t xml:space="preserve">Copy this exactly into the deed.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The current assessed value. </w:t>
      </w:r>
      <w:r>
        <w:rPr>
          <w:rFonts w:ascii="Times New Roman" w:cs="Times New Roman" w:eastAsia="Times New Roman" w:hAnsi="Times New Roman"/>
          <w:b w:val="false"/>
          <w:bCs w:val="false"/>
          <w:i w:val="false"/>
          <w:iCs w:val="false"/>
          <w:smallCaps w:val="false"/>
          <w:color w:val="000000"/>
          <w:sz w:val="24"/>
          <w:szCs w:val="24"/>
        </w:rPr>
        <w:t xml:space="preserve">Use the total (land plus improvements) figure unless the locality presents only a combined number.</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The short legal description. </w:t>
      </w:r>
      <w:r>
        <w:rPr>
          <w:rFonts w:ascii="Times New Roman" w:cs="Times New Roman" w:eastAsia="Times New Roman" w:hAnsi="Times New Roman"/>
          <w:b w:val="false"/>
          <w:bCs w:val="false"/>
          <w:i w:val="false"/>
          <w:iCs w:val="false"/>
          <w:smallCaps w:val="false"/>
          <w:color w:val="000000"/>
          <w:sz w:val="24"/>
          <w:szCs w:val="24"/>
        </w:rPr>
        <w:t xml:space="preserve">Subdivision/section/lot or, for unsubdivided property, an abbreviated metes-and-bounds. Sufficient as a fallback if the prior deed is unavailable; otherwise prefer the full description from the deed.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The book and page (or instrument number) of the prior deed. </w:t>
      </w:r>
      <w:r>
        <w:rPr>
          <w:rFonts w:ascii="Times New Roman" w:cs="Times New Roman" w:eastAsia="Times New Roman" w:hAnsi="Times New Roman"/>
          <w:b w:val="false"/>
          <w:bCs w:val="false"/>
          <w:i w:val="false"/>
          <w:iCs w:val="false"/>
          <w:smallCaps w:val="false"/>
          <w:color w:val="000000"/>
          <w:sz w:val="24"/>
          <w:szCs w:val="24"/>
        </w:rPr>
        <w:t xml:space="preserve">This is the lead you use in Step 2.</w:t>
      </w:r>
    </w:p>
    <w:p>
      <w:pPr>
        <w:spacing w:after="80" w:before="200" w:line="280"/>
        <w:jc w:val="left"/>
      </w:pPr>
      <w:r>
        <w:rPr>
          <w:rFonts w:ascii="Calibri" w:cs="Calibri" w:eastAsia="Calibri" w:hAnsi="Calibri"/>
          <w:b/>
          <w:bCs/>
          <w:color w:val="1F3864"/>
          <w:sz w:val="24"/>
          <w:szCs w:val="24"/>
        </w:rPr>
        <w:t xml:space="preserve">Step 2 — Pull the prior vesting deed from land records</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Each Virginia locality maintains its own land-records database, accessed through a subscription service the firm has set up. Using the book and page (or instrument number) from the tax record, retrieve the prior deed. From it, you will copy:</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The full legal description. </w:t>
      </w:r>
      <w:r>
        <w:rPr>
          <w:rFonts w:ascii="Times New Roman" w:cs="Times New Roman" w:eastAsia="Times New Roman" w:hAnsi="Times New Roman"/>
          <w:b w:val="false"/>
          <w:bCs w:val="false"/>
          <w:i w:val="false"/>
          <w:iCs w:val="false"/>
          <w:smallCaps w:val="false"/>
          <w:color w:val="000000"/>
          <w:sz w:val="24"/>
          <w:szCs w:val="24"/>
        </w:rPr>
        <w:t xml:space="preserve">Verbatim. Include all metes-and-bounds calls, plat references, easements, and exceptions exactly as they appear.</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The recording information you will use in your derivation clause. </w:t>
      </w:r>
      <w:r>
        <w:rPr>
          <w:rFonts w:ascii="Times New Roman" w:cs="Times New Roman" w:eastAsia="Times New Roman" w:hAnsi="Times New Roman"/>
          <w:b w:val="false"/>
          <w:bCs w:val="false"/>
          <w:i w:val="false"/>
          <w:iCs w:val="false"/>
          <w:smallCaps w:val="false"/>
          <w:color w:val="000000"/>
          <w:sz w:val="24"/>
          <w:szCs w:val="24"/>
        </w:rPr>
        <w:t xml:space="preserve">Date of the prior deed, date of recordation, deed book and page (or instrument number).</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Any prior recitals that affect title. </w:t>
      </w:r>
      <w:r>
        <w:rPr>
          <w:rFonts w:ascii="Times New Roman" w:cs="Times New Roman" w:eastAsia="Times New Roman" w:hAnsi="Times New Roman"/>
          <w:b w:val="false"/>
          <w:bCs w:val="false"/>
          <w:i w:val="false"/>
          <w:iCs w:val="false"/>
          <w:smallCaps w:val="false"/>
          <w:color w:val="000000"/>
          <w:sz w:val="24"/>
          <w:szCs w:val="24"/>
        </w:rPr>
        <w:t xml:space="preserve">If the prior deed itself recites a death, an affidavit, a name change, or a curative event, you may need to carry that information forward in your own recitals.</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Tools like Qualia can pull and parse vesting deeds and copy long legal descriptions cleanly, which is particularly valuable for unsubdivided land. Use them — transcription errors in metes-and-bounds descriptions are a recurring source of curative deeds.</w:t>
      </w:r>
    </w:p>
    <w:p>
      <w:pPr>
        <w:spacing w:after="80" w:before="200" w:line="280"/>
        <w:jc w:val="left"/>
      </w:pPr>
      <w:r>
        <w:rPr>
          <w:rFonts w:ascii="Calibri" w:cs="Calibri" w:eastAsia="Calibri" w:hAnsi="Calibri"/>
          <w:b/>
          <w:bCs/>
          <w:color w:val="1F3864"/>
          <w:sz w:val="24"/>
          <w:szCs w:val="24"/>
        </w:rPr>
        <w:t xml:space="preserve">Step 3 — Confirm the deed type and exemption analysis</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Before drafting, confirm three things:</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What kind of deed is this? </w:t>
      </w:r>
      <w:r>
        <w:rPr>
          <w:rFonts w:ascii="Times New Roman" w:cs="Times New Roman" w:eastAsia="Times New Roman" w:hAnsi="Times New Roman"/>
          <w:b w:val="false"/>
          <w:bCs w:val="false"/>
          <w:i w:val="false"/>
          <w:iCs w:val="false"/>
          <w:smallCaps w:val="false"/>
          <w:color w:val="000000"/>
          <w:sz w:val="24"/>
          <w:szCs w:val="24"/>
        </w:rPr>
        <w:t xml:space="preserve">Sale, gift, into trust, confirmation, TOD, distribution. The deed type drives the title, the granting language, and the warranty designation.</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Is the deed exempt from recordation tax? </w:t>
      </w:r>
      <w:r>
        <w:rPr>
          <w:rFonts w:ascii="Times New Roman" w:cs="Times New Roman" w:eastAsia="Times New Roman" w:hAnsi="Times New Roman"/>
          <w:b w:val="false"/>
          <w:bCs w:val="false"/>
          <w:i w:val="false"/>
          <w:iCs w:val="false"/>
          <w:smallCaps w:val="false"/>
          <w:color w:val="000000"/>
          <w:sz w:val="24"/>
          <w:szCs w:val="24"/>
        </w:rPr>
        <w:t xml:space="preserve">If yes, identify the specific subsection of § 58.1-810 or § 58.1-811 that applies and confirm the deed's substance matches it.</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Does the situation require recitals? </w:t>
      </w:r>
      <w:r>
        <w:rPr>
          <w:rFonts w:ascii="Times New Roman" w:cs="Times New Roman" w:eastAsia="Times New Roman" w:hAnsi="Times New Roman"/>
          <w:b w:val="false"/>
          <w:bCs w:val="false"/>
          <w:i w:val="false"/>
          <w:iCs w:val="false"/>
          <w:smallCaps w:val="false"/>
          <w:color w:val="000000"/>
          <w:sz w:val="24"/>
          <w:szCs w:val="24"/>
        </w:rPr>
        <w:t xml:space="preserve">Death, marital change, prior affidavit, name change, curative purpose. If any of these is present, plan the recital paragraphs before you start drafting.</w:t>
      </w:r>
    </w:p>
    <w:p>
      <w:pPr>
        <w:spacing w:after="80" w:before="200" w:line="280"/>
        <w:jc w:val="left"/>
      </w:pPr>
      <w:r>
        <w:rPr>
          <w:rFonts w:ascii="Calibri" w:cs="Calibri" w:eastAsia="Calibri" w:hAnsi="Calibri"/>
          <w:b/>
          <w:bCs/>
          <w:color w:val="1F3864"/>
          <w:sz w:val="24"/>
          <w:szCs w:val="24"/>
        </w:rPr>
        <w:t xml:space="preserve">Step 4 — Draft from the template, customize for the matter</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Use the firm's template that matches the deed type. Do not start from a blank document; the templates exist because they include all the items the clerks require. Customize: parties, recitals, consideration, granting language (matched to deed type), warranty, vesting (with explicit survivorship language where applicable), legal description, derivation clause. Save the file under the matter file number.</w:t>
      </w:r>
    </w:p>
    <w:p>
      <w:pPr>
        <w:spacing w:after="80" w:before="200" w:line="280"/>
        <w:jc w:val="left"/>
      </w:pPr>
      <w:r>
        <w:rPr>
          <w:rFonts w:ascii="Calibri" w:cs="Calibri" w:eastAsia="Calibri" w:hAnsi="Calibri"/>
          <w:b/>
          <w:bCs/>
          <w:color w:val="1F3864"/>
          <w:sz w:val="24"/>
          <w:szCs w:val="24"/>
        </w:rPr>
        <w:t xml:space="preserve">Step 5 — Engagement letter and execution</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Generate the engagement letter contemporaneously with the deed. Send both to the client for execution. The deed must be notarized; depending on the matter, this is done in person or via remote online notarization. Once executed, the deed and engagement letter come back to the firm.</w:t>
      </w:r>
    </w:p>
    <w:p>
      <w:pPr>
        <w:spacing w:after="80" w:before="200" w:line="280"/>
        <w:jc w:val="left"/>
      </w:pPr>
      <w:r>
        <w:rPr>
          <w:rFonts w:ascii="Calibri" w:cs="Calibri" w:eastAsia="Calibri" w:hAnsi="Calibri"/>
          <w:b/>
          <w:bCs/>
          <w:color w:val="1F3864"/>
          <w:sz w:val="24"/>
          <w:szCs w:val="24"/>
        </w:rPr>
        <w:t xml:space="preserve">Step 6 — Recordation</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File the deed with the circuit court clerk in the locality where the property sits, with the appropriate cover sheet, recordation tax (if not exempt), and any required local forms. Some localities accept e-recording; others still require physical filing. The recordation step is the firm's responsibility under our standard scope; the client does not handle it.</w:t>
      </w:r>
    </w:p>
    <w:p>
      <w:pPr>
        <w:pBdr>
          <w:bottom w:val="single" w:color="BF8F00" w:sz="8" w:space="4"/>
        </w:pBdr>
        <w:spacing w:after="160" w:before="280" w:line="280"/>
        <w:jc w:val="left"/>
      </w:pPr>
      <w:r>
        <w:rPr>
          <w:rFonts w:ascii="Calibri" w:cs="Calibri" w:eastAsia="Calibri" w:hAnsi="Calibri"/>
          <w:b/>
          <w:bCs/>
          <w:color w:val="1F3864"/>
          <w:sz w:val="28"/>
          <w:szCs w:val="28"/>
        </w:rPr>
        <w:t xml:space="preserve">8.  Reference table: deed must-haves</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This table consolidates the items every deed requires — statutory, clerk-required, and office practice — with a brief note on why each is there and what goes wrong when it is missing or incorrect. The narrative discussion is in Sections 2 and 4 above; this table is the desk reference. Use it for a final QC pass before recordation.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0"/>
                <w:szCs w:val="20"/>
              </w:rPr>
              <w:t xml:space="preserve">Item</w:t>
            </w:r>
          </w:p>
        </w:tc>
        <w:tc>
          <w:tcPr>
            <w:tcW w:type="dxa" w:w="6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0"/>
                <w:szCs w:val="20"/>
              </w:rPr>
              <w:t xml:space="preserve">Why it has to be there — and what happens if it isn't</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Preparer block (name + VSB number)</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Required by statute for residential deeds of not more than four dwelling units (Va. Code § 17.1-223), and uniformly best practice for all deeds. If something goes wrong later, everyone needs to know who drafted it. We add the firm file number as office practice, not statutory requirement.</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Grantee mailing address</w:t>
            </w:r>
          </w:p>
        </w:tc>
        <w:tc>
          <w:tcPr>
            <w:tcW w:type="dxa" w:w="6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This is the address where the locality sends tax bills and notices. For owner-occupied property, usually the property address; for rentals or vacant land, ask the client where notices should go. Get this wrong and the client misses a tax bill.</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Tax map / parcel ID number</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Required so the clerk can index the deed against the correct parcel. Format varies wildly by jurisdiction — do not normalize. Copy exactly what appears on the locality's tax record.</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Current assessed value</w:t>
            </w:r>
          </w:p>
        </w:tc>
        <w:tc>
          <w:tcPr>
            <w:tcW w:type="dxa" w:w="6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Recordation tax under Va. Code § 58.1-801 is computed on the greater of consideration paid or assessed value. As office practice, include the current assessed value on the deed or cover sheet for every deed, including exempt deeds, because many clerks use it to verify tax treatment at intake.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Title insurance disclosure (or absence statement)</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For residential deeds of not more than four dwelling units, § 17.1-223 requires either the title insurer's name or the statutory phrase “the existence of title insurance is unknown to the preparer.” Office practice on non-residential or non-statutorily-covered deeds is to use the same language or the alternative “prepared without the benefit of a title examination.” Templates include the appropriate language; do not strip it.</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Exemption citation (for tax-exempt deeds)</w:t>
            </w:r>
          </w:p>
        </w:tc>
        <w:tc>
          <w:tcPr>
            <w:tcW w:type="dxa" w:w="6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If the deed is exempt from recordation tax, recite the exact subsection of Va. Code § 58.1-810 or § 58.1-811 that applies. Wrong citation — or no citation — means the clerk charges tax or rejects the deed at recordation.</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Operative deed title</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“Deed,” “Deed of Bargain and Sale,” “Deed of Gift,” “Deed Into Trust,” “Deed of Confirmation,” and so on. The title is not cosmetic. For a Va. Code § 58.1-811(D) gift exemption, the deed must state that it is a deed of gift; clerks reject deeds where the title and substance do not match the claimed exemption.</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Granting language</w:t>
            </w:r>
          </w:p>
        </w:tc>
        <w:tc>
          <w:tcPr>
            <w:tcW w:type="dxa" w:w="6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 55.1-300 minimally requires “grant” or “grant and convey.” Office practice is the longer protective formulation “grant, bargain, sell, and convey” for sale deeds (and “grant and convey” for gifts). The longer form costs nothing and avoids title-underwriter pushback later.</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Warranty designation</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“With general warranty,” “with special warranty,” or no warranty (as in many gift deeds). Per §§ 55.1-355 and 55.1-356, these phrases are statutory shorthand for full covenants — do not paraphrase.</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Vesting / tenancy language</w:t>
            </w:r>
          </w:p>
        </w:tc>
        <w:tc>
          <w:tcPr>
            <w:tcW w:type="dxa" w:w="6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For multiple grantees, state how they take title. Critical Virginia rule: under §§ 55.1-134 and 55.1-135, joint tenancy survivorship is not implied — you must write “with right of survivorship” explicitly or the grantees take as tenants in common by default.</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Legal description</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Pull from the prior vesting deed and copy verbatim. Subdivision (Lot/Block/Section) or metes-and-bounds. The short legal from the tax record is acceptable as a fallback but is not the preferred source.</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Derivation (“Being”) clause</w:t>
            </w:r>
          </w:p>
        </w:tc>
        <w:tc>
          <w:tcPr>
            <w:tcW w:type="dxa" w:w="6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Cites where the immediate prior deed is recorded so the chain is followable. Format: “Being the same property conveyed unto the grantor herein by deed dated ___, recorded ___ in Deed Book ___ at Page ___.” Most clerks will reject deeds that lack this.</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Execution and acknowledgment</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All grantors sign; grantees generally do not. Notary acknowledgment required for recordation under § 55.1-600 et seq. Minimum font size 10 (clerk practice).</w:t>
            </w:r>
          </w:p>
        </w:tc>
      </w:tr>
    </w:tbl>
    <w:p>
      <w:pPr>
        <w:spacing w:after="160" w:before="0"/>
      </w:pPr>
    </w:p>
    <w:p>
      <w:pPr>
        <w:pBdr>
          <w:bottom w:val="single" w:color="BF8F00" w:sz="8" w:space="4"/>
        </w:pBdr>
        <w:spacing w:after="160" w:before="280" w:line="280"/>
        <w:jc w:val="left"/>
      </w:pPr>
      <w:r>
        <w:rPr>
          <w:rFonts w:ascii="Calibri" w:cs="Calibri" w:eastAsia="Calibri" w:hAnsi="Calibri"/>
          <w:b/>
          <w:bCs/>
          <w:color w:val="1F3864"/>
          <w:sz w:val="28"/>
          <w:szCs w:val="28"/>
        </w:rPr>
        <w:t xml:space="preserve">9.  Recordation tax: the exemption table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The table below summarizes the recordation-tax exemptions you will encounter most often. The full list is in §§ 58.1-810 (limited administrative exemptions) and 58.1-811 (general exemptions). Always read the actual statute before relying on a citation — the exemptions have specific factual prerequisites, and the wrong citation produces tax assessment or rejection.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0"/>
                <w:szCs w:val="20"/>
              </w:rPr>
              <w:t xml:space="preserve">Va. Code Citation</w:t>
            </w:r>
          </w:p>
        </w:tc>
        <w:tc>
          <w:tcPr>
            <w:tcW w:type="dxa" w:w="4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0"/>
                <w:szCs w:val="20"/>
              </w:rPr>
              <w:t xml:space="preserve">Type of Transfer Exempted</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0"/>
                <w:szCs w:val="20"/>
              </w:rPr>
              <w:t xml:space="preserve">Drafting Watch-Outs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 58.1-811(A)(11)</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Transfer to a partnership or LLC where grantees are entitled to receive at least 50% of profits and surplus.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Confirm the 50% threshold against the operating agreement. Cannot be used following a recent transfer of control.</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 58.1-811(A)(12)</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Transfer to trustees of a revocable inter vivos trust where the grantors are also beneficiaries of the trust, regardless of whether other beneficiaries may also be named, with no consideration passing.</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Title the deed “Deed Into Trust.” Review the trust before recordation; the exemption fails only if a grantor is not a beneficiary at all. Other named beneficiaries (spouse, children, charitable remainders) do not by themselves defeat the exemption.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 58.1-811(D)</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Deed of gift where no consideration has passed between grantor(s) and grantee(s).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Two-part requirement: (i) the deed must state on its face that it is a Deed of Gift, and (ii) the body must use “grant and convey” — not “grant, bargain, sell, and convey,” which implies consideration. Both parts required; failing either kills the exemption (P.D. 93-212). Run any non-individual grantor or grantee (entity, partnership, corporation) by a supervising attorney before relying on this exemption — P.D. 93-212 rejected a corporate-grantee gift, so non-individual party scenarios are non-trivial.</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 58.1-811(J)</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Transfer-on-death deeds and revocations of transfer-on-death deeds under the Uniform Real Property Transfer on Death Act.</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Title appropriately as “Transfer on Death Deed” or “Revocation.” See Va. Code § 64.2-621 et seq. for form requirements.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 58.1-811(K)</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Deeds of distribution from an estate or trust to original beneficiaries when no consideration passes.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Deed must state on the front page that it is a “Deed of Distribution.” Used after death when carrying out will or trust dispositions.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 58.1-810</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Various administrative and corrective re-recording exemptions — e.g., recording an already-taxed deed in a different jurisdiction, deeds correcting prior tax-paid recordings.</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Cite the specific subsection. The “already paid” theory requires proof of the original tax payment.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bCs/>
                <w:color w:val="000000"/>
                <w:sz w:val="20"/>
                <w:szCs w:val="20"/>
              </w:rPr>
              <w:t xml:space="preserve">§ 58.1-810(1)</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Deed of confirmation, where recordation tax was paid when the original deed was recorded.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Times New Roman" w:cs="Times New Roman" w:eastAsia="Times New Roman" w:hAnsi="Times New Roman"/>
                <w:b w:val="false"/>
                <w:bCs w:val="false"/>
                <w:color w:val="000000"/>
                <w:sz w:val="20"/>
                <w:szCs w:val="20"/>
              </w:rPr>
              <w:t xml:space="preserve">This is the correct citation for confirmatory “A-to-A” deeds following operation-of-law transfers (death + heir affidavit, surviving tenancy, etc.). Confirm the original deed was tax-paid before relying on this exemption — if the predicate transfer was itself exempt, additional analysis is needed.</w:t>
            </w:r>
          </w:p>
        </w:tc>
      </w:tr>
    </w:tbl>
    <w:p>
      <w:pPr>
        <w:spacing w:after="160" w:before="0"/>
      </w:pPr>
    </w:p>
    <w:p>
      <w:pPr>
        <w:pBdr>
          <w:bottom w:val="single" w:color="BF8F00" w:sz="8" w:space="4"/>
        </w:pBdr>
        <w:spacing w:after="160" w:before="280" w:line="280"/>
        <w:jc w:val="left"/>
      </w:pPr>
      <w:r>
        <w:rPr>
          <w:rFonts w:ascii="Calibri" w:cs="Calibri" w:eastAsia="Calibri" w:hAnsi="Calibri"/>
          <w:b/>
          <w:bCs/>
          <w:color w:val="1F3864"/>
          <w:sz w:val="28"/>
          <w:szCs w:val="28"/>
        </w:rPr>
        <w:t xml:space="preserve">10.  Worked example A — Deed of gift removing a deceased spouse and adding a child</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This worked example is taken from the training session. The facts: an original 1984 deed shows Henry G. Mott Jr. and Elaine M. Mott, husband and wife, taking title to a Fairfax County property as tenants by the entirety. Henry died on June 13, 2005. Elaine, surviving, now wants to convey to herself and her son, Jeffrey J. Mott, as joint tenants with right of survivorship, so that on her death the property passes to Jeffrey by operation of law without probate.</w:t>
      </w:r>
    </w:p>
    <w:p>
      <w:pPr>
        <w:spacing w:after="80" w:before="200" w:line="280"/>
        <w:jc w:val="left"/>
      </w:pPr>
      <w:r>
        <w:rPr>
          <w:rFonts w:ascii="Calibri" w:cs="Calibri" w:eastAsia="Calibri" w:hAnsi="Calibri"/>
          <w:b/>
          <w:bCs/>
          <w:color w:val="1F3864"/>
          <w:sz w:val="24"/>
          <w:szCs w:val="24"/>
        </w:rPr>
        <w:t xml:space="preserve">Step 1: Identify the current grantor</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Because Henry and Elaine held as tenants by the entirety, Henry's death vested sole ownership in Elaine by operation of law (§ 55.1-136). Elaine is the only grantor. Henry need not (and cannot) sign — the deed will recite his death.</w:t>
      </w:r>
    </w:p>
    <w:p>
      <w:pPr>
        <w:spacing w:after="80" w:before="200" w:line="280"/>
        <w:jc w:val="left"/>
      </w:pPr>
      <w:r>
        <w:rPr>
          <w:rFonts w:ascii="Calibri" w:cs="Calibri" w:eastAsia="Calibri" w:hAnsi="Calibri"/>
          <w:b/>
          <w:bCs/>
          <w:color w:val="1F3864"/>
          <w:sz w:val="24"/>
          <w:szCs w:val="24"/>
        </w:rPr>
        <w:t xml:space="preserve">Step 2: Identify the deed type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Elaine is conveying to herself and Jeffrey for no consideration. The correct deed type is a Deed of Gift. The exemption is § 58.1-811(D); the deed must so state on its face.</w:t>
      </w:r>
    </w:p>
    <w:p>
      <w:pPr>
        <w:spacing w:after="80" w:before="200" w:line="280"/>
        <w:jc w:val="left"/>
      </w:pPr>
      <w:r>
        <w:rPr>
          <w:rFonts w:ascii="Calibri" w:cs="Calibri" w:eastAsia="Calibri" w:hAnsi="Calibri"/>
          <w:b/>
          <w:bCs/>
          <w:color w:val="1F3864"/>
          <w:sz w:val="24"/>
          <w:szCs w:val="24"/>
        </w:rPr>
        <w:t xml:space="preserve">Step 3: Pull tax-record data</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From the Fairfax County tax-search portal: parcel ID, current assessed value (land plus improvements total), short legal description, book and page of the prior deed.</w:t>
      </w:r>
    </w:p>
    <w:p>
      <w:pPr>
        <w:spacing w:after="80" w:before="200" w:line="280"/>
        <w:jc w:val="left"/>
      </w:pPr>
      <w:r>
        <w:rPr>
          <w:rFonts w:ascii="Calibri" w:cs="Calibri" w:eastAsia="Calibri" w:hAnsi="Calibri"/>
          <w:b/>
          <w:bCs/>
          <w:color w:val="1F3864"/>
          <w:sz w:val="24"/>
          <w:szCs w:val="24"/>
        </w:rPr>
        <w:t xml:space="preserve">Step 4: Pull the prior vesting deed</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From Fairfax County land records, retrieve the 1984 deed. Confirm: deed dated May 23, 1984; recorded May 30, 1984, in Deed Book 5957 at Page 216. Copy the full legal description (Lot 49, Section 3, Hayfield View, plus the plat reference).</w:t>
      </w:r>
    </w:p>
    <w:p>
      <w:pPr>
        <w:spacing w:after="80" w:before="200" w:line="280"/>
        <w:jc w:val="left"/>
      </w:pPr>
      <w:r>
        <w:rPr>
          <w:rFonts w:ascii="Calibri" w:cs="Calibri" w:eastAsia="Calibri" w:hAnsi="Calibri"/>
          <w:b/>
          <w:bCs/>
          <w:color w:val="1F3864"/>
          <w:sz w:val="24"/>
          <w:szCs w:val="24"/>
        </w:rPr>
        <w:t xml:space="preserve">Step 5: Draft — the recitals</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Recitals tell the survivorship story up front so the next examiner is not left wondering where Henry went:</w:t>
      </w:r>
    </w:p>
    <w:p>
      <w:pPr>
        <w:spacing w:after="160" w:before="0" w:line="280"/>
        <w:jc w:val="both"/>
      </w:pPr>
      <w:r>
        <w:rPr>
          <w:rFonts w:ascii="Times New Roman" w:cs="Times New Roman" w:eastAsia="Times New Roman" w:hAnsi="Times New Roman"/>
          <w:b w:val="false"/>
          <w:bCs w:val="false"/>
          <w:i/>
          <w:iCs/>
          <w:smallCaps w:val="false"/>
          <w:color w:val="000000"/>
          <w:sz w:val="24"/>
          <w:szCs w:val="24"/>
        </w:rPr>
        <w:t xml:space="preserve">“WHEREAS, by deed dated May 23, 1984, and recorded May 30, 1984, in Deed Book 5957 at Page 216 among the land records of Fairfax County, Virginia, Henry G. Mott Jr. and Elaine M. Mott, husband and wife, took title to the property described herein as tenants by the entirety with the common-law right of survivorship; and</w:t>
      </w:r>
    </w:p>
    <w:p>
      <w:pPr>
        <w:spacing w:after="160" w:before="0" w:line="280"/>
        <w:jc w:val="both"/>
      </w:pPr>
      <w:r>
        <w:rPr>
          <w:rFonts w:ascii="Times New Roman" w:cs="Times New Roman" w:eastAsia="Times New Roman" w:hAnsi="Times New Roman"/>
          <w:b w:val="false"/>
          <w:bCs w:val="false"/>
          <w:i/>
          <w:iCs/>
          <w:smallCaps w:val="false"/>
          <w:color w:val="000000"/>
          <w:sz w:val="24"/>
          <w:szCs w:val="24"/>
        </w:rPr>
        <w:t xml:space="preserve">WHEREAS, Henry G. Mott Jr. died on June 13, 2005, leaving Elaine M. Mott as the surviving tenant by the entirety and sole owner of the property by operation of law; and</w:t>
      </w:r>
    </w:p>
    <w:p>
      <w:pPr>
        <w:spacing w:after="160" w:before="0" w:line="280"/>
        <w:jc w:val="both"/>
      </w:pPr>
      <w:r>
        <w:rPr>
          <w:rFonts w:ascii="Times New Roman" w:cs="Times New Roman" w:eastAsia="Times New Roman" w:hAnsi="Times New Roman"/>
          <w:b w:val="false"/>
          <w:bCs w:val="false"/>
          <w:i/>
          <w:iCs/>
          <w:smallCaps w:val="false"/>
          <w:color w:val="000000"/>
          <w:sz w:val="24"/>
          <w:szCs w:val="24"/>
        </w:rPr>
        <w:t xml:space="preserve">WHEREAS, Elaine M. Mott desires to convey an interest in the property to her son, Jeffrey J. Mott, as a gift, to be held by Elaine M. Mott and Jeffrey J. Mott as joint tenants with right of survivorship; —”</w:t>
      </w:r>
    </w:p>
    <w:p>
      <w:pPr>
        <w:spacing w:after="80" w:before="200" w:line="280"/>
        <w:jc w:val="left"/>
      </w:pPr>
      <w:r>
        <w:rPr>
          <w:rFonts w:ascii="Calibri" w:cs="Calibri" w:eastAsia="Calibri" w:hAnsi="Calibri"/>
          <w:b/>
          <w:bCs/>
          <w:color w:val="1F3864"/>
          <w:sz w:val="24"/>
          <w:szCs w:val="24"/>
        </w:rPr>
        <w:t xml:space="preserve">Step 6: Draft — the operative paragraphs</w:t>
      </w:r>
    </w:p>
    <w:p>
      <w:pPr>
        <w:spacing w:after="160" w:before="0" w:line="280"/>
        <w:jc w:val="both"/>
      </w:pPr>
      <w:r>
        <w:rPr>
          <w:rFonts w:ascii="Times New Roman" w:cs="Times New Roman" w:eastAsia="Times New Roman" w:hAnsi="Times New Roman"/>
          <w:b w:val="false"/>
          <w:bCs w:val="false"/>
          <w:i/>
          <w:iCs/>
          <w:smallCaps w:val="false"/>
          <w:color w:val="000000"/>
          <w:sz w:val="24"/>
          <w:szCs w:val="24"/>
        </w:rPr>
        <w:t xml:space="preserve">“NOW, THEREFORE, for good and valuable consideration, the receipt and sufficiency of which are hereby acknowledged, Elaine M. Mott (the ‘Grantor’) does hereby grant and convey unto Elaine M. Mott and Jeffrey J. Mott, as joint tenants with right of survivorship and not as tenants in common, all of the following parcel of real property with improvements thereon, located in the County of Fairfax, Commonwealth of Virginia: —”</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Followed by the legal description (verbatim from the 1984 deed), followed by the derivation clause:</w:t>
      </w:r>
    </w:p>
    <w:p>
      <w:pPr>
        <w:spacing w:after="160" w:before="0" w:line="280"/>
        <w:jc w:val="both"/>
      </w:pPr>
      <w:r>
        <w:rPr>
          <w:rFonts w:ascii="Times New Roman" w:cs="Times New Roman" w:eastAsia="Times New Roman" w:hAnsi="Times New Roman"/>
          <w:b w:val="false"/>
          <w:bCs w:val="false"/>
          <w:i/>
          <w:iCs/>
          <w:smallCaps w:val="false"/>
          <w:color w:val="000000"/>
          <w:sz w:val="24"/>
          <w:szCs w:val="24"/>
        </w:rPr>
        <w:t xml:space="preserve">“Being the same property conveyed unto Henry G. Mott Jr. and Elaine M. Mott by deed dated May 23, 1984, and recorded May 30, 1984, in Deed Book 5957 at Page 216 among the land records of Fairfax County, Virginia.”</w:t>
      </w:r>
    </w:p>
    <w:p>
      <w:pPr>
        <w:spacing w:after="80" w:before="200" w:line="280"/>
        <w:jc w:val="left"/>
      </w:pPr>
      <w:r>
        <w:rPr>
          <w:rFonts w:ascii="Calibri" w:cs="Calibri" w:eastAsia="Calibri" w:hAnsi="Calibri"/>
          <w:b/>
          <w:bCs/>
          <w:color w:val="1F3864"/>
          <w:sz w:val="24"/>
          <w:szCs w:val="24"/>
        </w:rPr>
        <w:t xml:space="preserve">Step 7: Note the granting-language choice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Use “grant and convey” — not “grant, bargain, sell, and convey.” The latter implies consideration, which is inconsistent with a deed of gift and risks rejection of the exemption (Public Document 93-212, discussed above).</w:t>
      </w:r>
    </w:p>
    <w:p>
      <w:pPr>
        <w:spacing w:after="80" w:before="200" w:line="280"/>
        <w:jc w:val="left"/>
      </w:pPr>
      <w:r>
        <w:rPr>
          <w:rFonts w:ascii="Calibri" w:cs="Calibri" w:eastAsia="Calibri" w:hAnsi="Calibri"/>
          <w:b/>
          <w:bCs/>
          <w:color w:val="1F3864"/>
          <w:sz w:val="24"/>
          <w:szCs w:val="24"/>
        </w:rPr>
        <w:t xml:space="preserve">Step 8: Note the survivorship language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“As joint tenants with right of survivorship and not as tenants in common” is the canonical formulation. Without the explicit survivorship language, Elaine and Jeffrey would take as tenants in common under §§ 55.1-134 and 55.1-135 — which would defeat the entire point of the conveyance.</w:t>
      </w:r>
    </w:p>
    <w:p>
      <w:pPr>
        <w:spacing w:after="80" w:before="200" w:line="280"/>
        <w:jc w:val="left"/>
      </w:pPr>
      <w:r>
        <w:rPr>
          <w:rFonts w:ascii="Calibri" w:cs="Calibri" w:eastAsia="Calibri" w:hAnsi="Calibri"/>
          <w:b/>
          <w:bCs/>
          <w:color w:val="1F3864"/>
          <w:sz w:val="24"/>
          <w:szCs w:val="24"/>
        </w:rPr>
        <w:t xml:space="preserve">Step 9: Execute and record</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Elaine signs as the only grantor; Jeffrey, as a grantee, does not sign. Notary acknowledgment. File with the Fairfax County circuit court clerk with the appropriate cover sheet citing § 58.1-811(D) for the exemption. No recordation tax due.</w:t>
      </w:r>
    </w:p>
    <w:p>
      <w:pPr>
        <w:pBdr>
          <w:bottom w:val="single" w:color="BF8F00" w:sz="8" w:space="4"/>
        </w:pBdr>
        <w:spacing w:after="160" w:before="280" w:line="280"/>
        <w:jc w:val="left"/>
      </w:pPr>
      <w:r>
        <w:rPr>
          <w:rFonts w:ascii="Calibri" w:cs="Calibri" w:eastAsia="Calibri" w:hAnsi="Calibri"/>
          <w:b/>
          <w:bCs/>
          <w:color w:val="1F3864"/>
          <w:sz w:val="28"/>
          <w:szCs w:val="28"/>
        </w:rPr>
        <w:t xml:space="preserve">11.  Worked example B — Deed of confirmation after death and recorded heir affidavit</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Second worked example, also from the training session. The facts: Donnie W. Jones, an unmarried woman, was the sole owner of a property by a prior quitclaim deed. She died (date used in training: on or about January 20, 2023). Her sole heir at law, Lavenna Carice Sevan, recorded a real-estate affidavit (Va. Code § 64.2-510 — the small-estate / heir-affidavit procedure) putting the world on notice that Lavenna inherited the property. The tax record and the chain of title still show Donnie as the owner. Lavenna wants the public record cleaned up.</w:t>
      </w:r>
    </w:p>
    <w:p>
      <w:pPr>
        <w:spacing w:after="80" w:before="200" w:line="280"/>
        <w:jc w:val="left"/>
      </w:pPr>
      <w:r>
        <w:rPr>
          <w:rFonts w:ascii="Calibri" w:cs="Calibri" w:eastAsia="Calibri" w:hAnsi="Calibri"/>
          <w:b/>
          <w:bCs/>
          <w:color w:val="1F3864"/>
          <w:sz w:val="24"/>
          <w:szCs w:val="24"/>
        </w:rPr>
        <w:t xml:space="preserve">Step 1: Identify the current grantor</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By operation of § 64.2-200 (Virginia's intestate succession), title vested in Lavenna at Donnie's death. The recorded affidavit gave constructive notice of that fact. Lavenna is the current owner of record once the affidavit is taken into account, and is therefore both the grantor and the grantee on the confirmatory deed (“A to A”).</w:t>
      </w:r>
    </w:p>
    <w:p>
      <w:pPr>
        <w:spacing w:after="80" w:before="200" w:line="280"/>
        <w:jc w:val="left"/>
      </w:pPr>
      <w:r>
        <w:rPr>
          <w:rFonts w:ascii="Calibri" w:cs="Calibri" w:eastAsia="Calibri" w:hAnsi="Calibri"/>
          <w:b/>
          <w:bCs/>
          <w:color w:val="1F3864"/>
          <w:sz w:val="24"/>
          <w:szCs w:val="24"/>
        </w:rPr>
        <w:t xml:space="preserve">Step 2: Identify the deed type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This is a Deed of Confirmation (sometimes called a confirmatory deed). The legal transfer happened by operation of law and was reflected by the recorded affidavit; the confirmatory deed exists to make the chain of title legible by reciting what happened in a single instrument the next examiner can read straight through. The correct recordation-tax exemption is Va. Code § 58.1-810(1), which provides that no additional recordation tax is due on a deed of confirmation where tax was paid when the original deed was recorded. Confirm that the prior vesting deed was tax-paid before relying on this exemption; if the predicate transfer was itself exempt (or if there was no prior recorded deed), additional analysis is needed and you should run the question by the supervising attorney before recordation. Do not cite § 58.1-811(D) (deed of gift) for a confirmatory deed unless the instrument is genuinely titled and drafted as a deed of gift and the substance supports that exemption.</w:t>
      </w:r>
    </w:p>
    <w:p>
      <w:pPr>
        <w:spacing w:after="80" w:before="200" w:line="280"/>
        <w:jc w:val="left"/>
      </w:pPr>
      <w:r>
        <w:rPr>
          <w:rFonts w:ascii="Calibri" w:cs="Calibri" w:eastAsia="Calibri" w:hAnsi="Calibri"/>
          <w:b/>
          <w:bCs/>
          <w:color w:val="1F3864"/>
          <w:sz w:val="24"/>
          <w:szCs w:val="24"/>
        </w:rPr>
        <w:t xml:space="preserve">Step 3: Draft the recitals — this is where the work is</w:t>
      </w:r>
    </w:p>
    <w:p>
      <w:pPr>
        <w:spacing w:after="160" w:before="0" w:line="280"/>
        <w:jc w:val="both"/>
      </w:pPr>
      <w:r>
        <w:rPr>
          <w:rFonts w:ascii="Times New Roman" w:cs="Times New Roman" w:eastAsia="Times New Roman" w:hAnsi="Times New Roman"/>
          <w:b w:val="false"/>
          <w:bCs w:val="false"/>
          <w:i/>
          <w:iCs/>
          <w:smallCaps w:val="false"/>
          <w:color w:val="000000"/>
          <w:sz w:val="24"/>
          <w:szCs w:val="24"/>
        </w:rPr>
        <w:t xml:space="preserve">“WHEREAS, by quitclaim deed dated [date] and recorded [date] in Deed Book ___ at Page ___ (or as Instrument No. ___) among the land records of [locality], Virginia, Donnie W. Jones, an unmarried woman, took title to the property described herein as the sole owner thereof; and</w:t>
      </w:r>
    </w:p>
    <w:p>
      <w:pPr>
        <w:spacing w:after="160" w:before="0" w:line="280"/>
        <w:jc w:val="both"/>
      </w:pPr>
      <w:r>
        <w:rPr>
          <w:rFonts w:ascii="Times New Roman" w:cs="Times New Roman" w:eastAsia="Times New Roman" w:hAnsi="Times New Roman"/>
          <w:b w:val="false"/>
          <w:bCs w:val="false"/>
          <w:i/>
          <w:iCs/>
          <w:smallCaps w:val="false"/>
          <w:color w:val="000000"/>
          <w:sz w:val="24"/>
          <w:szCs w:val="24"/>
        </w:rPr>
        <w:t xml:space="preserve">WHEREAS, Donnie W. Jones died on or about January 20, 2023; and</w:t>
      </w:r>
    </w:p>
    <w:p>
      <w:pPr>
        <w:spacing w:after="160" w:before="0" w:line="280"/>
        <w:jc w:val="both"/>
      </w:pPr>
      <w:r>
        <w:rPr>
          <w:rFonts w:ascii="Times New Roman" w:cs="Times New Roman" w:eastAsia="Times New Roman" w:hAnsi="Times New Roman"/>
          <w:b w:val="false"/>
          <w:bCs w:val="false"/>
          <w:i/>
          <w:iCs/>
          <w:smallCaps w:val="false"/>
          <w:color w:val="000000"/>
          <w:sz w:val="24"/>
          <w:szCs w:val="24"/>
        </w:rPr>
        <w:t xml:space="preserve">WHEREAS, pursuant to that certain Real Estate Affidavit recorded as Instrument No. _____ (and as Court File No. _____) among the land records and the records of the circuit court of [locality], Virginia, Lavenna Carice Sevan was identified as the sole heir at law of Donnie W. Jones, and title to the property vested in Lavenna Carice Sevan by operation of law; and</w:t>
      </w:r>
    </w:p>
    <w:p>
      <w:pPr>
        <w:spacing w:after="160" w:before="0" w:line="280"/>
        <w:jc w:val="both"/>
      </w:pPr>
      <w:r>
        <w:rPr>
          <w:rFonts w:ascii="Times New Roman" w:cs="Times New Roman" w:eastAsia="Times New Roman" w:hAnsi="Times New Roman"/>
          <w:b w:val="false"/>
          <w:bCs w:val="false"/>
          <w:i/>
          <w:iCs/>
          <w:smallCaps w:val="false"/>
          <w:color w:val="000000"/>
          <w:sz w:val="24"/>
          <w:szCs w:val="24"/>
        </w:rPr>
        <w:t xml:space="preserve">WHEREAS, Lavenna Carice Sevan now desires to confirm her ownership of the property of record by this instrument; —”</w:t>
      </w:r>
    </w:p>
    <w:p>
      <w:pPr>
        <w:spacing w:after="80" w:before="200" w:line="280"/>
        <w:jc w:val="left"/>
      </w:pPr>
      <w:r>
        <w:rPr>
          <w:rFonts w:ascii="Calibri" w:cs="Calibri" w:eastAsia="Calibri" w:hAnsi="Calibri"/>
          <w:b/>
          <w:bCs/>
          <w:color w:val="1F3864"/>
          <w:sz w:val="24"/>
          <w:szCs w:val="24"/>
        </w:rPr>
        <w:t xml:space="preserve">Step 4: Operative language and derivation</w:t>
      </w:r>
    </w:p>
    <w:p>
      <w:pPr>
        <w:spacing w:after="160" w:before="0" w:line="280"/>
        <w:jc w:val="both"/>
      </w:pPr>
      <w:r>
        <w:rPr>
          <w:rFonts w:ascii="Times New Roman" w:cs="Times New Roman" w:eastAsia="Times New Roman" w:hAnsi="Times New Roman"/>
          <w:b w:val="false"/>
          <w:bCs w:val="false"/>
          <w:i/>
          <w:iCs/>
          <w:smallCaps w:val="false"/>
          <w:color w:val="000000"/>
          <w:sz w:val="24"/>
          <w:szCs w:val="24"/>
        </w:rPr>
        <w:t xml:space="preserve">“NOW, THEREFORE, for good and valuable consideration, the receipt and sufficiency of which are hereby acknowledged, Lavenna Carice Sevan (the ‘Grantor’) does hereby grant and convey unto Lavenna Carice Sevan (the ‘Grantee’) all of the following parcel of real property with improvements thereon, located in the [County/City] of ___, Commonwealth of Virginia: —”</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Followed by the legal description, followed by a derivation clause that references the prior deed (the path by which Donnie took title):</w:t>
      </w:r>
    </w:p>
    <w:p>
      <w:pPr>
        <w:spacing w:after="160" w:before="0" w:line="280"/>
        <w:jc w:val="both"/>
      </w:pPr>
      <w:r>
        <w:rPr>
          <w:rFonts w:ascii="Times New Roman" w:cs="Times New Roman" w:eastAsia="Times New Roman" w:hAnsi="Times New Roman"/>
          <w:b w:val="false"/>
          <w:bCs w:val="false"/>
          <w:i/>
          <w:iCs/>
          <w:smallCaps w:val="false"/>
          <w:color w:val="000000"/>
          <w:sz w:val="24"/>
          <w:szCs w:val="24"/>
        </w:rPr>
        <w:t xml:space="preserve">“Being the same property conveyed unto Donnie W. Jones by [prior deed] dated ___ and recorded ___ in Deed Book ___ at Page ___ among the land records of [locality], Virginia.”</w:t>
      </w:r>
    </w:p>
    <w:p>
      <w:pPr>
        <w:spacing w:after="80" w:before="200" w:line="280"/>
        <w:jc w:val="left"/>
      </w:pPr>
      <w:r>
        <w:rPr>
          <w:rFonts w:ascii="Calibri" w:cs="Calibri" w:eastAsia="Calibri" w:hAnsi="Calibri"/>
          <w:b/>
          <w:bCs/>
          <w:color w:val="1F3864"/>
          <w:sz w:val="24"/>
          <w:szCs w:val="24"/>
        </w:rPr>
        <w:t xml:space="preserve">Step 5: A drafting note on confirmatory deeds</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In a confirmatory deed, the operative “conveyance” from grantor to grantee is largely ceremonial — title already vested in the grantor by operation of law before the deed was drafted. The real work of the deed is in the recitals: they create a single recordable instrument that future examiners can read to understand how title came to rest where it now sits. Spend time on the recitals; they are what makes this deed valuable.</w:t>
      </w:r>
    </w:p>
    <w:p>
      <w:pPr>
        <w:pBdr>
          <w:bottom w:val="single" w:color="BF8F00" w:sz="8" w:space="4"/>
        </w:pBdr>
        <w:spacing w:after="160" w:before="280" w:line="280"/>
        <w:jc w:val="left"/>
      </w:pPr>
      <w:r>
        <w:rPr>
          <w:rFonts w:ascii="Calibri" w:cs="Calibri" w:eastAsia="Calibri" w:hAnsi="Calibri"/>
          <w:b/>
          <w:bCs/>
          <w:color w:val="1F3864"/>
          <w:sz w:val="28"/>
          <w:szCs w:val="28"/>
        </w:rPr>
        <w:t xml:space="preserve">12.  Quick-reference checklists</w:t>
      </w:r>
    </w:p>
    <w:p>
      <w:pPr>
        <w:spacing w:after="80" w:before="200" w:line="280"/>
        <w:jc w:val="left"/>
      </w:pPr>
      <w:r>
        <w:rPr>
          <w:rFonts w:ascii="Calibri" w:cs="Calibri" w:eastAsia="Calibri" w:hAnsi="Calibri"/>
          <w:b/>
          <w:bCs/>
          <w:color w:val="1F3864"/>
          <w:sz w:val="24"/>
          <w:szCs w:val="24"/>
        </w:rPr>
        <w:t xml:space="preserve">Checklist 1 — Pre-drafting intake</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Before drafting, confirm:</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Property address, locality, and parcel ID. </w:t>
      </w:r>
      <w:r>
        <w:rPr>
          <w:rFonts w:ascii="Times New Roman" w:cs="Times New Roman" w:eastAsia="Times New Roman" w:hAnsi="Times New Roman"/>
          <w:b w:val="false"/>
          <w:bCs w:val="false"/>
          <w:i w:val="false"/>
          <w:iCs w:val="false"/>
          <w:smallCaps w:val="false"/>
          <w:color w:val="000000"/>
          <w:sz w:val="24"/>
          <w:szCs w:val="24"/>
        </w:rPr>
        <w:t xml:space="preserve">From the tax record.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Current owner(s) of record. </w:t>
      </w:r>
      <w:r>
        <w:rPr>
          <w:rFonts w:ascii="Times New Roman" w:cs="Times New Roman" w:eastAsia="Times New Roman" w:hAnsi="Times New Roman"/>
          <w:b w:val="false"/>
          <w:bCs w:val="false"/>
          <w:i w:val="false"/>
          <w:iCs w:val="false"/>
          <w:smallCaps w:val="false"/>
          <w:color w:val="000000"/>
          <w:sz w:val="24"/>
          <w:szCs w:val="24"/>
        </w:rPr>
        <w:t xml:space="preserve">Match against what the client told you; ask about discrepancies.</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Marital status of each grantor. </w:t>
      </w:r>
      <w:r>
        <w:rPr>
          <w:rFonts w:ascii="Times New Roman" w:cs="Times New Roman" w:eastAsia="Times New Roman" w:hAnsi="Times New Roman"/>
          <w:b w:val="false"/>
          <w:bCs w:val="false"/>
          <w:i w:val="false"/>
          <w:iCs w:val="false"/>
          <w:smallCaps w:val="false"/>
          <w:color w:val="000000"/>
          <w:sz w:val="24"/>
          <w:szCs w:val="24"/>
        </w:rPr>
        <w:t xml:space="preserve">Confirmed in writing if it might affect spousal joinder.</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Deaths or other events affecting title since the prior deed. </w:t>
      </w:r>
      <w:r>
        <w:rPr>
          <w:rFonts w:ascii="Times New Roman" w:cs="Times New Roman" w:eastAsia="Times New Roman" w:hAnsi="Times New Roman"/>
          <w:b w:val="false"/>
          <w:bCs w:val="false"/>
          <w:i w:val="false"/>
          <w:iCs w:val="false"/>
          <w:smallCaps w:val="false"/>
          <w:color w:val="000000"/>
          <w:sz w:val="24"/>
          <w:szCs w:val="24"/>
        </w:rPr>
        <w:t xml:space="preserve">Date of death, recorded affidavit, divorce, name change.</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Identity of grantee(s) and intended tenancy. </w:t>
      </w:r>
      <w:r>
        <w:rPr>
          <w:rFonts w:ascii="Times New Roman" w:cs="Times New Roman" w:eastAsia="Times New Roman" w:hAnsi="Times New Roman"/>
          <w:b w:val="false"/>
          <w:bCs w:val="false"/>
          <w:i w:val="false"/>
          <w:iCs w:val="false"/>
          <w:smallCaps w:val="false"/>
          <w:color w:val="000000"/>
          <w:sz w:val="24"/>
          <w:szCs w:val="24"/>
        </w:rPr>
        <w:t xml:space="preserve">Verify spelling against driver's license or other ID. For multiple grantees, confirm survivorship intent.</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Deed type and exemption analysis. </w:t>
      </w:r>
      <w:r>
        <w:rPr>
          <w:rFonts w:ascii="Times New Roman" w:cs="Times New Roman" w:eastAsia="Times New Roman" w:hAnsi="Times New Roman"/>
          <w:b w:val="false"/>
          <w:bCs w:val="false"/>
          <w:i w:val="false"/>
          <w:iCs w:val="false"/>
          <w:smallCaps w:val="false"/>
          <w:color w:val="000000"/>
          <w:sz w:val="24"/>
          <w:szCs w:val="24"/>
        </w:rPr>
        <w:t xml:space="preserve">What deed are you drafting; what exemption (if any) applies; what does the title need to say.</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For a Deed Into Trust: confirm grantor is a beneficiary. </w:t>
      </w:r>
      <w:r>
        <w:rPr>
          <w:rFonts w:ascii="Times New Roman" w:cs="Times New Roman" w:eastAsia="Times New Roman" w:hAnsi="Times New Roman"/>
          <w:b w:val="false"/>
          <w:bCs w:val="false"/>
          <w:i w:val="false"/>
          <w:iCs w:val="false"/>
          <w:smallCaps w:val="false"/>
          <w:color w:val="000000"/>
          <w:sz w:val="24"/>
          <w:szCs w:val="24"/>
        </w:rPr>
        <w:t xml:space="preserve">§ 58.1-811(A)(12) exempts deeds into a revocable inter vivos trust where the grantors are also among the trust beneficiaries and no consideration passes. The exemption applies regardless of whether other beneficiaries are named (spouse, children, charitable remainders) — what matters is that each grantor is among the beneficiaries. Review the trust before recordation; do not assume. The exemption fails only if a grantor is not a beneficiary of the trust at all.</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Mailing address for tax bills. </w:t>
      </w:r>
      <w:r>
        <w:rPr>
          <w:rFonts w:ascii="Times New Roman" w:cs="Times New Roman" w:eastAsia="Times New Roman" w:hAnsi="Times New Roman"/>
          <w:b w:val="false"/>
          <w:bCs w:val="false"/>
          <w:i w:val="false"/>
          <w:iCs w:val="false"/>
          <w:smallCaps w:val="false"/>
          <w:color w:val="000000"/>
          <w:sz w:val="24"/>
          <w:szCs w:val="24"/>
        </w:rPr>
        <w:t xml:space="preserve">Property address by default; ask explicitly if the property is not owner-occupied.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Engagement letter signed. </w:t>
      </w:r>
      <w:r>
        <w:rPr>
          <w:rFonts w:ascii="Times New Roman" w:cs="Times New Roman" w:eastAsia="Times New Roman" w:hAnsi="Times New Roman"/>
          <w:b w:val="false"/>
          <w:bCs w:val="false"/>
          <w:i w:val="false"/>
          <w:iCs w:val="false"/>
          <w:smallCaps w:val="false"/>
          <w:color w:val="000000"/>
          <w:sz w:val="24"/>
          <w:szCs w:val="24"/>
        </w:rPr>
        <w:t xml:space="preserve">Before substantive work; not after.</w:t>
      </w:r>
    </w:p>
    <w:p>
      <w:pPr>
        <w:spacing w:after="80" w:before="200" w:line="280"/>
        <w:jc w:val="left"/>
      </w:pPr>
      <w:r>
        <w:rPr>
          <w:rFonts w:ascii="Calibri" w:cs="Calibri" w:eastAsia="Calibri" w:hAnsi="Calibri"/>
          <w:b/>
          <w:bCs/>
          <w:color w:val="1F3864"/>
          <w:sz w:val="24"/>
          <w:szCs w:val="24"/>
        </w:rPr>
        <w:t xml:space="preserve">Checklist 2 — Pre-recording quality control</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Before submitting the deed for recordation, verify:</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Header block complete. </w:t>
      </w:r>
      <w:r>
        <w:rPr>
          <w:rFonts w:ascii="Times New Roman" w:cs="Times New Roman" w:eastAsia="Times New Roman" w:hAnsi="Times New Roman"/>
          <w:b w:val="false"/>
          <w:bCs w:val="false"/>
          <w:i w:val="false"/>
          <w:iCs w:val="false"/>
          <w:smallCaps w:val="false"/>
          <w:color w:val="000000"/>
          <w:sz w:val="24"/>
          <w:szCs w:val="24"/>
        </w:rPr>
        <w:t xml:space="preserve">Preparer block with VSB number; firm file number; grantee mailing address; parcel ID; assessed value; title-insurance disclosure.</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Deed title matches the substance. </w:t>
      </w:r>
      <w:r>
        <w:rPr>
          <w:rFonts w:ascii="Times New Roman" w:cs="Times New Roman" w:eastAsia="Times New Roman" w:hAnsi="Times New Roman"/>
          <w:b w:val="false"/>
          <w:bCs w:val="false"/>
          <w:i w:val="false"/>
          <w:iCs w:val="false"/>
          <w:smallCaps w:val="false"/>
          <w:color w:val="000000"/>
          <w:sz w:val="24"/>
          <w:szCs w:val="24"/>
        </w:rPr>
        <w:t xml:space="preserve">Deed of Gift if claiming § 58.1-811(D); Deed Into Trust if claiming § 58.1-811(A)(12); etc.</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Exemption citation correct. </w:t>
      </w:r>
      <w:r>
        <w:rPr>
          <w:rFonts w:ascii="Times New Roman" w:cs="Times New Roman" w:eastAsia="Times New Roman" w:hAnsi="Times New Roman"/>
          <w:b w:val="false"/>
          <w:bCs w:val="false"/>
          <w:i w:val="false"/>
          <w:iCs w:val="false"/>
          <w:smallCaps w:val="false"/>
          <w:color w:val="000000"/>
          <w:sz w:val="24"/>
          <w:szCs w:val="24"/>
        </w:rPr>
        <w:t xml:space="preserve">Recited on the face of the deed; matches the deed type and the substance.</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Granting language matches the deed type. </w:t>
      </w:r>
      <w:r>
        <w:rPr>
          <w:rFonts w:ascii="Times New Roman" w:cs="Times New Roman" w:eastAsia="Times New Roman" w:hAnsi="Times New Roman"/>
          <w:b w:val="false"/>
          <w:bCs w:val="false"/>
          <w:i w:val="false"/>
          <w:iCs w:val="false"/>
          <w:smallCaps w:val="false"/>
          <w:color w:val="000000"/>
          <w:sz w:val="24"/>
          <w:szCs w:val="24"/>
        </w:rPr>
        <w:t xml:space="preserve">“Grant, bargain, sell, and convey” for sale deeds; “grant and convey” for gift deeds and deeds into trust.</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Warranty designation explicit. </w:t>
      </w:r>
      <w:r>
        <w:rPr>
          <w:rFonts w:ascii="Times New Roman" w:cs="Times New Roman" w:eastAsia="Times New Roman" w:hAnsi="Times New Roman"/>
          <w:b w:val="false"/>
          <w:bCs w:val="false"/>
          <w:i w:val="false"/>
          <w:iCs w:val="false"/>
          <w:smallCaps w:val="false"/>
          <w:color w:val="000000"/>
          <w:sz w:val="24"/>
          <w:szCs w:val="24"/>
        </w:rPr>
        <w:t xml:space="preserve">“With general warranty,” “with special warranty,” or no warranty — not paraphrased.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Survivorship language explicit (where applicable). </w:t>
      </w:r>
      <w:r>
        <w:rPr>
          <w:rFonts w:ascii="Times New Roman" w:cs="Times New Roman" w:eastAsia="Times New Roman" w:hAnsi="Times New Roman"/>
          <w:b w:val="false"/>
          <w:bCs w:val="false"/>
          <w:i w:val="false"/>
          <w:iCs w:val="false"/>
          <w:smallCaps w:val="false"/>
          <w:color w:val="000000"/>
          <w:sz w:val="24"/>
          <w:szCs w:val="24"/>
        </w:rPr>
        <w:t xml:space="preserve">“With right of survivorship and not as tenants in common” for joint tenants.</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Legal description verbatim from prior deed. </w:t>
      </w:r>
      <w:r>
        <w:rPr>
          <w:rFonts w:ascii="Times New Roman" w:cs="Times New Roman" w:eastAsia="Times New Roman" w:hAnsi="Times New Roman"/>
          <w:b w:val="false"/>
          <w:bCs w:val="false"/>
          <w:i w:val="false"/>
          <w:iCs w:val="false"/>
          <w:smallCaps w:val="false"/>
          <w:color w:val="000000"/>
          <w:sz w:val="24"/>
          <w:szCs w:val="24"/>
        </w:rPr>
        <w:t xml:space="preserve">Including all metes-and-bounds calls, plat references, and exceptions.</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Derivation clause cites prior deed correctly. </w:t>
      </w:r>
      <w:r>
        <w:rPr>
          <w:rFonts w:ascii="Times New Roman" w:cs="Times New Roman" w:eastAsia="Times New Roman" w:hAnsi="Times New Roman"/>
          <w:b w:val="false"/>
          <w:bCs w:val="false"/>
          <w:i w:val="false"/>
          <w:iCs w:val="false"/>
          <w:smallCaps w:val="false"/>
          <w:color w:val="000000"/>
          <w:sz w:val="24"/>
          <w:szCs w:val="24"/>
        </w:rPr>
        <w:t xml:space="preserve">Date of prior deed, date of recordation, deed book and page (or instrument number); locality named.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Recitals reflect all material events. </w:t>
      </w:r>
      <w:r>
        <w:rPr>
          <w:rFonts w:ascii="Times New Roman" w:cs="Times New Roman" w:eastAsia="Times New Roman" w:hAnsi="Times New Roman"/>
          <w:b w:val="false"/>
          <w:bCs w:val="false"/>
          <w:i w:val="false"/>
          <w:iCs w:val="false"/>
          <w:smallCaps w:val="false"/>
          <w:color w:val="000000"/>
          <w:sz w:val="24"/>
          <w:szCs w:val="24"/>
        </w:rPr>
        <w:t xml:space="preserve">Death, affidavit, marital change, name change, curative purpose.</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Marital status disclosed for each grantor. </w:t>
      </w:r>
      <w:r>
        <w:rPr>
          <w:rFonts w:ascii="Times New Roman" w:cs="Times New Roman" w:eastAsia="Times New Roman" w:hAnsi="Times New Roman"/>
          <w:b w:val="false"/>
          <w:bCs w:val="false"/>
          <w:i w:val="false"/>
          <w:iCs w:val="false"/>
          <w:smallCaps w:val="false"/>
          <w:color w:val="000000"/>
          <w:sz w:val="24"/>
          <w:szCs w:val="24"/>
        </w:rPr>
        <w:t xml:space="preserve">In the recitals or grantor identification.</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Spouse joinder where applicable. </w:t>
      </w:r>
      <w:r>
        <w:rPr>
          <w:rFonts w:ascii="Times New Roman" w:cs="Times New Roman" w:eastAsia="Times New Roman" w:hAnsi="Times New Roman"/>
          <w:b w:val="false"/>
          <w:bCs w:val="false"/>
          <w:i w:val="false"/>
          <w:iCs w:val="false"/>
          <w:smallCaps w:val="false"/>
          <w:color w:val="000000"/>
          <w:sz w:val="24"/>
          <w:szCs w:val="24"/>
        </w:rPr>
        <w:t xml:space="preserve">Or documented client direction to proceed without joinder.</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Execution clean. </w:t>
      </w:r>
      <w:r>
        <w:rPr>
          <w:rFonts w:ascii="Times New Roman" w:cs="Times New Roman" w:eastAsia="Times New Roman" w:hAnsi="Times New Roman"/>
          <w:b w:val="false"/>
          <w:bCs w:val="false"/>
          <w:i w:val="false"/>
          <w:iCs w:val="false"/>
          <w:smallCaps w:val="false"/>
          <w:color w:val="000000"/>
          <w:sz w:val="24"/>
          <w:szCs w:val="24"/>
        </w:rPr>
        <w:t xml:space="preserve">Names match; signatures match printed names; notary acknowledgment complete and properly dated.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Font size at least 10. </w:t>
      </w:r>
      <w:r>
        <w:rPr>
          <w:rFonts w:ascii="Times New Roman" w:cs="Times New Roman" w:eastAsia="Times New Roman" w:hAnsi="Times New Roman"/>
          <w:b w:val="false"/>
          <w:bCs w:val="false"/>
          <w:i w:val="false"/>
          <w:iCs w:val="false"/>
          <w:smallCaps w:val="false"/>
          <w:color w:val="000000"/>
          <w:sz w:val="24"/>
          <w:szCs w:val="24"/>
        </w:rPr>
        <w:t xml:space="preserve">Office style is Times New Roman.</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Cover sheet prepared. </w:t>
      </w:r>
      <w:r>
        <w:rPr>
          <w:rFonts w:ascii="Times New Roman" w:cs="Times New Roman" w:eastAsia="Times New Roman" w:hAnsi="Times New Roman"/>
          <w:b w:val="false"/>
          <w:bCs w:val="false"/>
          <w:i w:val="false"/>
          <w:iCs w:val="false"/>
          <w:smallCaps w:val="false"/>
          <w:color w:val="000000"/>
          <w:sz w:val="24"/>
          <w:szCs w:val="24"/>
        </w:rPr>
        <w:t xml:space="preserve">With recordation tax payment or exemption citation.</w:t>
      </w:r>
    </w:p>
    <w:p>
      <w:pPr>
        <w:spacing w:after="80" w:before="200" w:line="280"/>
        <w:jc w:val="left"/>
      </w:pPr>
      <w:r>
        <w:rPr>
          <w:rFonts w:ascii="Calibri" w:cs="Calibri" w:eastAsia="Calibri" w:hAnsi="Calibri"/>
          <w:b/>
          <w:bCs/>
          <w:color w:val="1F3864"/>
          <w:sz w:val="24"/>
          <w:szCs w:val="24"/>
        </w:rPr>
        <w:t xml:space="preserve">Checklist 3 — If the deed comes back from the clerk</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If the deed is rejected at intake, work the diagnosis in this order:</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Title mismatch. </w:t>
      </w:r>
      <w:r>
        <w:rPr>
          <w:rFonts w:ascii="Times New Roman" w:cs="Times New Roman" w:eastAsia="Times New Roman" w:hAnsi="Times New Roman"/>
          <w:b w:val="false"/>
          <w:bCs w:val="false"/>
          <w:i w:val="false"/>
          <w:iCs w:val="false"/>
          <w:smallCaps w:val="false"/>
          <w:color w:val="000000"/>
          <w:sz w:val="24"/>
          <w:szCs w:val="24"/>
        </w:rPr>
        <w:t xml:space="preserve">Did you label the deed as a Deed of Gift, Deed Into Trust, etc., consistent with the substance and the exemption claimed?</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Exemption citation. </w:t>
      </w:r>
      <w:r>
        <w:rPr>
          <w:rFonts w:ascii="Times New Roman" w:cs="Times New Roman" w:eastAsia="Times New Roman" w:hAnsi="Times New Roman"/>
          <w:b w:val="false"/>
          <w:bCs w:val="false"/>
          <w:i w:val="false"/>
          <w:iCs w:val="false"/>
          <w:smallCaps w:val="false"/>
          <w:color w:val="000000"/>
          <w:sz w:val="24"/>
          <w:szCs w:val="24"/>
        </w:rPr>
        <w:t xml:space="preserve">Did you cite the right subsection of § 58.1-810 or § 58.1-811? Does the substance support it?</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Parcel ID format. </w:t>
      </w:r>
      <w:r>
        <w:rPr>
          <w:rFonts w:ascii="Times New Roman" w:cs="Times New Roman" w:eastAsia="Times New Roman" w:hAnsi="Times New Roman"/>
          <w:b w:val="false"/>
          <w:bCs w:val="false"/>
          <w:i w:val="false"/>
          <w:iCs w:val="false"/>
          <w:smallCaps w:val="false"/>
          <w:color w:val="000000"/>
          <w:sz w:val="24"/>
          <w:szCs w:val="24"/>
        </w:rPr>
        <w:t xml:space="preserve">Match the locality's exact format — some clerks reject normalized or abbreviated forms.</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Derivation clause. </w:t>
      </w:r>
      <w:r>
        <w:rPr>
          <w:rFonts w:ascii="Times New Roman" w:cs="Times New Roman" w:eastAsia="Times New Roman" w:hAnsi="Times New Roman"/>
          <w:b w:val="false"/>
          <w:bCs w:val="false"/>
          <w:i w:val="false"/>
          <w:iCs w:val="false"/>
          <w:smallCaps w:val="false"/>
          <w:color w:val="000000"/>
          <w:sz w:val="24"/>
          <w:szCs w:val="24"/>
        </w:rPr>
        <w:t xml:space="preserve">Cited correctly? Format matches the locality's preferred citation style?</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Granting language. </w:t>
      </w:r>
      <w:r>
        <w:rPr>
          <w:rFonts w:ascii="Times New Roman" w:cs="Times New Roman" w:eastAsia="Times New Roman" w:hAnsi="Times New Roman"/>
          <w:b w:val="false"/>
          <w:bCs w:val="false"/>
          <w:i w:val="false"/>
          <w:iCs w:val="false"/>
          <w:smallCaps w:val="false"/>
          <w:color w:val="000000"/>
          <w:sz w:val="24"/>
          <w:szCs w:val="24"/>
        </w:rPr>
        <w:t xml:space="preserve">Statutory minimum “grant” or “grant and convey” present? Office-form longer language for sale deeds present?</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Acknowledgment defects. </w:t>
      </w:r>
      <w:r>
        <w:rPr>
          <w:rFonts w:ascii="Times New Roman" w:cs="Times New Roman" w:eastAsia="Times New Roman" w:hAnsi="Times New Roman"/>
          <w:b w:val="false"/>
          <w:bCs w:val="false"/>
          <w:i w:val="false"/>
          <w:iCs w:val="false"/>
          <w:smallCaps w:val="false"/>
          <w:color w:val="000000"/>
          <w:sz w:val="24"/>
          <w:szCs w:val="24"/>
        </w:rPr>
        <w:t xml:space="preserve">Notary block complete, dated correctly, commission expiration shown, jurisdiction matches the notary's commission.</w:t>
      </w:r>
    </w:p>
    <w:p>
      <w:pPr>
        <w:pStyle w:val="ListParagraph"/>
        <w:numPr>
          <w:ilvl w:val="0"/>
          <w:numId w:val="2"/>
        </w:numPr>
        <w:spacing w:after="80" w:before="0" w:line="280"/>
        <w:jc w:val="left"/>
      </w:pPr>
      <w:r>
        <w:rPr>
          <w:rFonts w:ascii="Times New Roman" w:cs="Times New Roman" w:eastAsia="Times New Roman" w:hAnsi="Times New Roman"/>
          <w:b/>
          <w:bCs/>
          <w:i w:val="false"/>
          <w:iCs w:val="false"/>
          <w:smallCaps w:val="false"/>
          <w:color w:val="000000"/>
          <w:sz w:val="24"/>
          <w:szCs w:val="24"/>
        </w:rPr>
        <w:t xml:space="preserve">Margin and font. </w:t>
      </w:r>
      <w:r>
        <w:rPr>
          <w:rFonts w:ascii="Times New Roman" w:cs="Times New Roman" w:eastAsia="Times New Roman" w:hAnsi="Times New Roman"/>
          <w:b w:val="false"/>
          <w:bCs w:val="false"/>
          <w:i w:val="false"/>
          <w:iCs w:val="false"/>
          <w:smallCaps w:val="false"/>
          <w:color w:val="000000"/>
          <w:sz w:val="24"/>
          <w:szCs w:val="24"/>
        </w:rPr>
        <w:t xml:space="preserve">Some clerks require specific top-margin space for the recordation stamp; minimum font 10.</w:t>
      </w:r>
    </w:p>
    <w:p>
      <w:pPr>
        <w:pBdr>
          <w:bottom w:val="single" w:color="BF8F00" w:sz="8" w:space="4"/>
        </w:pBdr>
        <w:spacing w:after="160" w:before="280" w:line="280"/>
        <w:jc w:val="left"/>
      </w:pPr>
      <w:r>
        <w:rPr>
          <w:rFonts w:ascii="Calibri" w:cs="Calibri" w:eastAsia="Calibri" w:hAnsi="Calibri"/>
          <w:b/>
          <w:bCs/>
          <w:color w:val="1F3864"/>
          <w:sz w:val="28"/>
          <w:szCs w:val="28"/>
        </w:rPr>
        <w:t xml:space="preserve">13.  A few closing notes for the new lawyer</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Three things, distilled from years of doing this work, that no template captures.</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First, deeds are unforgiving in a way most legal documents are not. A contract you draft poorly can usually be amended; a brief you write poorly can be re-briefed. A deed you record incorrectly is recorded incorrectly forever, and curing it takes another deed, more recordation taxes, more client time, and the small but real risk that the cure deed itself contains an error. Slow down, double-check the parcel ID against the tax record, double-check the derivation clause against the prior deed, and read the deed top-to-bottom one more time before you submit it for execution.</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Second, the recitals do most of the real work. The granting language is the same on every deed; the legal description is copied from the prior deed; the warranty designation is statutory shorthand. What changes from file to file — and what makes a deed easy or impossible for the next examiner to follow — is the recitals. Spend time on them. Tell the story. The deed exists, in part, to make the next person's job possible; recitals are the place where you do that work.</w:t>
      </w:r>
    </w:p>
    <w:p>
      <w:pPr>
        <w:spacing w:after="160" w:before="0" w:line="280"/>
        <w:jc w:val="both"/>
      </w:pPr>
      <w:r>
        <w:rPr>
          <w:rFonts w:ascii="Times New Roman" w:cs="Times New Roman" w:eastAsia="Times New Roman" w:hAnsi="Times New Roman"/>
          <w:b w:val="false"/>
          <w:bCs w:val="false"/>
          <w:i w:val="false"/>
          <w:iCs w:val="false"/>
          <w:smallCaps w:val="false"/>
          <w:color w:val="000000"/>
          <w:sz w:val="24"/>
          <w:szCs w:val="24"/>
        </w:rPr>
        <w:t xml:space="preserve">Third, engagement letters are not optional. The fee on most deed work is modest, the work is repetitive, and the temptation to skip the formality is real. Skipping it does not save time; it just defers the cost to whatever later moment the client decides the firm should have done something the firm was never engaged to do. Send the letter. Get it signed. File it.</w:t>
      </w:r>
    </w:p>
    <w:p>
      <w:pPr>
        <w:spacing w:after="360" w:before="0"/>
      </w:pPr>
    </w:p>
    <w:p>
      <w:pPr>
        <w:pBdr>
          <w:top w:val="single" w:color="BFBFBF" w:sz="4" w:space="8"/>
        </w:pBdr>
        <w:spacing w:after="120" w:before="0" w:line="260"/>
        <w:jc w:val="both"/>
      </w:pPr>
      <w:r>
        <w:rPr>
          <w:rFonts w:ascii="Times New Roman" w:cs="Times New Roman" w:eastAsia="Times New Roman" w:hAnsi="Times New Roman"/>
          <w:b/>
          <w:bCs/>
          <w:i/>
          <w:iCs/>
          <w:color w:val="555555"/>
          <w:sz w:val="18"/>
          <w:szCs w:val="18"/>
        </w:rPr>
        <w:t xml:space="preserve">Note. </w:t>
      </w:r>
      <w:r>
        <w:rPr>
          <w:rFonts w:ascii="Times New Roman" w:cs="Times New Roman" w:eastAsia="Times New Roman" w:hAnsi="Times New Roman"/>
          <w:i/>
          <w:iCs/>
          <w:color w:val="555555"/>
          <w:sz w:val="18"/>
          <w:szCs w:val="18"/>
        </w:rPr>
        <w:t xml:space="preserve">This guide is internal training material for The Satterwhite Law Firm, PLLC. Citations are to the Virginia Code as currently in force; statutes change — verify before relying on a citation in a deed you are submitting for recordation. Where this guide notes a particular practice as statutory, the citation is given; where the practice is firm or office practice rather than statutory, that distinction is flagged. Particular clerks may have local preferences not captured here; defer to the locality's practice when it differs from generalized guidance.</w:t>
      </w:r>
    </w:p>
    <w:sectPr>
      <w:headerReference w:type="default" r:id="rId7"/>
      <w:headerReference w:type="first" r:id="rId8"/>
      <w:footerReference w:type="default" r:id="rId9"/>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after="40" w:before="0"/>
    </w:pPr>
  </w:p>
  <w:p>
    <w:pPr>
      <w:spacing w:after="0" w:before="0"/>
      <w:jc w:val="center"/>
    </w:pPr>
    <w:r>
      <w:rPr>
        <w:rFonts w:ascii="Calibri" w:cs="Calibri" w:eastAsia="Calibri" w:hAnsi="Calibri"/>
        <w:smallCaps/>
        <w:color w:val="555555"/>
        <w:spacing w:val="20"/>
        <w:sz w:val="18"/>
        <w:szCs w:val="18"/>
      </w:rPr>
      <w:t xml:space="preserve">The Satterwhite Law Firm, PLLC</w:t>
    </w:r>
    <w:r>
      <w:rPr>
        <w:rFonts w:ascii="Calibri" w:cs="Calibri" w:eastAsia="Calibri" w:hAnsi="Calibri"/>
        <w:color w:val="888888"/>
        <w:sz w:val="18"/>
        <w:szCs w:val="18"/>
      </w:rPr>
      <w:t xml:space="preserve">    •    </w:t>
    </w:r>
    <w:r>
      <w:rPr>
        <w:rFonts w:ascii="Calibri" w:cs="Calibri" w:eastAsia="Calibri" w:hAnsi="Calibri"/>
        <w:color w:val="555555"/>
        <w:sz w:val="18"/>
        <w:szCs w:val="18"/>
      </w:rPr>
      <w:t xml:space="preserve">703-855-7380</w:t>
    </w:r>
    <w:r>
      <w:rPr>
        <w:rFonts w:ascii="Calibri" w:cs="Calibri" w:eastAsia="Calibri" w:hAnsi="Calibri"/>
        <w:color w:val="888888"/>
        <w:sz w:val="18"/>
        <w:szCs w:val="18"/>
      </w:rPr>
      <w:t xml:space="preserve">    •    </w:t>
    </w: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60" w:before="0"/>
      <w:jc w:val="center"/>
    </w:pPr>
    <w:r>
      <w:rPr>
        <w:rFonts w:ascii="Calibri" w:cs="Calibri" w:eastAsia="Calibri" w:hAnsi="Calibri"/>
        <w:smallCaps/>
        <w:color w:val="888888"/>
        <w:spacing w:val="20"/>
        <w:sz w:val="18"/>
        <w:szCs w:val="18"/>
      </w:rPr>
      <w:t xml:space="preserve">Deed Drafting in Virginia  ·  Training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Drafting in Virginia — Training Guide</dc:title>
  <dc:creator>Kelly Satterwhite</dc:creator>
  <dc:description>Internal training material for associates and law clerks on Virginia deed drafting practice</dc:description>
  <cp:lastModifiedBy>Un-named</cp:lastModifiedBy>
  <cp:revision>1</cp:revision>
  <dcterms:created xsi:type="dcterms:W3CDTF">2026-05-05T18:12:22.297Z</dcterms:created>
  <dcterms:modified xsi:type="dcterms:W3CDTF">2026-05-05T18:12:22.297Z</dcterms:modified>
</cp:coreProperties>
</file>

<file path=docProps/custom.xml><?xml version="1.0" encoding="utf-8"?>
<Properties xmlns="http://schemas.openxmlformats.org/officeDocument/2006/custom-properties" xmlns:vt="http://schemas.openxmlformats.org/officeDocument/2006/docPropsVTypes"/>
</file>