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Virginia Deed Recording — Locality &amp; RON Knowledge-Base Source</w:t>
      </w:r>
    </w:p>
    <w:p>
      <w:pPr>
        <w:spacing w:after="120"/>
      </w:pPr>
      <w:r>
        <w:rPr>
          <w:b/>
          <w:bCs/>
        </w:rPr>
        <w:t xml:space="preserve">Prepared for: </w:t>
      </w:r>
      <w:r>
        <w:t xml:space="preserve">Lex Law Next (Whereas) — DEED-1 knowledge-base seed. Companion to the state-level primer (Deed_Drafting_Training_Guide_Virginia.docx).</w:t>
      </w:r>
    </w:p>
    <w:p>
      <w:pPr>
        <w:spacing w:after="120"/>
      </w:pPr>
      <w:r>
        <w:rPr>
          <w:b/>
          <w:bCs/>
        </w:rPr>
        <w:t xml:space="preserve">Date: </w:t>
      </w:r>
      <w:r>
        <w:t xml:space="preserve">June 19, 2026.  </w:t>
      </w:r>
      <w:r>
        <w:rPr>
          <w:b/>
          <w:bCs/>
        </w:rPr>
        <w:t xml:space="preserve">Jurisdiction: </w:t>
      </w:r>
      <w:r>
        <w:t xml:space="preserve">Commonwealth of Virginia; localities of Fairfax County, City of Alexandria, Arlington County, Loudoun County, Prince William County.</w:t>
      </w:r>
    </w:p>
    <w:p>
      <w:pPr>
        <w:pBdr>
          <w:top w:val="single" w:color="B00020" w:sz="6" w:space="4"/>
          <w:bottom w:val="single" w:color="B00020" w:sz="6" w:space="4"/>
        </w:pBdr>
        <w:spacing w:after="120" w:before="120"/>
      </w:pPr>
      <w:r>
        <w:rPr>
          <w:b/>
          <w:bCs/>
        </w:rPr>
        <w:t xml:space="preserve">FAIL-CLOSED INSTRUCTION TO THE BUILD. </w:t>
      </w:r>
      <w:r>
        <w:t xml:space="preserve">This document is a research compilation, not an authority. Only items tagged </w:t>
      </w:r>
      <w:r>
        <w:rPr>
          <w:b/>
          <w:bCs/>
          <w:color w:val="0B6B3A"/>
        </w:rPr>
        <w:t xml:space="preserve">[VERIFIED]</w:t>
      </w:r>
      <w:r>
        <w:t xml:space="preserve"> — confirmed to a primary source (Code of Virginia at law.lis.virginia.gov, or an official Circuit Court Clerk page) with a citation below — may be transcribed into the KB and used to support a recordability determination. Items tagged </w:t>
      </w:r>
      <w:r>
        <w:rPr>
          <w:b/>
          <w:bCs/>
          <w:color w:val="B00020"/>
        </w:rPr>
        <w:t xml:space="preserve">[UNVERIFIED]</w:t>
      </w:r>
      <w:r>
        <w:t xml:space="preserve"> could NOT be confirmed to a primary/official source; they MUST NOT seed a recordable determination and must keep that locality fail-closed on that specific point until the attorney confirms. Never fabricate a form, rate, margin, or clause from model memory. The attorney is the verifier of record.</w:t>
      </w:r>
    </w:p>
    <w:p>
      <w:pPr>
        <w:spacing w:after="120"/>
      </w:pPr>
      <w:r>
        <w:rPr>
          <w:b/>
          <w:bCs/>
        </w:rPr>
        <w:t xml:space="preserve">How to read this. </w:t>
      </w:r>
      <w:r>
        <w:t xml:space="preserve">Each rule carries an inline tag and a parenthetical citation (statute section and source URL). A </w:t>
      </w:r>
      <w:r>
        <w:rPr>
          <w:b/>
          <w:bCs/>
        </w:rPr>
        <w:t xml:space="preserve">[VERIFIED]</w:t>
      </w:r>
      <w:r>
        <w:t xml:space="preserve"> tag means the cited source was fetched and confirms the stated rule. A </w:t>
      </w:r>
      <w:r>
        <w:rPr>
          <w:b/>
          <w:bCs/>
        </w:rPr>
        <w:t xml:space="preserve">[UNVERIFIED]</w:t>
      </w:r>
      <w:r>
        <w:t xml:space="preserve"> tag means the official source was silent, client-rendered/unreadable, or only a secondary source carried the figure — treat as not established.</w:t>
      </w:r>
    </w:p>
    <w:p>
      <w:pPr>
        <w:pStyle w:val="Heading1"/>
      </w:pPr>
      <w:r>
        <w:t xml:space="preserve">Part A — Virginia statewide recording framework</w:t>
      </w:r>
    </w:p>
    <w:p>
      <w:pPr>
        <w:pStyle w:val="Heading2"/>
      </w:pPr>
      <w:r>
        <w:t xml:space="preserve">A1. Recording cover sheet — § 17.1-227.1</w:t>
      </w:r>
    </w:p>
    <w:p>
      <w:pPr>
        <w:spacing w:after="120"/>
      </w:pPr>
      <w:r>
        <w:rPr>
          <w:b/>
          <w:bCs/>
          <w:color w:val="0B6B3A"/>
        </w:rPr>
        <w:t xml:space="preserve">[VERIFIED] </w:t>
      </w:r>
      <w:r>
        <w:t xml:space="preserve">A clerk </w:t>
      </w:r>
      <w:r>
        <w:rPr>
          <w:b/>
          <w:bCs/>
        </w:rPr>
        <w:t xml:space="preserve">may</w:t>
      </w:r>
      <w:r>
        <w:t xml:space="preserve"> require a cover sheet for any deed/instrument relating to an interest in real property; it is permissive at the clerk's election, not a statewide mandate. When used, the cover sheet must carry: (i) each grantor and grantee name to be indexed (surname for individuals); (ii) for instruments under § 58.1-801 or § 58.1-807, the amount of consideration and actual value; (iii) the law under which any recordation-tax exemption is claimed; (iv) the tax map reference / PIN if required under § 17.1-252; and (v) the name and current address of the person to whom the instrument is returned. The cover sheet conveys no title and is not in the chain of title. </w:t>
      </w:r>
      <w:r>
        <w:rPr>
          <w:i/>
          <w:iCs/>
          <w:color w:val="555555"/>
        </w:rPr>
        <w:t xml:space="preserve">(§ 17.1-227.1; law.lis.virginia.gov/vacode/title17.1/chapter2/section17.1-227.1/)</w:t>
      </w:r>
    </w:p>
    <w:p>
      <w:pPr>
        <w:pStyle w:val="Heading2"/>
      </w:pPr>
      <w:r>
        <w:t xml:space="preserve">A2. First-page / formatting requirements — § 17.1-223 (NOT § 55.1-600)</w:t>
      </w:r>
    </w:p>
    <w:p>
      <w:pPr>
        <w:pBdr>
          <w:left w:val="single" w:color="B00020" w:sz="12" w:space="6"/>
        </w:pBdr>
        <w:spacing w:after="120"/>
        <w:ind w:left="120"/>
      </w:pPr>
      <w:r>
        <w:rPr>
          <w:b/>
          <w:bCs/>
        </w:rPr>
        <w:t xml:space="preserve">CORRECTION — carry into the KB. </w:t>
      </w:r>
      <w:r>
        <w:t xml:space="preserve">The statewide first-page/formatting rules live in § 17.1-223, NOT in § 55.1-600. Current § 55.1-600 (formerly Code 1950 § 55-106) is the acknowledgment/recording-eligibility statute and contains no margin, font, or first-page-content rules. Any KB entry equating “§ 55.1-600 (formerly § 55-48)” with the formatting statute is incorrect and must be fixed. </w:t>
      </w:r>
      <w:r>
        <w:rPr>
          <w:i/>
          <w:iCs/>
          <w:color w:val="555555"/>
        </w:rPr>
        <w:t xml:space="preserve">(§ 17.1-223 and § 55.1-600; law.lis.virginia.gov)</w:t>
      </w:r>
    </w:p>
    <w:p>
      <w:pPr>
        <w:spacing w:after="120"/>
      </w:pPr>
      <w:r>
        <w:rPr>
          <w:b/>
          <w:bCs/>
          <w:color w:val="0B6B3A"/>
        </w:rPr>
        <w:t xml:space="preserve">[VERIFIED] </w:t>
      </w:r>
      <w:r>
        <w:t xml:space="preserve">Under § 17.1-223(A) a clerk may reject a writing (unless a § 17.1-227.1 cover sheet is submitted) unless: (i) the surname of each individual party is underscored or in all caps in the first identifying clause; (ii) pages are numbered consecutively; (iii) for § 58.1-801 / § 58.1-807 instruments, consideration and actual value are stated on the first page; (iv) any recordation-tax exemption is clearly stated on the face; and (v) each indexed party is listed in the first clause and identified as grantor/grantee/both. </w:t>
      </w:r>
      <w:r>
        <w:rPr>
          <w:i/>
          <w:iCs/>
          <w:color w:val="555555"/>
        </w:rPr>
        <w:t xml:space="preserve">(§ 17.1-223(A); law.lis.virginia.gov/vacode/title17.1/chapter2/section17.1-223/)</w:t>
      </w:r>
    </w:p>
    <w:p>
      <w:pPr>
        <w:spacing w:after="120"/>
      </w:pPr>
      <w:r>
        <w:rPr>
          <w:b/>
          <w:bCs/>
          <w:color w:val="B00020"/>
        </w:rPr>
        <w:t xml:space="preserve">[UNVERIFIED] </w:t>
      </w:r>
      <w:r>
        <w:t xml:space="preserve">There is NO statewide statutory margin, font, or paper-size requirement. Margin/font specifications, where they exist, are imposed at the local-clerk level (see Part C — Fairfax publishes numerics; Loudoun and PWC defer to the Library of Virginia standards at 17VAC15-61). Do not seed a statewide margin number. </w:t>
      </w:r>
      <w:r>
        <w:rPr>
          <w:i/>
          <w:iCs/>
          <w:color w:val="555555"/>
        </w:rPr>
        <w:t xml:space="preserve">(not established at statewide level; § 17.1-223 contains none)</w:t>
      </w:r>
    </w:p>
    <w:p>
      <w:pPr>
        <w:pStyle w:val="Heading2"/>
      </w:pPr>
      <w:r>
        <w:t xml:space="preserve">A3. Preparer statement — § 17.1-223(B)(iii)</w:t>
      </w:r>
    </w:p>
    <w:p>
      <w:pPr>
        <w:spacing w:after="120"/>
      </w:pPr>
      <w:r>
        <w:rPr>
          <w:b/>
          <w:bCs/>
          <w:color w:val="0B6B3A"/>
        </w:rPr>
        <w:t xml:space="preserve">[VERIFIED] </w:t>
      </w:r>
      <w:r>
        <w:t xml:space="preserve">For a deed conveying residential property of not more than four dwelling units, the first page must state the deed was prepared either by the property owner or by a Virginia-licensed attorney; if by an attorney, the statement must include the attorney's name and Virginia State Bar number. Does not apply to deeds of trust or to deeds with a public-service company / railroad / cable operator as a party. </w:t>
      </w:r>
      <w:r>
        <w:rPr>
          <w:i/>
          <w:iCs/>
          <w:color w:val="555555"/>
        </w:rPr>
        <w:t xml:space="preserve">(§ 17.1-223(B)(iii); law.lis.virginia.gov/vacode/title17.1/chapter2/section17.1-223/)</w:t>
      </w:r>
    </w:p>
    <w:p>
      <w:pPr>
        <w:spacing w:after="120"/>
      </w:pPr>
      <w:r>
        <w:rPr>
          <w:i/>
          <w:iCs/>
        </w:rPr>
        <w:t xml:space="preserve">Note: the conventional “This instrument was prepared by …” wording satisfies this statute but is a drafting convention, not quoted statutory text. The statute prescribes the substance, not magic words.</w:t>
      </w:r>
    </w:p>
    <w:p>
      <w:pPr>
        <w:pStyle w:val="Heading2"/>
      </w:pPr>
      <w:r>
        <w:t xml:space="preserve">A4. Indexing / names — §§ 17.1-223(A), 17.1-249</w:t>
      </w:r>
    </w:p>
    <w:p>
      <w:pPr>
        <w:spacing w:after="120"/>
      </w:pPr>
      <w:r>
        <w:rPr>
          <w:b/>
          <w:bCs/>
          <w:color w:val="0B6B3A"/>
        </w:rPr>
        <w:t xml:space="preserve">[VERIFIED] </w:t>
      </w:r>
      <w:r>
        <w:t xml:space="preserve">Each party to be indexed as grantor/grantee must be named in the first identifying clause; the clerk indexes in the names of all such parties; indices may be electronic; electronic and paper records go in the same indices. </w:t>
      </w:r>
      <w:r>
        <w:rPr>
          <w:i/>
          <w:iCs/>
          <w:color w:val="555555"/>
        </w:rPr>
        <w:t xml:space="preserve">(§ 17.1-223(A),(E) [VERIFIED]; § 17.1-249 [text confirmed for indexing/same-indices]; law.lis.virginia.gov)</w:t>
      </w:r>
    </w:p>
    <w:p>
      <w:pPr>
        <w:pStyle w:val="Heading2"/>
      </w:pPr>
      <w:r>
        <w:t xml:space="preserve">A5. Recordation and grantor taxes — §§ 58.1-801, 58.1-802, 58.1-803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Tax</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Cite /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recordation tax (deeds) — § 58.1-801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 per $100 (or fraction) of the GREATER of consideration or actual value (= $2.50/$1,000). Corporate name-change-only deed: flat $0.50.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Grantor tax — § 58.1-802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$0.50 per $500 (or fraction) of the greater of consideration or value when &gt; $100, exclusive of liens/encumbrances (= $1.00/$1,000). Paid by grantor; parties may shift to grantee. No deed recorded unless consideration stated on first page + clerk's certificate affixed.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Deeds of trust — § 58.1-803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$0.25 per $100 of secured obligation; graduated maximum scale steps down above $10M tranches; refinance scale starts $0.18/$100. Supplemental/modification taxed only on the excess over the original.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w:t>
            </w:r>
          </w:p>
        </w:tc>
      </w:tr>
    </w:tbl>
    <w:p>
      <w:pPr>
        <w:pStyle w:val="Heading2"/>
      </w:pPr>
      <w:r>
        <w:t xml:space="preserve">A6. Northern Virginia regional grantor fees — §§ 58.1-802.3, 58.1-802.4</w:t>
      </w:r>
    </w:p>
    <w:p>
      <w:pPr>
        <w:spacing w:after="120"/>
      </w:pPr>
      <w:r>
        <w:rPr>
          <w:b/>
          <w:bCs/>
          <w:color w:val="0B6B3A"/>
        </w:rPr>
        <w:t xml:space="preserve">[VERIFIED] </w:t>
      </w:r>
      <w:r>
        <w:t xml:space="preserve">Regional WMATA Capital Fee, § 58.1-802.3: $0.10 per $100 (= $1.00/$1,000) of the greater of consideration or value when ≥ $100, exclusive of liens; paid by the grantor; applies in NVTA-member localities (all five target localities qualify). </w:t>
      </w:r>
      <w:r>
        <w:rPr>
          <w:i/>
          <w:iCs/>
          <w:color w:val="555555"/>
        </w:rPr>
        <w:t xml:space="preserve">(§ 58.1-802.3; law.lis.virginia.gov/vacode/title58.1/chapter8/section58.1-802.3/)</w:t>
      </w:r>
    </w:p>
    <w:p>
      <w:pPr>
        <w:spacing w:after="120"/>
      </w:pPr>
      <w:r>
        <w:rPr>
          <w:b/>
          <w:bCs/>
          <w:color w:val="B00020"/>
        </w:rPr>
        <w:t xml:space="preserve">[UNVERIFIED] </w:t>
      </w:r>
      <w:r>
        <w:t xml:space="preserve">Regional Congestion Relief Fee, § 58.1-802.4: appears on the Fairfax and Prince William official fee schedules at $0.10 per $100 (see Part C, where it is VERIFIED to those clerk pages), but the statute text itself was not fetched in this pass and carries a contingent-expiration note (Acts 2020). Seed the rate from the locality fee pages, and flag the statute's sunset status for periodic re-check. </w:t>
      </w:r>
      <w:r>
        <w:rPr>
          <w:i/>
          <w:iCs/>
          <w:color w:val="555555"/>
        </w:rPr>
        <w:t xml:space="preserve">(§ 58.1-802.4 statute text not fetched; rate verified to Fairfax/PWC fee schedules)</w:t>
      </w:r>
    </w:p>
    <w:p>
      <w:pPr>
        <w:pStyle w:val="Heading2"/>
      </w:pPr>
      <w:r>
        <w:t xml:space="preserve">A7. Local recordation tax — §§ 58.1-814 / 58.1-3800</w:t>
      </w:r>
    </w:p>
    <w:p>
      <w:pPr>
        <w:spacing w:after="120"/>
      </w:pPr>
      <w:r>
        <w:rPr>
          <w:b/>
          <w:bCs/>
          <w:color w:val="0B6B3A"/>
        </w:rPr>
        <w:t xml:space="preserve">[VERIFIED] </w:t>
      </w:r>
      <w:r>
        <w:t xml:space="preserve">A city or county may impose a local recordation tax equal to one-third (1/3) of the state recordation tax (≈ $0.083 per $100). Adoption is local; all five target localities impose it (confirmed on the Fairfax/Alexandria/PWC pages in Part C). </w:t>
      </w:r>
      <w:r>
        <w:rPr>
          <w:i/>
          <w:iCs/>
          <w:color w:val="555555"/>
        </w:rPr>
        <w:t xml:space="preserve">(§ 58.1-814; § 58.1-3800; law.lis.virginia.gov)</w:t>
      </w:r>
    </w:p>
    <w:p>
      <w:pPr>
        <w:pStyle w:val="Heading2"/>
      </w:pPr>
      <w:r>
        <w:t xml:space="preserve">A8. Recordation-tax exemptions — §§ 58.1-810, 58.1-811</w:t>
      </w:r>
    </w:p>
    <w:p>
      <w:pPr>
        <w:spacing w:after="120"/>
      </w:pPr>
      <w:r>
        <w:rPr>
          <w:b/>
          <w:bCs/>
        </w:rPr>
        <w:t xml:space="preserve">§ 58.1-810 (no additional tax where tax already paid). </w:t>
      </w:r>
      <w:r>
        <w:t xml:space="preserve">Deed of confirmation; deed of correction; a deed to which married individuals are the only parties; deed out of a purchase contract (with true-up); notice of assignment; certificate of release of prohibited covenants. </w:t>
      </w:r>
      <w:r>
        <w:rPr>
          <w:i/>
          <w:iCs/>
          <w:color w:val="555555"/>
        </w:rPr>
        <w:t xml:space="preserve">[VERIFIED] (§ 58.1-810; law.lis.virginia.gov/vacode/title58.1/chapter8/section58.1-810/)</w:t>
      </w:r>
    </w:p>
    <w:p>
      <w:pPr>
        <w:spacing w:after="120"/>
      </w:pPr>
      <w:r>
        <w:rPr>
          <w:b/>
          <w:bCs/>
        </w:rPr>
        <w:t xml:space="preserve">§ 58.1-811 (principal exemptions). </w:t>
      </w:r>
      <w:r>
        <w:t xml:space="preserve">Deed-relevant categories: </w:t>
      </w:r>
      <w:r>
        <w:rPr>
          <w:i/>
          <w:iCs/>
          <w:color w:val="555555"/>
        </w:rPr>
        <w:t xml:space="preserve">[VERIFIED] (§ 58.1-811; law.lis.virginia.gov/vacode/title58.1/chapter8/section58.1-811/)</w:t>
      </w:r>
    </w:p>
    <w:p>
      <w:pPr>
        <w:pStyle w:val="ListParagraph"/>
        <w:numPr>
          <w:ilvl w:val="0"/>
          <w:numId w:val="2"/>
        </w:numPr>
        <w:spacing w:after="60"/>
      </w:pPr>
      <w:r>
        <w:rPr>
          <w:b/>
          <w:bCs/>
        </w:rPr>
        <w:t xml:space="preserve">Deed into a revocable inter vivos trust (A.12): </w:t>
      </w:r>
      <w:r>
        <w:t xml:space="preserve">exempt where the grantors in the deed and the trust beneficiaries are the same persons and no consideration passes (other beneficiaries may be named).</w:t>
      </w:r>
    </w:p>
    <w:p>
      <w:pPr>
        <w:pStyle w:val="ListParagraph"/>
        <w:numPr>
          <w:ilvl w:val="0"/>
          <w:numId w:val="2"/>
        </w:numPr>
        <w:spacing w:after="60"/>
      </w:pPr>
      <w:r>
        <w:rPr>
          <w:b/>
          <w:bCs/>
        </w:rPr>
        <w:t xml:space="preserve">Deed of gift (subsection D): </w:t>
      </w:r>
      <w:r>
        <w:t xml:space="preserve">no recordation tax where no consideration passes; the deed must state on its face that it is a deed of gift.</w:t>
      </w:r>
    </w:p>
    <w:p>
      <w:pPr>
        <w:pStyle w:val="ListParagraph"/>
        <w:numPr>
          <w:ilvl w:val="0"/>
          <w:numId w:val="2"/>
        </w:numPr>
        <w:spacing w:after="60"/>
      </w:pPr>
      <w:r>
        <w:rPr>
          <w:b/>
          <w:bCs/>
        </w:rPr>
        <w:t xml:space="preserve">Transfer-on-death deed and its revocation (subsection J): </w:t>
      </w:r>
      <w:r>
        <w:t xml:space="preserve">no recordation tax when no consideration passes (cross-checks § 64.2-628(5)).</w:t>
      </w:r>
    </w:p>
    <w:p>
      <w:pPr>
        <w:pStyle w:val="ListParagraph"/>
        <w:numPr>
          <w:ilvl w:val="0"/>
          <w:numId w:val="2"/>
        </w:numPr>
        <w:spacing w:after="60"/>
      </w:pPr>
      <w:r>
        <w:rPr>
          <w:b/>
          <w:bCs/>
        </w:rPr>
        <w:t xml:space="preserve">Deed of distribution from an estate/trust (subsection K): </w:t>
      </w:r>
      <w:r>
        <w:t xml:space="preserve">no consideration; must state on the front page that it is a deed of distribution.</w:t>
      </w:r>
    </w:p>
    <w:p>
      <w:pPr>
        <w:pStyle w:val="ListParagraph"/>
        <w:numPr>
          <w:ilvl w:val="0"/>
          <w:numId w:val="2"/>
        </w:numPr>
        <w:spacing w:after="60"/>
      </w:pPr>
      <w:r>
        <w:rPr>
          <w:b/>
          <w:bCs/>
        </w:rPr>
        <w:t xml:space="preserve">Divorce / separation (A.14 partition; A.15): </w:t>
      </w:r>
      <w:r>
        <w:t xml:space="preserve">partition among co-owners; transfers pursuant to a divorce/separate-maintenance decree or incident written instrument.</w:t>
      </w:r>
    </w:p>
    <w:p>
      <w:pPr>
        <w:spacing w:after="120"/>
      </w:pPr>
      <w:r>
        <w:rPr>
          <w:b/>
          <w:bCs/>
          <w:color w:val="B00020"/>
        </w:rPr>
        <w:t xml:space="preserve">[UNVERIFIED] </w:t>
      </w:r>
      <w:r>
        <w:t xml:space="preserve">There is no flat “all spousal transfers are exempt” clause. Spousal relief runs through § 58.1-810(3) (no additional tax), § 58.1-811(D) gift deed, or § 58.1-811(A.15) divorce — seed precisely, do not generalize. Also: § 58.1-811 currently has TWO contingent versions tied to the regional-fee sunset; preserve the distinction rather than collapsing them. </w:t>
      </w:r>
      <w:r>
        <w:rPr>
          <w:i/>
          <w:iCs/>
          <w:color w:val="555555"/>
        </w:rPr>
        <w:t xml:space="preserve">(precision flag on § 58.1-811)</w:t>
      </w:r>
    </w:p>
    <w:p>
      <w:pPr>
        <w:pStyle w:val="Heading2"/>
      </w:pPr>
      <w:r>
        <w:t xml:space="preserve">A9. Clerk's fees and surcharges — §§ 17.1-275, 17.1-279, 58.1-817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Amount</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Cite / status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Recording-and-indexing fee — § 17.1-275(A)(2)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(≤10 pp) / $32 (11–30 pp) / $52 (31+ pp). Oversized plats (&gt; 8.5×14 in) $17/sheet. ($3.50 of the fee funds permanent-record preservation.)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(statute base)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 Trust Fund Fee — § 17.1-279(A)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per instrument recorded in the deed books; not assessed on government-tendered instruments.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Open-Space Preservation (VOF) fee — § 58.1-817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on every recorded instrument in jurisdictions where the Virginia Outdoors Foundation holds open-space easements. Applicability is jurisdiction-specific.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w:t>
            </w:r>
          </w:p>
        </w:tc>
      </w:tr>
    </w:tbl>
    <w:p>
      <w:pPr>
        <w:spacing w:after="120"/>
      </w:pPr>
      <w:r>
        <w:rPr>
          <w:i/>
          <w:iCs/>
        </w:rPr>
        <w:t xml:space="preserve">Note: the locality fee schedules in Part C (Fairfax, Prince William) state the clerk's-fee tier as $23 / $37 / $57 — i.e., the § 17.1-275 base plus the $5 TTF and the $3.50 preservation component bundled. Seed the locality's stated bundled figure for that locality; seed the § 17.1-275 base only as the statewide statutory floor.</w:t>
      </w:r>
    </w:p>
    <w:p>
      <w:pPr>
        <w:pStyle w:val="Heading2"/>
      </w:pPr>
      <w:r>
        <w:t xml:space="preserve">A10. Transfer-on-death (TOD) deed — URPTODA, §§ 64.2-621 et seq.</w:t>
      </w:r>
    </w:p>
    <w:p>
      <w:pPr>
        <w:spacing w:after="120"/>
      </w:pPr>
      <w:r>
        <w:rPr>
          <w:b/>
          <w:bCs/>
          <w:color w:val="0B6B3A"/>
        </w:rPr>
        <w:t xml:space="preserve">[VERIFIED] </w:t>
      </w:r>
      <w:r>
        <w:t xml:space="preserve">Recording requirement (§ 64.2-628): a TOD deed must (1) contain the essentials of a recordable inter vivos deed; (2) state that the transfer to the beneficiary occurs at the transferor's death; (3) be RECORDED BEFORE the transferor's death in the locality where the property sits; (4) comply with Chapter 6 of Title 55.1 and be indexed under the transferor as grantor; (5) be exempt from recordation tax under § 58.1-811(J) unless for consideration; (6) for jointly owned property, be executed by all joint owners; (7) is treated as a deed for § 17.1-223 purposes. </w:t>
      </w:r>
      <w:r>
        <w:rPr>
          <w:i/>
          <w:iCs/>
          <w:color w:val="555555"/>
        </w:rPr>
        <w:t xml:space="preserve">(§ 64.2-628; law.lis.virginia.gov/vacode/title64.2/chapter6/section64.2-628/)</w:t>
      </w:r>
    </w:p>
    <w:p>
      <w:pPr>
        <w:spacing w:after="120"/>
      </w:pPr>
      <w:r>
        <w:rPr>
          <w:b/>
          <w:bCs/>
          <w:color w:val="0B6B3A"/>
        </w:rPr>
        <w:t xml:space="preserve">[VERIFIED] </w:t>
      </w:r>
      <w:r>
        <w:t xml:space="preserve">Revocation (§ 64.2-630, amd. 2025 c. 85): only by a recorded instrument (later TOD deed, instrument of revocation, or inter vivos deed conveying the property away), acknowledged after the deed revoked and recorded before death. Revocation by physical act is NOT permitted. A joint-owner TOD deed is revoked only if revoked by all living joint owners. </w:t>
      </w:r>
      <w:r>
        <w:rPr>
          <w:i/>
          <w:iCs/>
          <w:color w:val="555555"/>
        </w:rPr>
        <w:t xml:space="preserve">(§ 64.2-630)</w:t>
      </w:r>
    </w:p>
    <w:p>
      <w:pPr>
        <w:spacing w:after="120"/>
      </w:pPr>
      <w:r>
        <w:rPr>
          <w:b/>
          <w:bCs/>
          <w:color w:val="0B6B3A"/>
        </w:rPr>
        <w:t xml:space="preserve">[VERIFIED] </w:t>
      </w:r>
      <w:r>
        <w:t xml:space="preserve">Optional statutory form (§ 64.2-635, amd. 2025 c. 85): the Code supplies an optional form with mandatory-caps recitals “THIS DEED MUST BE RECORDED BEFORE THE DEATH OF THE OWNER(S), OR IT WILL NOT BE EFFECTIVE” and “THIS DEED IS EXEMPT FROM RECORDATION TAXES UNDER § 58.1-811(J).” Use of the form is optional, not mandatory. </w:t>
      </w:r>
      <w:r>
        <w:rPr>
          <w:i/>
          <w:iCs/>
          <w:color w:val="555555"/>
        </w:rPr>
        <w:t xml:space="preserve">(§ 64.2-635)</w:t>
      </w:r>
    </w:p>
    <w:p>
      <w:pPr>
        <w:spacing w:after="120"/>
      </w:pPr>
      <w:r>
        <w:rPr>
          <w:b/>
          <w:bCs/>
          <w:color w:val="B00020"/>
        </w:rPr>
        <w:t xml:space="preserve">[UNVERIFIED] </w:t>
      </w:r>
      <w:r>
        <w:t xml:space="preserve">The Act's outer bound “through § 64.2-638” and the intervening sections (621/627/629/631–634/636–638) were not all individually fetched; the recording-critical sections (628, 630, 635) ARE verified. Confirm the terminal section before seeding the exact range. </w:t>
      </w:r>
      <w:r>
        <w:rPr>
          <w:i/>
          <w:iCs/>
          <w:color w:val="555555"/>
        </w:rPr>
        <w:t xml:space="preserve">(range end unverified)</w:t>
      </w:r>
    </w:p>
    <w:p>
      <w:pPr>
        <w:pStyle w:val="Heading2"/>
      </w:pPr>
      <w:r>
        <w:t xml:space="preserve">A11. Parcel identification — § 17.1-252 (locality-conditional)</w:t>
      </w:r>
    </w:p>
    <w:p>
      <w:pPr>
        <w:spacing w:after="120"/>
      </w:pPr>
      <w:r>
        <w:rPr>
          <w:b/>
          <w:bCs/>
          <w:color w:val="0B6B3A"/>
        </w:rPr>
        <w:t xml:space="preserve">[VERIFIED] </w:t>
      </w:r>
      <w:r>
        <w:t xml:space="preserve">There is NO uniform statewide GPIN/tax-map mandate. § 17.1-252 requires the tax-map reference / PIN on the first page (or the cover sheet) only “in those localities with a unique parcel identification system,” where the clerk shall require it. The cover-sheet PIN field (§ 17.1-227.1(A)(iv)) inherits this locality-conditional trigger. Each target locality DOES have such a system (see Part C for the exact format per locality). </w:t>
      </w:r>
      <w:r>
        <w:rPr>
          <w:i/>
          <w:iCs/>
          <w:color w:val="555555"/>
        </w:rPr>
        <w:t xml:space="preserve">(§ 17.1-252; law.lis.virginia.gov/vacode/title17.1/chapter2/section17.1-252/)</w:t>
      </w:r>
    </w:p>
    <w:p>
      <w:pPr>
        <w:pStyle w:val="Heading2"/>
      </w:pPr>
      <w:r>
        <w:t xml:space="preserve">A12. Title 55 → 55.1 recodification</w:t>
      </w:r>
    </w:p>
    <w:p>
      <w:pPr>
        <w:spacing w:after="120"/>
      </w:pPr>
      <w:r>
        <w:rPr>
          <w:b/>
          <w:bCs/>
          <w:color w:val="0B6B3A"/>
        </w:rPr>
        <w:t xml:space="preserve">[VERIFIED] </w:t>
      </w:r>
      <w:r>
        <w:t xml:space="preserve">Effective October 1, 2019 (Acts 2019 c. 712), former Title 55 was recodified as Title 55.1. The recording chapter is now Chapter 6 of Title 55.1 (§ 55.1-600 et seq.). § 55.1-600's predecessor is former § 55-106 (the acknowledgment statute) — NOT “§ 55-48.” Notary law remains in Title 47.1. </w:t>
      </w:r>
      <w:r>
        <w:rPr>
          <w:i/>
          <w:iCs/>
          <w:color w:val="555555"/>
        </w:rPr>
        <w:t xml:space="preserve">(Acts 2019 c. 712)</w:t>
      </w:r>
    </w:p>
    <w:p>
      <w:pPr>
        <w:pStyle w:val="Heading1"/>
      </w:pPr>
      <w:r>
        <w:t xml:space="preserve">Part B — Remote online notarization &amp; electronic recording</w:t>
      </w:r>
    </w:p>
    <w:p>
      <w:pPr>
        <w:pStyle w:val="Heading2"/>
      </w:pPr>
      <w:r>
        <w:t xml:space="preserve">B1. RON authority</w:t>
      </w:r>
    </w:p>
    <w:p>
      <w:pPr>
        <w:spacing w:after="120"/>
      </w:pPr>
      <w:r>
        <w:rPr>
          <w:b/>
          <w:bCs/>
          <w:color w:val="0B6B3A"/>
        </w:rPr>
        <w:t xml:space="preserve">[VERIFIED] </w:t>
      </w:r>
      <w:r>
        <w:t xml:space="preserve">Virginia authorizes remote online notarization. A notary commissioned as an electronic notary by the Secretary of the Commonwealth may perform RON; the act is deemed performed in Virginia and governed by Virginia law (§ 47.1-13(D)). Registration is via the Secretary's form (§ 47.1-7); standards are set by the Secretary with VITA assistance (§ 47.1-6.1); the video-and-audio identity standard and KBA live in the definition of “satisfactory evidence of identity” (§ 47.1-2); notarial powers including taking acknowledgments are § 47.1-12. </w:t>
      </w:r>
      <w:r>
        <w:rPr>
          <w:i/>
          <w:iCs/>
          <w:color w:val="555555"/>
        </w:rPr>
        <w:t xml:space="preserve">(§§ 47.1-2, 47.1-6.1, 47.1-7, 47.1-12, 47.1-13; law.lis.virginia.gov/vacode/title47.1/)</w:t>
      </w:r>
    </w:p>
    <w:p>
      <w:pPr>
        <w:spacing w:after="120"/>
      </w:pPr>
      <w:r>
        <w:rPr>
          <w:i/>
          <w:iCs/>
        </w:rPr>
        <w:t xml:space="preserve">Framing correction: the “video and audio conference” identity standard is in § 47.1-2 (definitions), not §§ 47.1-13/47.1-16. Registration authority = § 47.1-7; standards = § 47.1-6.1.</w:t>
      </w:r>
    </w:p>
    <w:p>
      <w:pPr>
        <w:pStyle w:val="Heading2"/>
      </w:pPr>
      <w:r>
        <w:t xml:space="preserve">B2. Acknowledgment certificate forms — §§ 55.1-612, 55.1-618, 55.1-619</w:t>
      </w:r>
    </w:p>
    <w:p>
      <w:pPr>
        <w:spacing w:after="120"/>
      </w:pPr>
      <w:r>
        <w:rPr>
          <w:b/>
          <w:bCs/>
          <w:color w:val="0B6B3A"/>
        </w:rPr>
        <w:t xml:space="preserve">[VERIFIED] </w:t>
      </w:r>
      <w:r>
        <w:t xml:space="preserve">§ 55.1-612(1) supplies the statutory short-form individual acknowledgment certificate (substantial compliance suffices). The statute's exact form reads: </w:t>
      </w:r>
      <w:r>
        <w:rPr>
          <w:i/>
          <w:iCs/>
          <w:color w:val="555555"/>
        </w:rPr>
        <w:t xml:space="preserve">(§ 55.1-612; law.lis.virginia.gov/vacode/title55.1/chapter6/section55.1-612/)</w:t>
      </w:r>
    </w:p>
    <w:p>
      <w:pPr>
        <w:spacing w:after="120"/>
        <w:ind w:left="360"/>
      </w:pPr>
      <w:r>
        <w:rPr>
          <w:i/>
          <w:iCs/>
        </w:rPr>
        <w:t xml:space="preserve">“I, ________, clerk (or deputy clerk or a commissioner in chancery) of the ________ court, (or a notary public) for the county (or city) aforesaid, in the state (or territory or district) of ________, do certify that E.F., … whose name … is signed to the writing above … bearing date on the ______ day of ____, has acknowledged the same before me in my county (or city) aforesaid. Given under my hand this ______ day of ____.”</w:t>
      </w:r>
    </w:p>
    <w:p>
      <w:pPr>
        <w:spacing w:after="120"/>
      </w:pPr>
      <w:r>
        <w:rPr>
          <w:b/>
          <w:bCs/>
          <w:color w:val="0B6B3A"/>
        </w:rPr>
        <w:t xml:space="preserve">[VERIFIED] </w:t>
      </w:r>
      <w:r>
        <w:t xml:space="preserve">Alternatively, § 55.1-619(3) accepts any certificate that contains the words “acknowledged before me” or their substantial equivalent; § 55.1-618 states the substantive content the certifier must certify (the person appeared and acknowledged execution, and was known or satisfactorily identified). Both the § 55.1-612 long form and a “acknowledged before me” short form are statutorily acceptable. </w:t>
      </w:r>
      <w:r>
        <w:rPr>
          <w:i/>
          <w:iCs/>
          <w:color w:val="555555"/>
        </w:rPr>
        <w:t xml:space="preserve">(§§ 55.1-618, 55.1-619)</w:t>
      </w:r>
    </w:p>
    <w:p>
      <w:pPr>
        <w:spacing w:after="120"/>
      </w:pPr>
      <w:r>
        <w:rPr>
          <w:i/>
          <w:iCs/>
        </w:rPr>
        <w:t xml:space="preserve">Accuracy note: the bare “Commonwealth of Virginia, City/County of ___, acknowledged before me by [name]” caption is NOT the literal § 55.1-612 text — it is authorized by § 55.1-619(3). Seed both, attributed to the correct section.</w:t>
      </w:r>
    </w:p>
    <w:p>
      <w:pPr>
        <w:pStyle w:val="Heading2"/>
      </w:pPr>
      <w:r>
        <w:t xml:space="preserve">B3. Electronic / remote notarial certificate recitals — § 47.1-16</w:t>
      </w:r>
    </w:p>
    <w:p>
      <w:pPr>
        <w:spacing w:after="120"/>
      </w:pPr>
      <w:r>
        <w:rPr>
          <w:b/>
          <w:bCs/>
          <w:color w:val="0B6B3A"/>
        </w:rPr>
        <w:t xml:space="preserve">[VERIFIED] </w:t>
      </w:r>
      <w:r>
        <w:t xml:space="preserve">Beyond the universal date + county/city + state, an electronic/RON certificate must (a) state the county or city in Virginia where the notary was physically located at the time of the act, and (b) indicate whether the notarization was done in person or by remote online notarization; and the electronic signature/seal must be attached so that any later change to the document is evident (tamper-evident, independently verifiable). No physical/electronic seal image is required on an e-record. </w:t>
      </w:r>
      <w:r>
        <w:rPr>
          <w:i/>
          <w:iCs/>
          <w:color w:val="555555"/>
        </w:rPr>
        <w:t xml:space="preserve">(§ 47.1-16; and § 55.1-662(C) on the no-seal-image point)</w:t>
      </w:r>
    </w:p>
    <w:p>
      <w:pPr>
        <w:pStyle w:val="Heading2"/>
      </w:pPr>
      <w:r>
        <w:t xml:space="preserve">B4. Uniform Real Property Electronic Recording Act (URPERA) — §§ 55.1-661 to 55.1-665</w:t>
      </w:r>
    </w:p>
    <w:p>
      <w:pPr>
        <w:spacing w:after="120"/>
      </w:pPr>
      <w:r>
        <w:rPr>
          <w:b/>
          <w:bCs/>
          <w:color w:val="0B6B3A"/>
        </w:rPr>
        <w:t xml:space="preserve">[VERIFIED] </w:t>
      </w:r>
      <w:r>
        <w:t xml:space="preserve">URPERA makes an electronic land record satisfy any “original / paper / writing” precondition (§ 55.1-662(A)); an electronic signature satisfies any signature requirement (§ 55.1-662(B)); electronic notarization satisfies any notarization/acknowledgment requirement and no stamp/seal image is required (§ 55.1-662(C)). A clerk who implements an eRecording System must comply with VITA standards and must continue to accept paper, placing both in the same indices (§ 55.1-663). VITA develops the uniform standards in consultation with the clerks, considering PRIA standards (§ 55.1-664). </w:t>
      </w:r>
      <w:r>
        <w:rPr>
          <w:i/>
          <w:iCs/>
          <w:color w:val="555555"/>
        </w:rPr>
        <w:t xml:space="preserve">(§§ 55.1-661–664; law.lis.virginia.gov/vacode/title55.1/chapter6/)</w:t>
      </w:r>
    </w:p>
    <w:p>
      <w:pPr>
        <w:spacing w:after="120"/>
      </w:pPr>
      <w:r>
        <w:rPr>
          <w:b/>
          <w:bCs/>
          <w:color w:val="0B6B3A"/>
        </w:rPr>
        <w:t xml:space="preserve">[VERIFIED] </w:t>
      </w:r>
      <w:r>
        <w:t xml:space="preserve">A RON-notarized deed is recordable on the same legal footing as a paper-notarized deed — no special statutory barrier. The only practical caveats are mechanical: the receiving clerk must actually operate an eRecording System (e-recording is permissive, so not every office accepts it), submission goes through a designated provider/portal, and the e-certificate must carry the § 47.1-16 recitals. </w:t>
      </w:r>
      <w:r>
        <w:rPr>
          <w:i/>
          <w:iCs/>
          <w:color w:val="555555"/>
        </w:rPr>
        <w:t xml:space="preserve">(§§ 55.1-662, 55.1-663, 47.1-13(D))</w:t>
      </w:r>
    </w:p>
    <w:p>
      <w:pPr>
        <w:pStyle w:val="Heading2"/>
      </w:pPr>
      <w:r>
        <w:t xml:space="preserve">B5. E-recording standards &amp; submitter portals</w:t>
      </w:r>
    </w:p>
    <w:p>
      <w:pPr>
        <w:spacing w:after="120"/>
      </w:pPr>
      <w:r>
        <w:rPr>
          <w:b/>
          <w:bCs/>
          <w:color w:val="B00020"/>
        </w:rPr>
        <w:t xml:space="preserve">[UNVERIFIED] </w:t>
      </w:r>
      <w:r>
        <w:t xml:space="preserve">The accepted electronic document format(s) and technical metadata schema live in the VITA “Virginia Real Property Electronic Recording Standard” (the clerk must enter a filing agreement per § 17.1-258.3:1(A)). The specific standard document (reported as SEC505, eff. May 1, 2007) and its format/resolution requirements were NOT retrieved to a primary source; treat the SEC505 identifier and any format spec as unverified until the VITA document is fetched. The statutorily fixed metadata are the § 17.1-227.1 cover-sheet fields (grantor, grantee, consideration/value, exemption, PIN, return-to). “Instrument type, legal description, recording fees, prior-instrument reference” are practice/PRIA fields, not § 17.1-227.1 mandates. </w:t>
      </w:r>
      <w:r>
        <w:rPr>
          <w:i/>
          <w:iCs/>
          <w:color w:val="555555"/>
        </w:rPr>
        <w:t xml:space="preserve">(VITA standard unverified; § 17.1-258.3:1(A) verified)</w:t>
      </w:r>
    </w:p>
    <w:p>
      <w:pPr>
        <w:spacing w:after="120"/>
      </w:pPr>
      <w:r>
        <w:rPr>
          <w:b/>
          <w:bCs/>
          <w:color w:val="0B6B3A"/>
        </w:rPr>
        <w:t xml:space="preserve">[VERIFIED] </w:t>
      </w:r>
      <w:r>
        <w:t xml:space="preserve">Common submitter portals confirmed on official Virginia clerk pages: Simplifile, CSC (Corporation Service Company), and ePN (eRecording Partners Network). The Code names no vendor; it authorizes the clerk to contract with designated application service providers (§ 17.1-258.3:1(A)). </w:t>
      </w:r>
      <w:r>
        <w:rPr>
          <w:i/>
          <w:iCs/>
          <w:color w:val="555555"/>
        </w:rPr>
        <w:t xml:space="preserve">(official clerk pages; Indecomm/Kofile NOT confirmed as Virginia deed-submitter portals — do not seed them)</w:t>
      </w:r>
    </w:p>
    <w:p>
      <w:pPr>
        <w:pStyle w:val="Heading1"/>
      </w:pPr>
      <w:r>
        <w:t xml:space="preserve">Part C — The five localities</w:t>
      </w:r>
    </w:p>
    <w:p>
      <w:pPr>
        <w:spacing w:after="120"/>
      </w:pPr>
      <w:r>
        <w:rPr>
          <w:i/>
          <w:iCs/>
        </w:rPr>
        <w:t xml:space="preserve">Each locality entry states only what the official Circuit Court Clerk source confirms. Where the locality page is silent or client-rendered, the item is tagged [UNVERIFIED] and must stay fail-closed for that locality even though the statewide rule (Part A) presumptively governs.</w:t>
      </w:r>
    </w:p>
    <w:p>
      <w:pPr>
        <w:pStyle w:val="Heading2"/>
      </w:pPr>
      <w:r>
        <w:t xml:space="preserve">C1. Fairfax County  (strong source: CCR A-60 recordation requirements; CCR A-50 fee schedule)</w:t>
      </w:r>
    </w:p>
    <w:p>
      <w:pPr>
        <w:pStyle w:val="ListParagraph"/>
        <w:numPr>
          <w:ilvl w:val="0"/>
          <w:numId w:val="2"/>
        </w:numPr>
        <w:spacing w:after="60"/>
      </w:pPr>
      <w:r>
        <w:rPr>
          <w:b/>
          <w:bCs/>
          <w:color w:val="0B6B3A"/>
        </w:rPr>
        <w:t xml:space="preserve">[VERIFIED] </w:t>
      </w:r>
      <w:r>
        <w:rPr>
          <w:b/>
          <w:bCs/>
        </w:rPr>
        <w:t xml:space="preserve">Parcel ID: </w:t>
      </w:r>
      <w:r>
        <w:t xml:space="preserve">Tax Map number, required on the cover sheet to distinguish Fairfax County vs. Fairfax City property (§ 17.1-252). Obtain from the tax assessment notice or Dept. of Tax Administration.</w:t>
      </w:r>
    </w:p>
    <w:p>
      <w:pPr>
        <w:pStyle w:val="ListParagraph"/>
        <w:numPr>
          <w:ilvl w:val="0"/>
          <w:numId w:val="2"/>
        </w:numPr>
        <w:spacing w:after="60"/>
      </w:pPr>
      <w:r>
        <w:rPr>
          <w:b/>
          <w:bCs/>
          <w:color w:val="0B6B3A"/>
        </w:rPr>
        <w:t xml:space="preserve">[VERIFIED] </w:t>
      </w:r>
      <w:r>
        <w:rPr>
          <w:b/>
          <w:bCs/>
        </w:rPr>
        <w:t xml:space="preserve">Cover sheet: REQUIRED — and Fairfax uses its OWN barcoded cover sheet generated by its web app. Fairfax DOES NOT accept the generic statewide “Virginia Land Record Cover Sheet”. </w:t>
      </w:r>
      <w:r>
        <w:rPr>
          <w:i/>
          <w:iCs/>
        </w:rPr>
        <w:t xml:space="preserve">(This is the standout Fairfax quirk — carry it prominently.)</w:t>
      </w:r>
    </w:p>
    <w:p>
      <w:pPr>
        <w:pStyle w:val="ListParagraph"/>
        <w:numPr>
          <w:ilvl w:val="0"/>
          <w:numId w:val="2"/>
        </w:numPr>
        <w:spacing w:after="60"/>
      </w:pPr>
      <w:r>
        <w:rPr>
          <w:b/>
          <w:bCs/>
          <w:color w:val="0B6B3A"/>
        </w:rPr>
        <w:t xml:space="preserve">[VERIFIED] </w:t>
      </w:r>
      <w:r>
        <w:rPr>
          <w:b/>
          <w:bCs/>
        </w:rPr>
        <w:t xml:space="preserve">First page: </w:t>
      </w:r>
      <w:r>
        <w:t xml:space="preserve">grantee's current address in the left margin; consideration (and assumption balance if any) in the left margin; exemption code on the first page; refinance DOTs need a first-page refinance statement citing the book/page where the original-debt tax was paid (§ 58.1-803(E)).</w:t>
      </w:r>
    </w:p>
    <w:p>
      <w:pPr>
        <w:pStyle w:val="ListParagraph"/>
        <w:numPr>
          <w:ilvl w:val="0"/>
          <w:numId w:val="2"/>
        </w:numPr>
        <w:spacing w:after="60"/>
      </w:pPr>
      <w:r>
        <w:rPr>
          <w:b/>
          <w:bCs/>
          <w:color w:val="0B6B3A"/>
        </w:rPr>
        <w:t xml:space="preserve">[VERIFIED] </w:t>
      </w:r>
      <w:r>
        <w:rPr>
          <w:b/>
          <w:bCs/>
        </w:rPr>
        <w:t xml:space="preserve">Formatting Fairfax enforces: </w:t>
      </w:r>
      <w:r>
        <w:t xml:space="preserve">margins min 1″ top/left/bottom, 0.5″ right; paper 8.5×11 to 8.5×14, white unglazed, black print 9-pt+; original signatures, dark blue or black ink, notarized, names printed beneath; NO red/highlighter ink, NO SSNs; trustee full address for trusts (§ 55.1-317).</w:t>
      </w:r>
    </w:p>
    <w:p>
      <w:pPr>
        <w:pStyle w:val="ListParagraph"/>
        <w:numPr>
          <w:ilvl w:val="0"/>
          <w:numId w:val="2"/>
        </w:numPr>
        <w:spacing w:after="60"/>
      </w:pPr>
      <w:r>
        <w:rPr>
          <w:b/>
          <w:bCs/>
          <w:color w:val="0B6B3A"/>
        </w:rPr>
        <w:t xml:space="preserve">[VERIFIED] </w:t>
      </w:r>
      <w:r>
        <w:rPr>
          <w:b/>
          <w:bCs/>
        </w:rPr>
        <w:t xml:space="preserve">E-recording: </w:t>
      </w:r>
      <w:r>
        <w:t xml:space="preserve">yes — Fairfax operates its OWN Electronic Filing System (EFS); all land-record types except multi-jurisdiction docs and docs with highway plats. $5 eRecording fee (§ 17.1-258.3:1), waived for multi-jurisdiction.</w:t>
      </w:r>
    </w:p>
    <w:p>
      <w:pPr>
        <w:pStyle w:val="ListParagraph"/>
        <w:numPr>
          <w:ilvl w:val="0"/>
          <w:numId w:val="2"/>
        </w:numPr>
        <w:spacing w:after="60"/>
      </w:pPr>
      <w:r>
        <w:rPr>
          <w:b/>
          <w:bCs/>
          <w:color w:val="0B6B3A"/>
        </w:rPr>
        <w:t xml:space="preserve">[VERIFIED] </w:t>
      </w:r>
      <w:r>
        <w:rPr>
          <w:b/>
          <w:bCs/>
        </w:rPr>
        <w:t xml:space="preserve">Fees (CCR A-50, eff. 7/1/2025): </w:t>
      </w:r>
      <w:r>
        <w:t xml:space="preserve">clerk's fee $23 (1–10 pp) / $37 (11–30) / $57 (31+); deed processing fee $20; open-space fee $3; state tax $0.25/$100; local tax $0.083/$100 (§ 58.1-3800); grantor tax $0.50/$500; Regional Congestion Relief $0.10/$100 (§ 58.1-802.4); WMATA Capital Fee $0.10/$100 (§ 58.1-802.3); $1 transfer fee (§ 58.1-3314(3)).</w:t>
      </w:r>
    </w:p>
    <w:p>
      <w:pPr>
        <w:pStyle w:val="ListParagraph"/>
        <w:numPr>
          <w:ilvl w:val="0"/>
          <w:numId w:val="2"/>
        </w:numPr>
        <w:spacing w:after="60"/>
      </w:pPr>
      <w:r>
        <w:rPr>
          <w:b/>
          <w:bCs/>
          <w:color w:val="B00020"/>
        </w:rPr>
        <w:t xml:space="preserve">[UNVERIFIED] </w:t>
      </w:r>
      <w:r>
        <w:rPr>
          <w:b/>
          <w:bCs/>
        </w:rPr>
        <w:t xml:space="preserve">Pre-recording GIS/assessment stamp: </w:t>
      </w:r>
      <w:r>
        <w:t xml:space="preserve">NOT found on the Fairfax source — Fairfax enforces the Tax Map number via its cover sheet, not a separate pre-record stamp. Do not seed a pre-record stamp requirement; confirm with the clerk if it becomes load-bearing.</w:t>
      </w:r>
    </w:p>
    <w:p>
      <w:pPr>
        <w:spacing w:after="120"/>
      </w:pPr>
      <w:r>
        <w:rPr>
          <w:i/>
          <w:iCs/>
          <w:color w:val="555555"/>
        </w:rPr>
        <w:t xml:space="preserve">Sources: fairfaxcounty.gov/circuit land-records recordation-requirements PDF; fees-land-records PDF; general-information; cover-sheet app.</w:t>
      </w:r>
    </w:p>
    <w:p>
      <w:pPr>
        <w:pStyle w:val="Heading2"/>
      </w:pPr>
      <w:r>
        <w:t xml:space="preserve">C2. City of Alexandria  (strong source: Recordation Tax page; land-records page defers to statewide tools)</w:t>
      </w:r>
    </w:p>
    <w:p>
      <w:pPr>
        <w:pStyle w:val="ListParagraph"/>
        <w:numPr>
          <w:ilvl w:val="0"/>
          <w:numId w:val="2"/>
        </w:numPr>
        <w:spacing w:after="60"/>
      </w:pPr>
      <w:r>
        <w:rPr>
          <w:b/>
          <w:bCs/>
          <w:color w:val="B00020"/>
        </w:rPr>
        <w:t xml:space="preserve">[UNVERIFIED] </w:t>
      </w:r>
      <w:r>
        <w:rPr>
          <w:b/>
          <w:bCs/>
        </w:rPr>
        <w:t xml:space="preserve">Parcel ID: </w:t>
      </w:r>
      <w:r>
        <w:t xml:space="preserve">Tax Map / Parcel ID (used by the city's deed-alert and Real Estate Assessments office), but the official land-records page does not publish the exact format or an on-deed placement rule — unverified to the Alexandria source (statewide § 17.1-252 governs).</w:t>
      </w:r>
    </w:p>
    <w:p>
      <w:pPr>
        <w:pStyle w:val="ListParagraph"/>
        <w:numPr>
          <w:ilvl w:val="0"/>
          <w:numId w:val="2"/>
        </w:numPr>
        <w:spacing w:after="60"/>
      </w:pPr>
      <w:r>
        <w:rPr>
          <w:b/>
          <w:bCs/>
          <w:color w:val="B00020"/>
        </w:rPr>
        <w:t xml:space="preserve">[UNVERIFIED] </w:t>
      </w:r>
      <w:r>
        <w:rPr>
          <w:b/>
          <w:bCs/>
        </w:rPr>
        <w:t xml:space="preserve">Cover sheet: </w:t>
      </w:r>
      <w:r>
        <w:t xml:space="preserve">NOT addressed on the Alexandria land-records page; neither required-nor-provided is stated. Stays fail-closed for Alexandria until confirmed (statewide § 17.1-227.1 default applies but the city is silent).</w:t>
      </w:r>
    </w:p>
    <w:p>
      <w:pPr>
        <w:pStyle w:val="ListParagraph"/>
        <w:numPr>
          <w:ilvl w:val="0"/>
          <w:numId w:val="2"/>
        </w:numPr>
        <w:spacing w:after="60"/>
      </w:pPr>
      <w:r>
        <w:rPr>
          <w:b/>
          <w:bCs/>
          <w:color w:val="B00020"/>
        </w:rPr>
        <w:t xml:space="preserve">[UNVERIFIED] </w:t>
      </w:r>
      <w:r>
        <w:rPr>
          <w:b/>
          <w:bCs/>
        </w:rPr>
        <w:t xml:space="preserve">First-page formatting: </w:t>
      </w:r>
      <w:r>
        <w:t xml:space="preserve">no Alexandria-specific checklist published; the city defers to the statewide tools. Unverified to the locality source.</w:t>
      </w:r>
    </w:p>
    <w:p>
      <w:pPr>
        <w:pStyle w:val="ListParagraph"/>
        <w:numPr>
          <w:ilvl w:val="0"/>
          <w:numId w:val="2"/>
        </w:numPr>
        <w:spacing w:after="60"/>
      </w:pPr>
      <w:r>
        <w:rPr>
          <w:b/>
          <w:bCs/>
          <w:color w:val="0B6B3A"/>
        </w:rPr>
        <w:t xml:space="preserve">[VERIFIED] </w:t>
      </w:r>
      <w:r>
        <w:rPr>
          <w:b/>
          <w:bCs/>
        </w:rPr>
        <w:t xml:space="preserve">E-recording: </w:t>
      </w:r>
      <w:r>
        <w:t xml:space="preserve">yes — via CSC E-Recording or Simplifile (account required). (ePN not listed.)</w:t>
      </w:r>
    </w:p>
    <w:p>
      <w:pPr>
        <w:pStyle w:val="ListParagraph"/>
        <w:numPr>
          <w:ilvl w:val="0"/>
          <w:numId w:val="2"/>
        </w:numPr>
        <w:spacing w:after="60"/>
      </w:pPr>
      <w:r>
        <w:rPr>
          <w:b/>
          <w:bCs/>
          <w:color w:val="0B6B3A"/>
        </w:rPr>
        <w:t xml:space="preserve">[VERIFIED] </w:t>
      </w:r>
      <w:r>
        <w:rPr>
          <w:b/>
          <w:bCs/>
        </w:rPr>
        <w:t xml:space="preserve">Recordation tax (best-documented Alexandria item): </w:t>
      </w:r>
      <w:r>
        <w:t xml:space="preserve">state $0.25/$100 of price or FMV (greater), paid by purchaser; CITY tax an additional 1/3 of state = $0.083/$100; grantor tax $0.50/$500 excluding liens, PLUS the NoVA regional grantor add-on of $0.10/$100 (§ 58.1-802.3). “No deed is recorded without payment of the tax.”</w:t>
      </w:r>
    </w:p>
    <w:p>
      <w:pPr>
        <w:pStyle w:val="ListParagraph"/>
        <w:numPr>
          <w:ilvl w:val="0"/>
          <w:numId w:val="2"/>
        </w:numPr>
        <w:spacing w:after="60"/>
      </w:pPr>
      <w:r>
        <w:rPr>
          <w:b/>
          <w:bCs/>
          <w:color w:val="0B6B3A"/>
        </w:rPr>
        <w:t xml:space="preserve">[VERIFIED] </w:t>
      </w:r>
      <w:r>
        <w:rPr>
          <w:b/>
          <w:bCs/>
        </w:rPr>
        <w:t xml:space="preserve">Fees: </w:t>
      </w:r>
      <w:r>
        <w:t xml:space="preserve">the land-records page links out to the statewide Virginia Courts Deed Fee Calculator and the Circuit Court Deed Fee Schedule (Appendix C); copy $0.50/page, certification $2. Itemized local line fees are not on the Alexandria page — use the statewide schedule.</w:t>
      </w:r>
    </w:p>
    <w:p>
      <w:pPr>
        <w:pStyle w:val="ListParagraph"/>
        <w:numPr>
          <w:ilvl w:val="0"/>
          <w:numId w:val="2"/>
        </w:numPr>
        <w:spacing w:after="60"/>
      </w:pPr>
      <w:r>
        <w:rPr>
          <w:b/>
          <w:bCs/>
          <w:color w:val="0B6B3A"/>
        </w:rPr>
        <w:t xml:space="preserve">[VERIFIED] </w:t>
      </w:r>
      <w:r>
        <w:rPr>
          <w:b/>
          <w:bCs/>
        </w:rPr>
        <w:t xml:space="preserve">Submission: </w:t>
      </w:r>
      <w:r>
        <w:t xml:space="preserve">Clerk of Circuit Court, 520 King Street, Room 307, Alexandria 22314; counter 8–3 Mon–Fri; mail; or CSC/Simplifile.</w:t>
      </w:r>
    </w:p>
    <w:p>
      <w:pPr>
        <w:spacing w:after="120"/>
      </w:pPr>
      <w:r>
        <w:rPr>
          <w:i/>
          <w:iCs/>
          <w:color w:val="555555"/>
        </w:rPr>
        <w:t xml:space="preserve">Sources: alexandriava.gov/courts clerk-of-circuit-courts-land-records; alexandriava.gov/real-estate/recordation-tax.</w:t>
      </w:r>
    </w:p>
    <w:p>
      <w:pPr>
        <w:pStyle w:val="Heading2"/>
      </w:pPr>
      <w:r>
        <w:t xml:space="preserve">C3. Arlington County  (also records City of Falls Church)</w:t>
      </w:r>
    </w:p>
    <w:p>
      <w:pPr>
        <w:pStyle w:val="ListParagraph"/>
        <w:numPr>
          <w:ilvl w:val="0"/>
          <w:numId w:val="2"/>
        </w:numPr>
        <w:spacing w:after="60"/>
      </w:pPr>
      <w:r>
        <w:rPr>
          <w:b/>
          <w:bCs/>
          <w:color w:val="0B6B3A"/>
        </w:rPr>
        <w:t xml:space="preserve">[VERIFIED] </w:t>
      </w:r>
      <w:r>
        <w:rPr>
          <w:b/>
          <w:bCs/>
        </w:rPr>
        <w:t xml:space="preserve">Parcel ID: RPC (Real Property Code), 8 digits. </w:t>
      </w:r>
      <w:r>
        <w:t xml:space="preserve">Look up via Arlington Real Estate Assessments property search (or the Falls Church database for Falls Church property).</w:t>
      </w:r>
    </w:p>
    <w:p>
      <w:pPr>
        <w:pStyle w:val="ListParagraph"/>
        <w:numPr>
          <w:ilvl w:val="0"/>
          <w:numId w:val="2"/>
        </w:numPr>
        <w:spacing w:after="60"/>
      </w:pPr>
      <w:r>
        <w:rPr>
          <w:b/>
          <w:bCs/>
          <w:color w:val="0B6B3A"/>
        </w:rPr>
        <w:t xml:space="preserve">[VERIFIED] </w:t>
      </w:r>
      <w:r>
        <w:rPr>
          <w:b/>
          <w:bCs/>
        </w:rPr>
        <w:t xml:space="preserve">Cover sheet: NOT required — since January 19, 2016. </w:t>
      </w:r>
      <w:r>
        <w:rPr>
          <w:i/>
          <w:iCs/>
        </w:rPr>
        <w:t xml:space="preserve">(The opposite of Fairfax — a key delta to carry.)</w:t>
      </w:r>
    </w:p>
    <w:p>
      <w:pPr>
        <w:pStyle w:val="ListParagraph"/>
        <w:numPr>
          <w:ilvl w:val="0"/>
          <w:numId w:val="2"/>
        </w:numPr>
        <w:spacing w:after="60"/>
      </w:pPr>
      <w:r>
        <w:rPr>
          <w:b/>
          <w:bCs/>
          <w:color w:val="0B6B3A"/>
        </w:rPr>
        <w:t xml:space="preserve">[VERIFIED] </w:t>
      </w:r>
      <w:r>
        <w:rPr>
          <w:b/>
          <w:bCs/>
        </w:rPr>
        <w:t xml:space="preserve">First page (Arlington enforces): </w:t>
      </w:r>
      <w:r>
        <w:t xml:space="preserve">mandatory preparer statement — a deed of ≤4 residential units must state on the first page that it was prepared by the owner or a Virginia-licensed attorney, and if by an attorney, include the attorney's name and VSB number; AND a preparer contact phone number on the first page of all documents.</w:t>
      </w:r>
    </w:p>
    <w:p>
      <w:pPr>
        <w:pStyle w:val="ListParagraph"/>
        <w:numPr>
          <w:ilvl w:val="0"/>
          <w:numId w:val="2"/>
        </w:numPr>
        <w:spacing w:after="60"/>
      </w:pPr>
      <w:r>
        <w:rPr>
          <w:b/>
          <w:bCs/>
          <w:color w:val="B00020"/>
        </w:rPr>
        <w:t xml:space="preserve">[UNVERIFIED] </w:t>
      </w:r>
      <w:r>
        <w:rPr>
          <w:b/>
          <w:bCs/>
        </w:rPr>
        <w:t xml:space="preserve">Margins/return-address numerics: </w:t>
      </w:r>
      <w:r>
        <w:t xml:space="preserve">not itemized on the Arlington source (it defers to the Code of Virginia generally). Unverified to the locality source.</w:t>
      </w:r>
    </w:p>
    <w:p>
      <w:pPr>
        <w:pStyle w:val="ListParagraph"/>
        <w:numPr>
          <w:ilvl w:val="0"/>
          <w:numId w:val="2"/>
        </w:numPr>
        <w:spacing w:after="60"/>
      </w:pPr>
      <w:r>
        <w:rPr>
          <w:b/>
          <w:bCs/>
          <w:color w:val="0B6B3A"/>
        </w:rPr>
        <w:t xml:space="preserve">[VERIFIED] </w:t>
      </w:r>
      <w:r>
        <w:rPr>
          <w:b/>
          <w:bCs/>
        </w:rPr>
        <w:t xml:space="preserve">E-recording: </w:t>
      </w:r>
      <w:r>
        <w:t xml:space="preserve">yes — Simplifile and CSC. (ePN not listed.)</w:t>
      </w:r>
    </w:p>
    <w:p>
      <w:pPr>
        <w:pStyle w:val="ListParagraph"/>
        <w:numPr>
          <w:ilvl w:val="0"/>
          <w:numId w:val="2"/>
        </w:numPr>
        <w:spacing w:after="60"/>
      </w:pPr>
      <w:r>
        <w:rPr>
          <w:b/>
          <w:bCs/>
          <w:color w:val="B00020"/>
        </w:rPr>
        <w:t xml:space="preserve">[UNVERIFIED] </w:t>
      </w:r>
      <w:r>
        <w:rPr>
          <w:b/>
          <w:bCs/>
        </w:rPr>
        <w:t xml:space="preserve">Fees: </w:t>
      </w:r>
      <w:r>
        <w:t xml:space="preserve">Arlington publishes no granular dollar fee schedule — it routes to the statewide deed calculator; copies $0.50/page (+$2 certification). Third-party figures ($20 deed processing, $14.50 clerk fee) are NOT on the official page — do not seed those numbers.</w:t>
      </w:r>
    </w:p>
    <w:p>
      <w:pPr>
        <w:pStyle w:val="ListParagraph"/>
        <w:numPr>
          <w:ilvl w:val="0"/>
          <w:numId w:val="2"/>
        </w:numPr>
        <w:spacing w:after="60"/>
      </w:pPr>
      <w:r>
        <w:rPr>
          <w:b/>
          <w:bCs/>
          <w:color w:val="B00020"/>
        </w:rPr>
        <w:t xml:space="preserve">[UNVERIFIED] </w:t>
      </w:r>
      <w:r>
        <w:rPr>
          <w:b/>
          <w:bCs/>
        </w:rPr>
        <w:t xml:space="preserve">Local + regional taxes: </w:t>
      </w:r>
      <w:r>
        <w:t xml:space="preserve">apply by statute (Arlington is NoVA) but are not restated on the Arlington page — unverified to the locality source; use the verified Alexandria/Fairfax/PWC statements for the regional rates.</w:t>
      </w:r>
    </w:p>
    <w:p>
      <w:pPr>
        <w:pStyle w:val="ListParagraph"/>
        <w:numPr>
          <w:ilvl w:val="0"/>
          <w:numId w:val="2"/>
        </w:numPr>
        <w:spacing w:after="60"/>
      </w:pPr>
      <w:r>
        <w:rPr>
          <w:b/>
          <w:bCs/>
          <w:color w:val="0B6B3A"/>
        </w:rPr>
        <w:t xml:space="preserve">[VERIFIED] </w:t>
      </w:r>
      <w:r>
        <w:rPr>
          <w:b/>
          <w:bCs/>
        </w:rPr>
        <w:t xml:space="preserve">Submission: </w:t>
      </w:r>
      <w:r>
        <w:t xml:space="preserve">Land Records Division, 1425 N. Courthouse Rd, Suite 6200, Arlington 22201; walk-in Mon–Fri 8–4; checks payable to “Clerk, Arlington Circuit Court.” Arlington also records Falls Church land records.</w:t>
      </w:r>
    </w:p>
    <w:p>
      <w:pPr>
        <w:spacing w:after="120"/>
      </w:pPr>
      <w:r>
        <w:rPr>
          <w:i/>
          <w:iCs/>
          <w:color w:val="555555"/>
        </w:rPr>
        <w:t xml:space="preserve">Sources: arlingtonva.us Circuit Court Land Records Services + FAQs + Forms pages.</w:t>
      </w:r>
    </w:p>
    <w:p>
      <w:pPr>
        <w:pStyle w:val="Heading2"/>
      </w:pPr>
      <w:r>
        <w:t xml:space="preserve">C4. Loudoun County  (strong source: official Land Records Instruments Recording Requirements PDF, Oct 2019)</w:t>
      </w:r>
    </w:p>
    <w:p>
      <w:pPr>
        <w:pStyle w:val="ListParagraph"/>
        <w:numPr>
          <w:ilvl w:val="0"/>
          <w:numId w:val="2"/>
        </w:numPr>
        <w:spacing w:after="60"/>
      </w:pPr>
      <w:r>
        <w:rPr>
          <w:b/>
          <w:bCs/>
          <w:color w:val="0B6B3A"/>
        </w:rPr>
        <w:t xml:space="preserve">[VERIFIED] </w:t>
      </w:r>
      <w:r>
        <w:rPr>
          <w:b/>
          <w:bCs/>
        </w:rPr>
        <w:t xml:space="preserve">Parcel ID: GPIN, 12-digit format xxx-xx-xxxx-xxx, </w:t>
      </w:r>
      <w:r>
        <w:t xml:space="preserve">required on all deeds (§ 17.1-252). Loudoun's clerk PDF uses “GPIN,” not “PIN/MCPI” — seed “GPIN, 12-digit.” Obtain from the county assessment database.</w:t>
      </w:r>
    </w:p>
    <w:p>
      <w:pPr>
        <w:pStyle w:val="ListParagraph"/>
        <w:numPr>
          <w:ilvl w:val="0"/>
          <w:numId w:val="2"/>
        </w:numPr>
        <w:spacing w:after="60"/>
      </w:pPr>
      <w:r>
        <w:rPr>
          <w:b/>
          <w:bCs/>
          <w:color w:val="0B6B3A"/>
        </w:rPr>
        <w:t xml:space="preserve">[VERIFIED] </w:t>
      </w:r>
      <w:r>
        <w:rPr>
          <w:b/>
          <w:bCs/>
        </w:rPr>
        <w:t xml:space="preserve">Cover sheet: NOT required (§ 17.1-227.1); </w:t>
      </w:r>
      <w:r>
        <w:t xml:space="preserve">if one is included it counts as an added page for fees.</w:t>
      </w:r>
    </w:p>
    <w:p>
      <w:pPr>
        <w:pStyle w:val="ListParagraph"/>
        <w:numPr>
          <w:ilvl w:val="0"/>
          <w:numId w:val="2"/>
        </w:numPr>
        <w:spacing w:after="60"/>
      </w:pPr>
      <w:r>
        <w:rPr>
          <w:b/>
          <w:bCs/>
          <w:color w:val="0B6B3A"/>
        </w:rPr>
        <w:t xml:space="preserve">[VERIFIED] </w:t>
      </w:r>
      <w:r>
        <w:rPr>
          <w:b/>
          <w:bCs/>
        </w:rPr>
        <w:t xml:space="preserve">First page (Loudoun enforces): </w:t>
      </w:r>
      <w:r>
        <w:t xml:space="preserve">consideration on the first page (§ 58.1-802A) AND the current fair market / assessed value for deeds conveying real property; exemption codes on the first page; grantee's address required; parties legible and identified by role; original signatures in dark blue/black ink, properly acknowledged; legal description and Loudoun jurisdiction stated; DOTs name a Virginia trustee with full address.</w:t>
      </w:r>
    </w:p>
    <w:p>
      <w:pPr>
        <w:pStyle w:val="ListParagraph"/>
        <w:numPr>
          <w:ilvl w:val="0"/>
          <w:numId w:val="2"/>
        </w:numPr>
        <w:spacing w:after="60"/>
      </w:pPr>
      <w:r>
        <w:rPr>
          <w:b/>
          <w:bCs/>
          <w:color w:val="0B6B3A"/>
        </w:rPr>
        <w:t xml:space="preserve">[VERIFIED] </w:t>
      </w:r>
      <w:r>
        <w:rPr>
          <w:b/>
          <w:bCs/>
        </w:rPr>
        <w:t xml:space="preserve">Appraisal quirk: </w:t>
      </w:r>
      <w:r>
        <w:t xml:space="preserve">if an appraisal sets “actual value,” the draft deed must be submitted at least 3 business days before recording (to the land-records email) and must list all three values — consideration, assessment, and appraisal.</w:t>
      </w:r>
    </w:p>
    <w:p>
      <w:pPr>
        <w:pStyle w:val="ListParagraph"/>
        <w:numPr>
          <w:ilvl w:val="0"/>
          <w:numId w:val="2"/>
        </w:numPr>
        <w:spacing w:after="60"/>
      </w:pPr>
      <w:r>
        <w:rPr>
          <w:b/>
          <w:bCs/>
          <w:color w:val="B00020"/>
        </w:rPr>
        <w:t xml:space="preserve">[UNVERIFIED] </w:t>
      </w:r>
      <w:r>
        <w:rPr>
          <w:b/>
          <w:bCs/>
        </w:rPr>
        <w:t xml:space="preserve">Margin/font numerics for deeds: </w:t>
      </w:r>
      <w:r>
        <w:t xml:space="preserve">not published (Loudoun relies on the Library of Virginia standards 17VAC15-61). E-recording vendor NAMES not listed (page says only “authorized e-recording provider(s)”). Itemized per-page/tax numbers not restated (defers to the state Appendix-C schedule + Deed Calculator). All unverified to the locality source on those specific points.</w:t>
      </w:r>
    </w:p>
    <w:p>
      <w:pPr>
        <w:pStyle w:val="ListParagraph"/>
        <w:numPr>
          <w:ilvl w:val="0"/>
          <w:numId w:val="2"/>
        </w:numPr>
        <w:spacing w:after="60"/>
      </w:pPr>
      <w:r>
        <w:rPr>
          <w:b/>
          <w:bCs/>
          <w:color w:val="0B6B3A"/>
        </w:rPr>
        <w:t xml:space="preserve">[VERIFIED] </w:t>
      </w:r>
      <w:r>
        <w:rPr>
          <w:b/>
          <w:bCs/>
        </w:rPr>
        <w:t xml:space="preserve">Other quirks: </w:t>
      </w:r>
      <w:r>
        <w:t xml:space="preserve">electronically notarized documents accepted ONLY via e-recording; subdivision plats must be approved within the last 6 months; no SSNs (auto-reject, § 17.1-227); separately executed instruments recorded separately; Loudoun won't record its own certified copies. Fee overage accepted up to $24.99.</w:t>
      </w:r>
    </w:p>
    <w:p>
      <w:pPr>
        <w:pStyle w:val="ListParagraph"/>
        <w:numPr>
          <w:ilvl w:val="0"/>
          <w:numId w:val="2"/>
        </w:numPr>
        <w:spacing w:after="60"/>
      </w:pPr>
      <w:r>
        <w:rPr>
          <w:b/>
          <w:bCs/>
          <w:color w:val="0B6B3A"/>
        </w:rPr>
        <w:t xml:space="preserve">[VERIFIED] </w:t>
      </w:r>
      <w:r>
        <w:rPr>
          <w:b/>
          <w:bCs/>
        </w:rPr>
        <w:t xml:space="preserve">Submission: </w:t>
      </w:r>
      <w:r>
        <w:t xml:space="preserve">18 E. Market Street, Leesburg 20176 (mail: P.O. Box 550, Leesburg 20178); Mon–Fri 8–4; self-addressed prepaid return package required.</w:t>
      </w:r>
    </w:p>
    <w:p>
      <w:pPr>
        <w:spacing w:after="120"/>
      </w:pPr>
      <w:r>
        <w:rPr>
          <w:i/>
          <w:iCs/>
          <w:color w:val="555555"/>
        </w:rPr>
        <w:t xml:space="preserve">Sources: loudoun.gov/1156 Recording-Land-Records; Loudoun recording-requirements PDF (Oct 2019).</w:t>
      </w:r>
    </w:p>
    <w:p>
      <w:pPr>
        <w:pStyle w:val="Heading2"/>
      </w:pPr>
      <w:r>
        <w:t xml:space="preserve">C5. Prince William County  (strong source: full itemized Land Records Fees page; eRecording page)</w:t>
      </w:r>
    </w:p>
    <w:p>
      <w:pPr>
        <w:pStyle w:val="ListParagraph"/>
        <w:numPr>
          <w:ilvl w:val="0"/>
          <w:numId w:val="2"/>
        </w:numPr>
        <w:spacing w:after="60"/>
      </w:pPr>
      <w:r>
        <w:rPr>
          <w:b/>
          <w:bCs/>
          <w:color w:val="0B6B3A"/>
        </w:rPr>
        <w:t xml:space="preserve">[VERIFIED] </w:t>
      </w:r>
      <w:r>
        <w:rPr>
          <w:b/>
          <w:bCs/>
        </w:rPr>
        <w:t xml:space="preserve">Parcel ID: GPIN = “Grid Parcel Identification Number” </w:t>
      </w:r>
      <w:r>
        <w:t xml:space="preserve">(centroid-based on the county grid), example format “7496-12-8754” (xxxx-xx-xxxx). Note: “Grid,” not “Geographic.” Obtain from Real Estate Assessments / GIS County Mapper.</w:t>
      </w:r>
    </w:p>
    <w:p>
      <w:pPr>
        <w:pStyle w:val="ListParagraph"/>
        <w:numPr>
          <w:ilvl w:val="0"/>
          <w:numId w:val="2"/>
        </w:numPr>
        <w:spacing w:after="60"/>
      </w:pPr>
      <w:r>
        <w:rPr>
          <w:b/>
          <w:bCs/>
          <w:color w:val="B00020"/>
        </w:rPr>
        <w:t xml:space="preserve">[UNVERIFIED] </w:t>
      </w:r>
      <w:r>
        <w:rPr>
          <w:b/>
          <w:bCs/>
        </w:rPr>
        <w:t xml:space="preserve">Cover sheet: </w:t>
      </w:r>
      <w:r>
        <w:t xml:space="preserve">not established — the PWC “Recording Standards” / “Indexing Guidelines” FAQ answers are JavaScript-rendered and did not return on plain fetch. Stays fail-closed for PWC until confirmed (capture via a JS-rendering browser session or phone the clerk).</w:t>
      </w:r>
    </w:p>
    <w:p>
      <w:pPr>
        <w:pStyle w:val="ListParagraph"/>
        <w:numPr>
          <w:ilvl w:val="0"/>
          <w:numId w:val="2"/>
        </w:numPr>
        <w:spacing w:after="60"/>
      </w:pPr>
      <w:r>
        <w:rPr>
          <w:b/>
          <w:bCs/>
          <w:color w:val="B00020"/>
        </w:rPr>
        <w:t xml:space="preserve">[UNVERIFIED] </w:t>
      </w:r>
      <w:r>
        <w:rPr>
          <w:b/>
          <w:bCs/>
        </w:rPr>
        <w:t xml:space="preserve">First-page formatting: </w:t>
      </w:r>
      <w:r>
        <w:t xml:space="preserve">PWC adopts the Library of Virginia standards (17VAC15-61) and will not record any document containing an SSN (§ 17.1-227), but the granular first-page items are not itemized in readable text on the page. Unverified to the locality source on the specifics.</w:t>
      </w:r>
    </w:p>
    <w:p>
      <w:pPr>
        <w:pStyle w:val="ListParagraph"/>
        <w:numPr>
          <w:ilvl w:val="0"/>
          <w:numId w:val="2"/>
        </w:numPr>
        <w:spacing w:after="60"/>
      </w:pPr>
      <w:r>
        <w:rPr>
          <w:b/>
          <w:bCs/>
          <w:color w:val="0B6B3A"/>
        </w:rPr>
        <w:t xml:space="preserve">[VERIFIED] </w:t>
      </w:r>
      <w:r>
        <w:rPr>
          <w:b/>
          <w:bCs/>
        </w:rPr>
        <w:t xml:space="preserve">E-recording: </w:t>
      </w:r>
      <w:r>
        <w:t xml:space="preserve">yes — all documents except plats; named providers Simplifile, ePN (goEPN), and CSC. Plats cannot be e-recorded (paper only).</w:t>
      </w:r>
    </w:p>
    <w:p>
      <w:pPr>
        <w:pStyle w:val="ListParagraph"/>
        <w:numPr>
          <w:ilvl w:val="0"/>
          <w:numId w:val="2"/>
        </w:numPr>
        <w:spacing w:after="60"/>
      </w:pPr>
      <w:r>
        <w:rPr>
          <w:b/>
          <w:bCs/>
          <w:color w:val="0B6B3A"/>
        </w:rPr>
        <w:t xml:space="preserve">[VERIFIED] </w:t>
      </w:r>
      <w:r>
        <w:rPr>
          <w:b/>
          <w:bCs/>
        </w:rPr>
        <w:t xml:space="preserve">Fees (full itemized official table): </w:t>
      </w:r>
      <w:r>
        <w:t xml:space="preserve">state tax $0.25/$100 (refinance $0.18/$100); local tax 1/3 of state (§ 58.1-3800); grantor tax $0.50/$500; Regional Congestion Relief $0.10/$100 (§ 58.1-802.4); WMATA Fee $0.10/$100 (§ 58.1-802.3); clerk's fee $23/$37/$57; transfer fee $1; Technology Trust Fund $5; deed processing $20; open-space $3; paper filing fee $5/instrument; copies $0.50/page, certification $2, exemplified $2.50.</w:t>
      </w:r>
    </w:p>
    <w:p>
      <w:pPr>
        <w:pStyle w:val="ListParagraph"/>
        <w:numPr>
          <w:ilvl w:val="0"/>
          <w:numId w:val="2"/>
        </w:numPr>
        <w:spacing w:after="60"/>
      </w:pPr>
      <w:r>
        <w:rPr>
          <w:b/>
          <w:bCs/>
          <w:color w:val="0B6B3A"/>
        </w:rPr>
        <w:t xml:space="preserve">[VERIFIED] </w:t>
      </w:r>
      <w:r>
        <w:rPr>
          <w:b/>
          <w:bCs/>
        </w:rPr>
        <w:t xml:space="preserve">GPIN lifecycle quirk (drafting risk): </w:t>
      </w:r>
      <w:r>
        <w:t xml:space="preserve">when a parcel's boundaries change, the old GPIN ceases and a new one is assigned only AFTER the approved plat is recorded and GIS updates (can take several weeks) — a freshly subdivided parcel may not yet have a stable GPIN.</w:t>
      </w:r>
    </w:p>
    <w:p>
      <w:pPr>
        <w:pStyle w:val="ListParagraph"/>
        <w:numPr>
          <w:ilvl w:val="0"/>
          <w:numId w:val="2"/>
        </w:numPr>
        <w:spacing w:after="60"/>
      </w:pPr>
      <w:r>
        <w:rPr>
          <w:b/>
          <w:bCs/>
          <w:color w:val="B00020"/>
        </w:rPr>
        <w:t xml:space="preserve">[UNVERIFIED] </w:t>
      </w:r>
      <w:r>
        <w:rPr>
          <w:b/>
          <w:bCs/>
        </w:rPr>
        <w:t xml:space="preserve">Pre-recording GPIN certification gate: </w:t>
      </w:r>
      <w:r>
        <w:t xml:space="preserve">not found — the clerk “only checks that [a deed] is signed and notarized” (per a search-surfaced FAQ; the FAQ body is JS-rendered). Treat as not required, but confirm if load-bearing.</w:t>
      </w:r>
    </w:p>
    <w:p>
      <w:pPr>
        <w:pStyle w:val="ListParagraph"/>
        <w:numPr>
          <w:ilvl w:val="0"/>
          <w:numId w:val="2"/>
        </w:numPr>
        <w:spacing w:after="60"/>
      </w:pPr>
      <w:r>
        <w:rPr>
          <w:b/>
          <w:bCs/>
          <w:color w:val="0B6B3A"/>
        </w:rPr>
        <w:t xml:space="preserve">[VERIFIED] </w:t>
      </w:r>
      <w:r>
        <w:rPr>
          <w:b/>
          <w:bCs/>
        </w:rPr>
        <w:t xml:space="preserve">Submission / payment: </w:t>
      </w:r>
      <w:r>
        <w:t xml:space="preserve">Judicial Center, 9311 Lee Ave., Room 300, Manassas 20110; accepts cash, checks payable to Clerk of Circuit Court, money orders, and credit cards.</w:t>
      </w:r>
    </w:p>
    <w:p>
      <w:pPr>
        <w:spacing w:after="120"/>
      </w:pPr>
      <w:r>
        <w:rPr>
          <w:i/>
          <w:iCs/>
          <w:color w:val="555555"/>
        </w:rPr>
        <w:t xml:space="preserve">Sources: pwcva.gov/department/circuit-court land-records-fees; land-records-erecording; deed-land-records-faqs; gis/gpin.</w:t>
      </w:r>
    </w:p>
    <w:p>
      <w:pPr>
        <w:pStyle w:val="Heading2"/>
      </w:pPr>
      <w:r>
        <w:t xml:space="preserve">C6. Cross-locality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1900"/>
        <w:gridCol w:w="18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Fairfax</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Alexandria</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Arlington</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Loudoun / PWC</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Parcel 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Tax Map [V]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Tax Map/Parcel [U]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RPC, 8-digit [V]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Loudoun GPIN 12-digit [V] / PWC GPIN “Grid” [V]</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Cover sheet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OWN barcoded; statewide sheet REJECTED [V]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stated [U]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required since 2016 [V]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Loudoun: NOT required [V] / PWC: not established [U]</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E-recording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 EFS [V]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CSC + Simplifile [V]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Simplifile + CSC [V]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Loudoun: yes, vendors unnamed [V/U] / PWC: Simplifile+ePN+CSC, no plats [V]</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First-page preparer stmt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Left-margin grantee addr + consideration [V]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stated [U]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Owner/VA-atty + VSB# + phone [V]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Loudoun: consideration+value+exemption [V] / PWC [U]</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Pre-record GIS stamp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found [U]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found [U]</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found [U]</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found [U]</w:t>
            </w:r>
          </w:p>
        </w:tc>
      </w:tr>
    </w:tbl>
    <w:p>
      <w:pPr>
        <w:pStyle w:val="Heading1"/>
      </w:pPr>
      <w:r>
        <w:t xml:space="preserve">Part D — What stays fail-closed (build-relevant gaps)</w:t>
      </w:r>
    </w:p>
    <w:p>
      <w:pPr>
        <w:spacing w:after="120"/>
      </w:pPr>
      <w:r>
        <w:t xml:space="preserve">These are the items the build must NOT treat as established. They keep the affected locality/point fail-closed until the attorney confirms (from daily practice) or a follow-up verification (e.g., a JS-rendering browser pass on the Prince William FAQ pages, or fetching the VITA e-recording standard).</w:t>
      </w:r>
    </w:p>
    <w:p>
      <w:pPr>
        <w:pStyle w:val="ListParagraph"/>
        <w:numPr>
          <w:ilvl w:val="0"/>
          <w:numId w:val="2"/>
        </w:numPr>
        <w:spacing w:after="60"/>
      </w:pPr>
      <w:r>
        <w:rPr>
          <w:b/>
          <w:bCs/>
        </w:rPr>
        <w:t xml:space="preserve">Alexandria: </w:t>
      </w:r>
      <w:r>
        <w:t xml:space="preserve">cover-sheet requirement and first-page formatting checklist — not on the official source.</w:t>
      </w:r>
    </w:p>
    <w:p>
      <w:pPr>
        <w:pStyle w:val="ListParagraph"/>
        <w:numPr>
          <w:ilvl w:val="0"/>
          <w:numId w:val="2"/>
        </w:numPr>
        <w:spacing w:after="60"/>
      </w:pPr>
      <w:r>
        <w:rPr>
          <w:b/>
          <w:bCs/>
        </w:rPr>
        <w:t xml:space="preserve">Prince William: </w:t>
      </w:r>
      <w:r>
        <w:t xml:space="preserve">cover-sheet requirement and granular first-page formatting — FAQ answers are JavaScript-rendered and were not captured.</w:t>
      </w:r>
    </w:p>
    <w:p>
      <w:pPr>
        <w:pStyle w:val="ListParagraph"/>
        <w:numPr>
          <w:ilvl w:val="0"/>
          <w:numId w:val="2"/>
        </w:numPr>
        <w:spacing w:after="60"/>
      </w:pPr>
      <w:r>
        <w:rPr>
          <w:b/>
          <w:bCs/>
        </w:rPr>
        <w:t xml:space="preserve">Arlington: </w:t>
      </w:r>
      <w:r>
        <w:t xml:space="preserve">itemized dollar fees and the local/regional tax restatement — not on the official page (defers to the statewide calculator).</w:t>
      </w:r>
    </w:p>
    <w:p>
      <w:pPr>
        <w:pStyle w:val="ListParagraph"/>
        <w:numPr>
          <w:ilvl w:val="0"/>
          <w:numId w:val="2"/>
        </w:numPr>
        <w:spacing w:after="60"/>
      </w:pPr>
      <w:r>
        <w:rPr>
          <w:b/>
          <w:bCs/>
        </w:rPr>
        <w:t xml:space="preserve">Loudoun: </w:t>
      </w:r>
      <w:r>
        <w:t xml:space="preserve">e-recording vendor names and itemized per-page/tax numbers — not restated locally; deed margin/font numerics — defers to 17VAC15-61.</w:t>
      </w:r>
    </w:p>
    <w:p>
      <w:pPr>
        <w:pStyle w:val="ListParagraph"/>
        <w:numPr>
          <w:ilvl w:val="0"/>
          <w:numId w:val="2"/>
        </w:numPr>
        <w:spacing w:after="60"/>
      </w:pPr>
      <w:r>
        <w:rPr>
          <w:b/>
          <w:bCs/>
        </w:rPr>
        <w:t xml:space="preserve">Statewide: </w:t>
      </w:r>
      <w:r>
        <w:t xml:space="preserve">no statutory margin/font/paper-size rule; § 58.1-802.4 statute text + sunset status; the terminal section of the TOD Act range; the VITA e-recording standard (SEC505) and any document-format spec; § 58.1-811's two contingent versions.</w:t>
      </w:r>
    </w:p>
    <w:p>
      <w:pPr>
        <w:pStyle w:val="ListParagraph"/>
        <w:numPr>
          <w:ilvl w:val="0"/>
          <w:numId w:val="2"/>
        </w:numPr>
        <w:spacing w:after="60"/>
      </w:pPr>
      <w:r>
        <w:rPr>
          <w:b/>
          <w:bCs/>
        </w:rPr>
        <w:t xml:space="preserve">Do NOT seed: </w:t>
      </w:r>
      <w:r>
        <w:t xml:space="preserve">Indecomm/Kofile as Virginia deed-submitter portals; a blanket “all spousal transfers exempt” rule; “§ 55.1-600 = formatting statute”; any pre-recording GIS/assessment stamp gate for any of the five localities.</w:t>
      </w:r>
    </w:p>
    <w:p>
      <w:pPr>
        <w:spacing w:before="200"/>
      </w:pPr>
      <w:r>
        <w:rPr>
          <w:i/>
          <w:iCs/>
        </w:rPr>
        <w:t xml:space="preserve">End of source compilation. All URLs are official law.lis.virginia.gov or locality Circuit Court Clerk pages, fetched June 19, 2026. The attorney is the verifier of record; [UNVERIFIED] items must be confirmed before they support any recordability determination.</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4385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4385C"/>
      <w:sz w:val="25"/>
      <w:szCs w:val="25"/>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2026-06-20T00:21:58.918Z</dcterms:created>
  <dcterms:modified xsi:type="dcterms:W3CDTF">2026-06-20T00:21:58.918Z</dcterms:modified>
</cp:coreProperties>
</file>

<file path=docProps/custom.xml><?xml version="1.0" encoding="utf-8"?>
<Properties xmlns="http://schemas.openxmlformats.org/officeDocument/2006/custom-properties" xmlns:vt="http://schemas.openxmlformats.org/officeDocument/2006/docPropsVTypes"/>
</file>