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85C9" w14:textId="5952B8CA" w:rsidR="009F540A" w:rsidRDefault="009F540A" w:rsidP="009F540A">
      <w:pPr>
        <w:pStyle w:val="Title"/>
      </w:pPr>
      <w:r>
        <w:t>The Case for Investing in Career &amp; Technical Education (CTE) in Southern Minnesota</w:t>
      </w:r>
    </w:p>
    <w:p w14:paraId="37355540" w14:textId="77777777" w:rsidR="009F540A" w:rsidRDefault="009F540A" w:rsidP="009F540A"/>
    <w:p w14:paraId="5FD94F98" w14:textId="02E7C742" w:rsidR="009F540A" w:rsidRDefault="009F540A" w:rsidP="009F540A">
      <w:r w:rsidRPr="009F540A">
        <w:rPr>
          <w:b/>
          <w:bCs/>
        </w:rPr>
        <w:t>CTE is the single most powerful and consistent predictor of meaningful regional employment</w:t>
      </w:r>
      <w:r>
        <w:t xml:space="preserve"> across all analyses in the </w:t>
      </w:r>
      <w:r w:rsidRPr="009F540A">
        <w:rPr>
          <w:i/>
          <w:iCs/>
        </w:rPr>
        <w:t>Pathways After High School – Southern Minnesota</w:t>
      </w:r>
      <w:r>
        <w:t xml:space="preserve"> </w:t>
      </w:r>
      <w:r>
        <w:t xml:space="preserve">(EDR 9 and EDR 10) </w:t>
      </w:r>
      <w:r>
        <w:t xml:space="preserve">project. Its influence extends from high school through adulthood, shaping both </w:t>
      </w:r>
      <w:r w:rsidRPr="009F540A">
        <w:rPr>
          <w:b/>
          <w:bCs/>
        </w:rPr>
        <w:t>workforce retention</w:t>
      </w:r>
      <w:r>
        <w:t xml:space="preserve"> and </w:t>
      </w:r>
      <w:r w:rsidRPr="009F540A">
        <w:rPr>
          <w:b/>
          <w:bCs/>
        </w:rPr>
        <w:t>educational attainment</w:t>
      </w:r>
      <w:r>
        <w:t xml:space="preserve"> in the region.</w:t>
      </w:r>
    </w:p>
    <w:p w14:paraId="2DC7B5A7" w14:textId="00801A92" w:rsidR="007E7E10" w:rsidRDefault="007E7E10" w:rsidP="009F540A">
      <w:r w:rsidRPr="007E7E10">
        <w:rPr>
          <w:b/>
          <w:bCs/>
        </w:rPr>
        <w:t>Meaningful Workforce Participation in the Region</w:t>
      </w:r>
      <w:r>
        <w:t>: This is defined as an individual that works 1,000 hours or more for a single employer in the region.</w:t>
      </w:r>
    </w:p>
    <w:p w14:paraId="2ECF76D3" w14:textId="7ABC86E3" w:rsidR="009F540A" w:rsidRDefault="009F540A" w:rsidP="009F540A">
      <w:pPr>
        <w:pStyle w:val="Heading2"/>
      </w:pPr>
      <w:r>
        <w:t>1. CTE and Regional Employment (All</w:t>
      </w:r>
      <w:r>
        <w:t xml:space="preserve"> High School</w:t>
      </w:r>
      <w:r>
        <w:t xml:space="preserve"> Graduates</w:t>
      </w:r>
      <w:r>
        <w:t xml:space="preserve"> in Southern Minnesota</w:t>
      </w:r>
      <w:r>
        <w:t>)</w:t>
      </w:r>
    </w:p>
    <w:p w14:paraId="04B8854A" w14:textId="15C3A7FC" w:rsidR="009F540A" w:rsidRDefault="009F540A" w:rsidP="009F540A">
      <w:pPr>
        <w:pStyle w:val="ListParagraph"/>
        <w:numPr>
          <w:ilvl w:val="0"/>
          <w:numId w:val="1"/>
        </w:numPr>
      </w:pPr>
      <w:r>
        <w:t xml:space="preserve">Graduates who completed a </w:t>
      </w:r>
      <w:r w:rsidRPr="009F540A">
        <w:rPr>
          <w:b/>
          <w:bCs/>
        </w:rPr>
        <w:t>CTE concentrator or completer pathway</w:t>
      </w:r>
      <w:r>
        <w:t xml:space="preserve"> were </w:t>
      </w:r>
      <w:r w:rsidRPr="009F540A">
        <w:rPr>
          <w:b/>
          <w:bCs/>
        </w:rPr>
        <w:t>2.0–2.5 times more likely</w:t>
      </w:r>
      <w:r>
        <w:t xml:space="preserve"> to achieve meaningful </w:t>
      </w:r>
      <w:r>
        <w:t>workforce participation</w:t>
      </w:r>
      <w:r>
        <w:t xml:space="preserve"> within Southern Minnesota at 5 and 10 years after graduation compared to non-CTE peers.  </w:t>
      </w:r>
    </w:p>
    <w:p w14:paraId="1541730C" w14:textId="11CAFB4D" w:rsidR="009F540A" w:rsidRDefault="009F540A" w:rsidP="009F540A">
      <w:pPr>
        <w:pStyle w:val="ListParagraph"/>
        <w:numPr>
          <w:ilvl w:val="0"/>
          <w:numId w:val="1"/>
        </w:numPr>
      </w:pPr>
      <w:r>
        <w:t xml:space="preserve">Even </w:t>
      </w:r>
      <w:r w:rsidRPr="009F540A">
        <w:rPr>
          <w:b/>
          <w:bCs/>
        </w:rPr>
        <w:t>moderate CTE participation</w:t>
      </w:r>
      <w:r>
        <w:t xml:space="preserve"> (2–3 courses) increases the likelihood of </w:t>
      </w:r>
      <w:r>
        <w:t xml:space="preserve">meaningful workforce participation in the </w:t>
      </w:r>
      <w:proofErr w:type="gramStart"/>
      <w:r>
        <w:t>region</w:t>
      </w:r>
      <w:r>
        <w:t xml:space="preserve">  by</w:t>
      </w:r>
      <w:proofErr w:type="gramEnd"/>
      <w:r>
        <w:t xml:space="preserve"> roughly </w:t>
      </w:r>
      <w:r w:rsidRPr="009F540A">
        <w:rPr>
          <w:b/>
          <w:bCs/>
        </w:rPr>
        <w:t>40–60%.</w:t>
      </w:r>
      <w:r>
        <w:t xml:space="preserve">  </w:t>
      </w:r>
    </w:p>
    <w:p w14:paraId="3093F5FA" w14:textId="77808C5E" w:rsidR="009F540A" w:rsidRDefault="009F540A" w:rsidP="009F540A">
      <w:pPr>
        <w:pStyle w:val="ListParagraph"/>
        <w:numPr>
          <w:ilvl w:val="0"/>
          <w:numId w:val="1"/>
        </w:numPr>
      </w:pPr>
      <w:r>
        <w:t xml:space="preserve">By contrast, students who did </w:t>
      </w:r>
      <w:r w:rsidRPr="009F540A">
        <w:rPr>
          <w:b/>
          <w:bCs/>
        </w:rPr>
        <w:t>not participate in CTE</w:t>
      </w:r>
      <w:r>
        <w:t xml:space="preserve"> were far more likely to either </w:t>
      </w:r>
      <w:r w:rsidRPr="009F540A">
        <w:rPr>
          <w:b/>
          <w:bCs/>
        </w:rPr>
        <w:t>work outside the region</w:t>
      </w:r>
      <w:r>
        <w:t xml:space="preserve"> or have </w:t>
      </w:r>
      <w:r w:rsidRPr="009F540A">
        <w:rPr>
          <w:b/>
          <w:bCs/>
        </w:rPr>
        <w:t xml:space="preserve">no </w:t>
      </w:r>
      <w:r>
        <w:rPr>
          <w:b/>
          <w:bCs/>
        </w:rPr>
        <w:t xml:space="preserve">Minnesota </w:t>
      </w:r>
      <w:r w:rsidRPr="009F540A">
        <w:rPr>
          <w:b/>
          <w:bCs/>
        </w:rPr>
        <w:t>employment record</w:t>
      </w:r>
      <w:r>
        <w:t xml:space="preserve"> at all.</w:t>
      </w:r>
    </w:p>
    <w:p w14:paraId="37505329" w14:textId="77777777" w:rsidR="009F540A" w:rsidRDefault="009F540A" w:rsidP="009F540A"/>
    <w:p w14:paraId="1F930F7B" w14:textId="7C3CB131" w:rsidR="009F540A" w:rsidRDefault="009F540A" w:rsidP="009F540A">
      <w:r w:rsidRPr="009F540A">
        <w:rPr>
          <w:b/>
          <w:bCs/>
        </w:rPr>
        <w:t>Interpretation</w:t>
      </w:r>
      <w:r>
        <w:t>: CTE provides both early exposure and practical skill development that translate directly into sustained attachment to local employers and industries.</w:t>
      </w:r>
    </w:p>
    <w:p w14:paraId="67C5B560" w14:textId="77777777" w:rsidR="009F540A" w:rsidRDefault="009F540A" w:rsidP="009F540A"/>
    <w:p w14:paraId="208AE498" w14:textId="6158F793" w:rsidR="009F540A" w:rsidRDefault="009F540A" w:rsidP="009F540A">
      <w:pPr>
        <w:pStyle w:val="Heading2"/>
      </w:pPr>
      <w:r>
        <w:t xml:space="preserve"> 2. CTE and Regional Postsecondary Pathways</w:t>
      </w:r>
    </w:p>
    <w:p w14:paraId="0141B2DC" w14:textId="062ABB4E" w:rsidR="009F540A" w:rsidRDefault="009F540A" w:rsidP="009F540A">
      <w:pPr>
        <w:pStyle w:val="ListParagraph"/>
        <w:numPr>
          <w:ilvl w:val="0"/>
          <w:numId w:val="2"/>
        </w:numPr>
      </w:pPr>
      <w:r>
        <w:t xml:space="preserve">CTE-engaged students are </w:t>
      </w:r>
      <w:r w:rsidRPr="009F540A">
        <w:rPr>
          <w:b/>
          <w:bCs/>
        </w:rPr>
        <w:t>1.8–2.2 times more likely</w:t>
      </w:r>
      <w:r>
        <w:t xml:space="preserve"> to attend or graduate from a </w:t>
      </w:r>
      <w:r w:rsidRPr="009F540A">
        <w:rPr>
          <w:b/>
          <w:bCs/>
        </w:rPr>
        <w:t>regional postsecondary institution (2-year or technical college</w:t>
      </w:r>
      <w:r>
        <w:t xml:space="preserve">).  </w:t>
      </w:r>
    </w:p>
    <w:p w14:paraId="40CBF82F" w14:textId="790B361B" w:rsidR="009F540A" w:rsidRDefault="009F540A" w:rsidP="009F540A">
      <w:pPr>
        <w:pStyle w:val="ListParagraph"/>
        <w:numPr>
          <w:ilvl w:val="0"/>
          <w:numId w:val="2"/>
        </w:numPr>
      </w:pPr>
      <w:r>
        <w:t xml:space="preserve">These students are also disproportionately represented among </w:t>
      </w:r>
      <w:r w:rsidRPr="009F540A">
        <w:rPr>
          <w:b/>
          <w:bCs/>
        </w:rPr>
        <w:t>sub-baccalaureate credential earners</w:t>
      </w:r>
      <w:r>
        <w:t xml:space="preserve">, the group most likely to remain in the region long-term.  </w:t>
      </w:r>
    </w:p>
    <w:p w14:paraId="3E77ABAB" w14:textId="0EE95259" w:rsidR="009F540A" w:rsidRDefault="009F540A" w:rsidP="009F540A">
      <w:pPr>
        <w:pStyle w:val="ListParagraph"/>
        <w:numPr>
          <w:ilvl w:val="0"/>
          <w:numId w:val="2"/>
        </w:numPr>
      </w:pPr>
      <w:r>
        <w:t xml:space="preserve">In contrast, students with primarily academic or AP/ACT-focused trajectories are more likely to pursue </w:t>
      </w:r>
      <w:r w:rsidRPr="009F540A">
        <w:rPr>
          <w:b/>
          <w:bCs/>
        </w:rPr>
        <w:t>4-year+ degrees outside the region</w:t>
      </w:r>
      <w:r>
        <w:t>, fueling statewide mobility rather than local employment.</w:t>
      </w:r>
    </w:p>
    <w:p w14:paraId="100185C8" w14:textId="77777777" w:rsidR="009F540A" w:rsidRDefault="009F540A" w:rsidP="009F540A"/>
    <w:p w14:paraId="25760826" w14:textId="0B5A7A51" w:rsidR="009F540A" w:rsidRDefault="009F540A" w:rsidP="009F540A">
      <w:r w:rsidRPr="009F540A">
        <w:rPr>
          <w:b/>
          <w:bCs/>
        </w:rPr>
        <w:t>Interpretation</w:t>
      </w:r>
      <w:r>
        <w:t xml:space="preserve">: CTE strengthens the </w:t>
      </w:r>
      <w:r w:rsidRPr="009F540A">
        <w:rPr>
          <w:b/>
          <w:bCs/>
        </w:rPr>
        <w:t>regional education-to-employment pipeline</w:t>
      </w:r>
      <w:r>
        <w:t>, anchoring students in Southern Minnesota’s 2-year institutions that directly feed local workforce needs.</w:t>
      </w:r>
    </w:p>
    <w:p w14:paraId="3C236003" w14:textId="77777777" w:rsidR="009F540A" w:rsidRDefault="009F540A" w:rsidP="009F540A"/>
    <w:p w14:paraId="621C50B2" w14:textId="5D856991" w:rsidR="009F540A" w:rsidRDefault="009F540A" w:rsidP="009F540A">
      <w:pPr>
        <w:pStyle w:val="Heading2"/>
      </w:pPr>
      <w:r>
        <w:t>3. CTE and Non-College Graduates</w:t>
      </w:r>
    </w:p>
    <w:p w14:paraId="40B93C79" w14:textId="792FCF7F" w:rsidR="009F540A" w:rsidRDefault="009F540A" w:rsidP="009F540A">
      <w:pPr>
        <w:pStyle w:val="ListParagraph"/>
        <w:numPr>
          <w:ilvl w:val="0"/>
          <w:numId w:val="3"/>
        </w:numPr>
      </w:pPr>
      <w:r>
        <w:t xml:space="preserve">Among non-college graduates, </w:t>
      </w:r>
      <w:r w:rsidRPr="009F540A">
        <w:rPr>
          <w:b/>
          <w:bCs/>
        </w:rPr>
        <w:t>CTE depth (3+ courses or concentrator status)</w:t>
      </w:r>
      <w:r>
        <w:t xml:space="preserve"> is the </w:t>
      </w:r>
      <w:r w:rsidRPr="009F540A">
        <w:rPr>
          <w:b/>
          <w:bCs/>
        </w:rPr>
        <w:t>strongest predictor</w:t>
      </w:r>
      <w:r>
        <w:t xml:space="preserve"> of meaningful work</w:t>
      </w:r>
      <w:r>
        <w:t>force participation in the region</w:t>
      </w:r>
      <w:r>
        <w:t xml:space="preserve">.  </w:t>
      </w:r>
    </w:p>
    <w:p w14:paraId="1332B4E6" w14:textId="4ED8A5D8" w:rsidR="009F540A" w:rsidRDefault="009F540A" w:rsidP="009F540A">
      <w:pPr>
        <w:pStyle w:val="ListParagraph"/>
        <w:numPr>
          <w:ilvl w:val="0"/>
          <w:numId w:val="3"/>
        </w:numPr>
      </w:pPr>
      <w:r>
        <w:t xml:space="preserve">CTE-engaged non-college graduates are </w:t>
      </w:r>
      <w:r w:rsidRPr="009F540A">
        <w:rPr>
          <w:b/>
          <w:bCs/>
        </w:rPr>
        <w:t>2.5–3 times more likely</w:t>
      </w:r>
      <w:r>
        <w:t xml:space="preserve"> to be meaningful</w:t>
      </w:r>
      <w:r>
        <w:t xml:space="preserve"> workforce participation in the region</w:t>
      </w:r>
      <w:r>
        <w:t xml:space="preserve"> at both 5 and 10 years after high school.  </w:t>
      </w:r>
    </w:p>
    <w:p w14:paraId="72BBBAE3" w14:textId="395309B7" w:rsidR="009F540A" w:rsidRDefault="009F540A" w:rsidP="009F540A">
      <w:pPr>
        <w:pStyle w:val="ListParagraph"/>
        <w:numPr>
          <w:ilvl w:val="0"/>
          <w:numId w:val="3"/>
        </w:numPr>
      </w:pPr>
      <w:r>
        <w:t xml:space="preserve">Without CTE, non-college graduates face sharply higher risks of </w:t>
      </w:r>
      <w:r w:rsidRPr="009F540A">
        <w:rPr>
          <w:b/>
          <w:bCs/>
        </w:rPr>
        <w:t>disconnection</w:t>
      </w:r>
      <w:r>
        <w:t xml:space="preserve"> (no postsecondary record or </w:t>
      </w:r>
      <w:r>
        <w:t xml:space="preserve">Minnesota </w:t>
      </w:r>
      <w:r>
        <w:t>employment).</w:t>
      </w:r>
    </w:p>
    <w:p w14:paraId="26FD9B2A" w14:textId="77777777" w:rsidR="009F540A" w:rsidRDefault="009F540A" w:rsidP="009F540A"/>
    <w:p w14:paraId="6A36681B" w14:textId="7F70CD8A" w:rsidR="009F540A" w:rsidRDefault="009F540A" w:rsidP="009F540A">
      <w:r w:rsidRPr="009F540A">
        <w:rPr>
          <w:b/>
          <w:bCs/>
        </w:rPr>
        <w:t>Interpretation</w:t>
      </w:r>
      <w:r>
        <w:t>: For the segment of the population that does not pursue higher education, CTE provides the most reliable and equitable route into stable, local employment.</w:t>
      </w:r>
    </w:p>
    <w:p w14:paraId="4444C972" w14:textId="77777777" w:rsidR="009F540A" w:rsidRDefault="009F540A" w:rsidP="009F540A"/>
    <w:p w14:paraId="02988B13" w14:textId="40E8966B" w:rsidR="009F540A" w:rsidRDefault="009F540A" w:rsidP="009F540A">
      <w:pPr>
        <w:pStyle w:val="Heading2"/>
      </w:pPr>
      <w:r>
        <w:t>Summary Message</w:t>
      </w:r>
    </w:p>
    <w:p w14:paraId="69EECBC5" w14:textId="56D2C92D" w:rsidR="009F540A" w:rsidRDefault="009F540A" w:rsidP="009F540A">
      <w:pPr>
        <w:pStyle w:val="ListParagraph"/>
        <w:numPr>
          <w:ilvl w:val="0"/>
          <w:numId w:val="4"/>
        </w:numPr>
      </w:pPr>
      <w:r w:rsidRPr="009F540A">
        <w:rPr>
          <w:b/>
          <w:bCs/>
        </w:rPr>
        <w:t>Investing in CTE is investing in regional workforce stability</w:t>
      </w:r>
      <w:r>
        <w:t xml:space="preserve">.  </w:t>
      </w:r>
    </w:p>
    <w:p w14:paraId="2C66E95A" w14:textId="6F7C976A" w:rsidR="000C3CD5" w:rsidRDefault="009F540A" w:rsidP="009F540A">
      <w:pPr>
        <w:pStyle w:val="ListParagraph"/>
        <w:numPr>
          <w:ilvl w:val="0"/>
          <w:numId w:val="4"/>
        </w:numPr>
      </w:pPr>
      <w:r>
        <w:t xml:space="preserve">It doubles or triples the likelihood that young adults will live, learn, and work in Southern Minnesota. CTE pathways not only prepare students for local industries but also form the </w:t>
      </w:r>
      <w:r w:rsidRPr="009F540A">
        <w:rPr>
          <w:b/>
          <w:bCs/>
        </w:rPr>
        <w:t>core infrastructure of regional retention</w:t>
      </w:r>
      <w:r>
        <w:t>, ensuring that economic opportunity stays close to home.</w:t>
      </w:r>
    </w:p>
    <w:sectPr w:rsidR="000C3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E4B"/>
    <w:multiLevelType w:val="hybridMultilevel"/>
    <w:tmpl w:val="946EB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26478"/>
    <w:multiLevelType w:val="hybridMultilevel"/>
    <w:tmpl w:val="26FC1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655F1"/>
    <w:multiLevelType w:val="hybridMultilevel"/>
    <w:tmpl w:val="8538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40BB6"/>
    <w:multiLevelType w:val="hybridMultilevel"/>
    <w:tmpl w:val="FBACA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1764">
    <w:abstractNumId w:val="0"/>
  </w:num>
  <w:num w:numId="2" w16cid:durableId="1361592069">
    <w:abstractNumId w:val="3"/>
  </w:num>
  <w:num w:numId="3" w16cid:durableId="1354378570">
    <w:abstractNumId w:val="1"/>
  </w:num>
  <w:num w:numId="4" w16cid:durableId="1332636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40A"/>
    <w:rsid w:val="000C3CD5"/>
    <w:rsid w:val="00165F3E"/>
    <w:rsid w:val="00652C4A"/>
    <w:rsid w:val="007C3824"/>
    <w:rsid w:val="007E7E10"/>
    <w:rsid w:val="0081124D"/>
    <w:rsid w:val="009F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79D61"/>
  <w15:chartTrackingRefBased/>
  <w15:docId w15:val="{1DCDE626-E891-EA48-94B8-C1EEA800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Asche</dc:creator>
  <cp:keywords/>
  <dc:description/>
  <cp:lastModifiedBy>Kelly Asche</cp:lastModifiedBy>
  <cp:revision>2</cp:revision>
  <dcterms:created xsi:type="dcterms:W3CDTF">2025-10-28T16:16:00Z</dcterms:created>
  <dcterms:modified xsi:type="dcterms:W3CDTF">2025-10-28T16:26:00Z</dcterms:modified>
</cp:coreProperties>
</file>