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CE089" w14:textId="77777777" w:rsidR="009222F6" w:rsidRPr="009222F6" w:rsidRDefault="009222F6" w:rsidP="009222F6">
      <w:pPr>
        <w:spacing w:before="400" w:after="120" w:line="240" w:lineRule="auto"/>
        <w:outlineLvl w:val="0"/>
        <w:rPr>
          <w:rFonts w:ascii="Times New Roman" w:eastAsia="Times New Roman" w:hAnsi="Times New Roman" w:cs="Times New Roman"/>
          <w:b/>
          <w:bCs/>
          <w:kern w:val="36"/>
          <w:sz w:val="48"/>
          <w:szCs w:val="48"/>
          <w14:ligatures w14:val="none"/>
        </w:rPr>
      </w:pPr>
      <w:r w:rsidRPr="009222F6">
        <w:rPr>
          <w:rFonts w:ascii="Cambria" w:eastAsia="Times New Roman" w:hAnsi="Cambria" w:cs="Times New Roman"/>
          <w:color w:val="000000"/>
          <w:kern w:val="36"/>
          <w:sz w:val="40"/>
          <w:szCs w:val="40"/>
          <w14:ligatures w14:val="none"/>
        </w:rPr>
        <w:t>4 - Anchoring pathways</w:t>
      </w:r>
    </w:p>
    <w:p w14:paraId="2A1EDFE2" w14:textId="77777777" w:rsidR="009222F6" w:rsidRPr="009222F6" w:rsidRDefault="009222F6" w:rsidP="009222F6">
      <w:pPr>
        <w:spacing w:after="200" w:line="240" w:lineRule="auto"/>
        <w:rPr>
          <w:rFonts w:ascii="Times New Roman" w:eastAsia="Times New Roman" w:hAnsi="Times New Roman" w:cs="Times New Roman"/>
          <w:kern w:val="0"/>
          <w14:ligatures w14:val="none"/>
        </w:rPr>
      </w:pPr>
      <w:r w:rsidRPr="009222F6">
        <w:rPr>
          <w:rFonts w:ascii="Cambria" w:eastAsia="Times New Roman" w:hAnsi="Cambria" w:cs="Times New Roman"/>
          <w:color w:val="000000"/>
          <w:kern w:val="0"/>
          <w:sz w:val="22"/>
          <w:szCs w:val="22"/>
          <w14:ligatures w14:val="none"/>
        </w:rPr>
        <w:t>The Anchoring Pathway represents graduates who remain and build their lives in Northeast Minnesota. Their success depends on how strongly high school experiences connect to local postsecondary schools and employment opportunities.</w:t>
      </w:r>
    </w:p>
    <w:p w14:paraId="7D7F9B2B" w14:textId="77777777" w:rsidR="009222F6" w:rsidRPr="009222F6" w:rsidRDefault="009222F6" w:rsidP="009222F6">
      <w:pPr>
        <w:spacing w:before="360" w:after="200" w:line="240" w:lineRule="auto"/>
        <w:outlineLvl w:val="1"/>
        <w:rPr>
          <w:rFonts w:ascii="Times New Roman" w:eastAsia="Times New Roman" w:hAnsi="Times New Roman" w:cs="Times New Roman"/>
          <w:b/>
          <w:bCs/>
          <w:kern w:val="0"/>
          <w:sz w:val="36"/>
          <w:szCs w:val="36"/>
          <w14:ligatures w14:val="none"/>
        </w:rPr>
      </w:pPr>
      <w:r w:rsidRPr="009222F6">
        <w:rPr>
          <w:rFonts w:ascii="Cambria" w:eastAsia="Times New Roman" w:hAnsi="Cambria" w:cs="Times New Roman"/>
          <w:color w:val="000000"/>
          <w:kern w:val="0"/>
          <w:sz w:val="32"/>
          <w:szCs w:val="32"/>
          <w14:ligatures w14:val="none"/>
        </w:rPr>
        <w:t>How common is this pathway?</w:t>
      </w:r>
    </w:p>
    <w:p w14:paraId="2370B80F" w14:textId="77777777" w:rsidR="009222F6" w:rsidRPr="009222F6" w:rsidRDefault="009222F6" w:rsidP="009222F6">
      <w:pPr>
        <w:spacing w:after="200" w:line="240" w:lineRule="auto"/>
        <w:rPr>
          <w:rFonts w:ascii="Times New Roman" w:eastAsia="Times New Roman" w:hAnsi="Times New Roman" w:cs="Times New Roman"/>
          <w:kern w:val="0"/>
          <w14:ligatures w14:val="none"/>
        </w:rPr>
      </w:pPr>
      <w:r w:rsidRPr="009222F6">
        <w:rPr>
          <w:rFonts w:ascii="Cambria" w:eastAsia="Times New Roman" w:hAnsi="Cambria" w:cs="Times New Roman"/>
          <w:color w:val="000000"/>
          <w:kern w:val="0"/>
          <w:sz w:val="22"/>
          <w:szCs w:val="22"/>
          <w14:ligatures w14:val="none"/>
        </w:rPr>
        <w:t>Nearly 30% of individuals that graduated from high school in Northeast are participating in the region’s labor force in a meaningful way five years after graduation (Chart X). Compared to other regions of the state, this is [fill in after doing other reports].</w:t>
      </w:r>
    </w:p>
    <w:p w14:paraId="3651DF75" w14:textId="77777777" w:rsidR="009222F6" w:rsidRPr="009222F6" w:rsidRDefault="009222F6" w:rsidP="009222F6">
      <w:pPr>
        <w:spacing w:after="0" w:line="240" w:lineRule="auto"/>
        <w:rPr>
          <w:rFonts w:ascii="Times New Roman" w:eastAsia="Times New Roman" w:hAnsi="Times New Roman" w:cs="Times New Roman"/>
          <w:kern w:val="0"/>
          <w14:ligatures w14:val="none"/>
        </w:rPr>
      </w:pPr>
    </w:p>
    <w:p w14:paraId="7DF65455" w14:textId="4015053A" w:rsidR="009222F6" w:rsidRPr="009222F6" w:rsidRDefault="009222F6" w:rsidP="009222F6">
      <w:pPr>
        <w:spacing w:after="200" w:line="240" w:lineRule="auto"/>
        <w:jc w:val="center"/>
        <w:rPr>
          <w:rFonts w:ascii="Times New Roman" w:eastAsia="Times New Roman" w:hAnsi="Times New Roman" w:cs="Times New Roman"/>
          <w:kern w:val="0"/>
          <w14:ligatures w14:val="none"/>
        </w:rPr>
      </w:pPr>
      <w:r w:rsidRPr="009222F6">
        <w:rPr>
          <w:rFonts w:ascii="Cambria" w:eastAsia="Times New Roman" w:hAnsi="Cambria" w:cs="Times New Roman"/>
          <w:noProof/>
          <w:color w:val="000000"/>
          <w:kern w:val="0"/>
          <w:sz w:val="22"/>
          <w:szCs w:val="22"/>
          <w:bdr w:val="none" w:sz="0" w:space="0" w:color="auto" w:frame="1"/>
          <w14:ligatures w14:val="none"/>
        </w:rPr>
        <w:drawing>
          <wp:inline distT="0" distB="0" distL="0" distR="0" wp14:anchorId="54D5DA57" wp14:editId="11E26CE3">
            <wp:extent cx="5943600" cy="4557395"/>
            <wp:effectExtent l="0" t="0" r="0" b="1905"/>
            <wp:docPr id="96063750" name="Picture 7" descr="A graph of a high school gradu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63750" name="Picture 7" descr="A graph of a high school graduate&#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4557395"/>
                    </a:xfrm>
                    <a:prstGeom prst="rect">
                      <a:avLst/>
                    </a:prstGeom>
                    <a:noFill/>
                    <a:ln>
                      <a:noFill/>
                    </a:ln>
                  </pic:spPr>
                </pic:pic>
              </a:graphicData>
            </a:graphic>
          </wp:inline>
        </w:drawing>
      </w:r>
      <w:r w:rsidRPr="009222F6">
        <w:rPr>
          <w:rFonts w:ascii="Cambria" w:eastAsia="Times New Roman" w:hAnsi="Cambria" w:cs="Times New Roman"/>
          <w:color w:val="000000"/>
          <w:kern w:val="0"/>
          <w:sz w:val="22"/>
          <w:szCs w:val="22"/>
          <w14:ligatures w14:val="none"/>
        </w:rPr>
        <w:br/>
      </w:r>
      <w:r w:rsidRPr="009222F6">
        <w:rPr>
          <w:rFonts w:ascii="Cambria" w:eastAsia="Times New Roman" w:hAnsi="Cambria" w:cs="Times New Roman"/>
          <w:color w:val="000000"/>
          <w:kern w:val="0"/>
          <w:sz w:val="16"/>
          <w:szCs w:val="16"/>
          <w14:ligatures w14:val="none"/>
        </w:rPr>
        <w:t>Chart X: 1 in 3 high school graduates in Northeast are participating in the NE labor force in a considerable way. Data: MN Office of Higher Education - SLEDS </w:t>
      </w:r>
    </w:p>
    <w:p w14:paraId="6E0E2FFF" w14:textId="77777777" w:rsidR="009222F6" w:rsidRPr="009222F6" w:rsidRDefault="009222F6" w:rsidP="009222F6">
      <w:pPr>
        <w:spacing w:after="0" w:line="240" w:lineRule="auto"/>
        <w:rPr>
          <w:rFonts w:ascii="Times New Roman" w:eastAsia="Times New Roman" w:hAnsi="Times New Roman" w:cs="Times New Roman"/>
          <w:kern w:val="0"/>
          <w14:ligatures w14:val="none"/>
        </w:rPr>
      </w:pPr>
    </w:p>
    <w:p w14:paraId="315431DD" w14:textId="77777777" w:rsidR="009222F6" w:rsidRPr="009222F6" w:rsidRDefault="009222F6" w:rsidP="009222F6">
      <w:pPr>
        <w:spacing w:before="360" w:after="120" w:line="240" w:lineRule="auto"/>
        <w:outlineLvl w:val="1"/>
        <w:rPr>
          <w:rFonts w:ascii="Times New Roman" w:eastAsia="Times New Roman" w:hAnsi="Times New Roman" w:cs="Times New Roman"/>
          <w:b/>
          <w:bCs/>
          <w:kern w:val="0"/>
          <w:sz w:val="36"/>
          <w:szCs w:val="36"/>
          <w14:ligatures w14:val="none"/>
        </w:rPr>
      </w:pPr>
      <w:r w:rsidRPr="009222F6">
        <w:rPr>
          <w:rFonts w:ascii="Cambria" w:eastAsia="Times New Roman" w:hAnsi="Cambria" w:cs="Times New Roman"/>
          <w:color w:val="000000"/>
          <w:kern w:val="0"/>
          <w:sz w:val="32"/>
          <w:szCs w:val="32"/>
          <w14:ligatures w14:val="none"/>
        </w:rPr>
        <w:t>Key Characteristics of Anchored pathway</w:t>
      </w:r>
    </w:p>
    <w:p w14:paraId="0609B83E" w14:textId="77777777" w:rsidR="009222F6" w:rsidRPr="009222F6" w:rsidRDefault="009222F6" w:rsidP="009222F6">
      <w:pPr>
        <w:spacing w:before="320" w:after="80" w:line="240" w:lineRule="auto"/>
        <w:outlineLvl w:val="2"/>
        <w:rPr>
          <w:rFonts w:ascii="Times New Roman" w:eastAsia="Times New Roman" w:hAnsi="Times New Roman" w:cs="Times New Roman"/>
          <w:b/>
          <w:bCs/>
          <w:kern w:val="0"/>
          <w:sz w:val="27"/>
          <w:szCs w:val="27"/>
          <w14:ligatures w14:val="none"/>
        </w:rPr>
      </w:pPr>
      <w:r w:rsidRPr="009222F6">
        <w:rPr>
          <w:rFonts w:ascii="Cambria" w:eastAsia="Times New Roman" w:hAnsi="Cambria" w:cs="Times New Roman"/>
          <w:color w:val="434343"/>
          <w:kern w:val="0"/>
          <w:sz w:val="28"/>
          <w:szCs w:val="28"/>
          <w14:ligatures w14:val="none"/>
        </w:rPr>
        <w:lastRenderedPageBreak/>
        <w:t>Post-secondary influence</w:t>
      </w:r>
    </w:p>
    <w:p w14:paraId="3DEDC48B" w14:textId="77777777" w:rsidR="009222F6" w:rsidRPr="009222F6" w:rsidRDefault="009222F6" w:rsidP="009222F6">
      <w:pPr>
        <w:spacing w:before="240" w:after="240" w:line="240" w:lineRule="auto"/>
        <w:rPr>
          <w:rFonts w:ascii="Times New Roman" w:eastAsia="Times New Roman" w:hAnsi="Times New Roman" w:cs="Times New Roman"/>
          <w:kern w:val="0"/>
          <w14:ligatures w14:val="none"/>
        </w:rPr>
      </w:pPr>
      <w:r w:rsidRPr="009222F6">
        <w:rPr>
          <w:rFonts w:ascii="Cambria" w:eastAsia="Times New Roman" w:hAnsi="Cambria" w:cs="Times New Roman"/>
          <w:color w:val="000000"/>
          <w:kern w:val="0"/>
          <w:sz w:val="22"/>
          <w:szCs w:val="22"/>
          <w14:ligatures w14:val="none"/>
        </w:rPr>
        <w:t xml:space="preserve">In Northeast Minnesota, </w:t>
      </w:r>
      <w:r w:rsidRPr="009222F6">
        <w:rPr>
          <w:rFonts w:ascii="Cambria" w:eastAsia="Times New Roman" w:hAnsi="Cambria" w:cs="Times New Roman"/>
          <w:b/>
          <w:bCs/>
          <w:color w:val="000000"/>
          <w:kern w:val="0"/>
          <w:sz w:val="22"/>
          <w:szCs w:val="22"/>
          <w14:ligatures w14:val="none"/>
        </w:rPr>
        <w:t>43%</w:t>
      </w:r>
      <w:r w:rsidRPr="009222F6">
        <w:rPr>
          <w:rFonts w:ascii="Cambria" w:eastAsia="Times New Roman" w:hAnsi="Cambria" w:cs="Times New Roman"/>
          <w:color w:val="000000"/>
          <w:kern w:val="0"/>
          <w:sz w:val="22"/>
          <w:szCs w:val="22"/>
          <w14:ligatures w14:val="none"/>
        </w:rPr>
        <w:t xml:space="preserve"> of individuals that graduate high school go on to </w:t>
      </w:r>
      <w:r w:rsidRPr="009222F6">
        <w:rPr>
          <w:rFonts w:ascii="Cambria" w:eastAsia="Times New Roman" w:hAnsi="Cambria" w:cs="Times New Roman"/>
          <w:b/>
          <w:bCs/>
          <w:color w:val="000000"/>
          <w:kern w:val="0"/>
          <w:sz w:val="22"/>
          <w:szCs w:val="22"/>
          <w14:ligatures w14:val="none"/>
        </w:rPr>
        <w:t>complete college</w:t>
      </w:r>
      <w:r w:rsidRPr="009222F6">
        <w:rPr>
          <w:rFonts w:ascii="Cambria" w:eastAsia="Times New Roman" w:hAnsi="Cambria" w:cs="Times New Roman"/>
          <w:color w:val="000000"/>
          <w:kern w:val="0"/>
          <w:sz w:val="22"/>
          <w:szCs w:val="22"/>
          <w14:ligatures w14:val="none"/>
        </w:rPr>
        <w:t xml:space="preserve">. And, for graduates who continue their education after high school, </w:t>
      </w:r>
      <w:r w:rsidRPr="009222F6">
        <w:rPr>
          <w:rFonts w:ascii="Cambria" w:eastAsia="Times New Roman" w:hAnsi="Cambria" w:cs="Times New Roman"/>
          <w:b/>
          <w:bCs/>
          <w:color w:val="000000"/>
          <w:kern w:val="0"/>
          <w:sz w:val="22"/>
          <w:szCs w:val="22"/>
          <w14:ligatures w14:val="none"/>
        </w:rPr>
        <w:t>where</w:t>
      </w:r>
      <w:r w:rsidRPr="009222F6">
        <w:rPr>
          <w:rFonts w:ascii="Cambria" w:eastAsia="Times New Roman" w:hAnsi="Cambria" w:cs="Times New Roman"/>
          <w:color w:val="000000"/>
          <w:kern w:val="0"/>
          <w:sz w:val="22"/>
          <w:szCs w:val="22"/>
          <w14:ligatures w14:val="none"/>
        </w:rPr>
        <w:t xml:space="preserve"> they go to college and </w:t>
      </w:r>
      <w:r w:rsidRPr="009222F6">
        <w:rPr>
          <w:rFonts w:ascii="Cambria" w:eastAsia="Times New Roman" w:hAnsi="Cambria" w:cs="Times New Roman"/>
          <w:b/>
          <w:bCs/>
          <w:color w:val="000000"/>
          <w:kern w:val="0"/>
          <w:sz w:val="22"/>
          <w:szCs w:val="22"/>
          <w14:ligatures w14:val="none"/>
        </w:rPr>
        <w:t>what</w:t>
      </w:r>
      <w:r w:rsidRPr="009222F6">
        <w:rPr>
          <w:rFonts w:ascii="Cambria" w:eastAsia="Times New Roman" w:hAnsi="Cambria" w:cs="Times New Roman"/>
          <w:color w:val="000000"/>
          <w:kern w:val="0"/>
          <w:sz w:val="22"/>
          <w:szCs w:val="22"/>
          <w14:ligatures w14:val="none"/>
        </w:rPr>
        <w:t xml:space="preserve"> kind of credential they earn play a major role in whether they remain connected to Northeast Minnesota’s workforce.</w:t>
      </w:r>
    </w:p>
    <w:p w14:paraId="6599CDCE" w14:textId="77777777" w:rsidR="009222F6" w:rsidRPr="009222F6" w:rsidRDefault="009222F6" w:rsidP="009222F6">
      <w:pPr>
        <w:spacing w:before="240" w:after="240" w:line="240" w:lineRule="auto"/>
        <w:rPr>
          <w:rFonts w:ascii="Times New Roman" w:eastAsia="Times New Roman" w:hAnsi="Times New Roman" w:cs="Times New Roman"/>
          <w:kern w:val="0"/>
          <w14:ligatures w14:val="none"/>
        </w:rPr>
      </w:pPr>
      <w:r w:rsidRPr="009222F6">
        <w:rPr>
          <w:rFonts w:ascii="Cambria" w:eastAsia="Times New Roman" w:hAnsi="Cambria" w:cs="Times New Roman"/>
          <w:color w:val="000000"/>
          <w:kern w:val="0"/>
          <w:sz w:val="22"/>
          <w:szCs w:val="22"/>
          <w14:ligatures w14:val="none"/>
        </w:rPr>
        <w:t xml:space="preserve">Three key factors stand out: </w:t>
      </w:r>
      <w:r w:rsidRPr="009222F6">
        <w:rPr>
          <w:rFonts w:ascii="Cambria" w:eastAsia="Times New Roman" w:hAnsi="Cambria" w:cs="Times New Roman"/>
          <w:b/>
          <w:bCs/>
          <w:color w:val="000000"/>
          <w:kern w:val="0"/>
          <w:sz w:val="22"/>
          <w:szCs w:val="22"/>
          <w14:ligatures w14:val="none"/>
        </w:rPr>
        <w:t>college location, college type, and degree level.</w:t>
      </w:r>
    </w:p>
    <w:p w14:paraId="58793259" w14:textId="77777777" w:rsidR="009222F6" w:rsidRPr="009222F6" w:rsidRDefault="009222F6" w:rsidP="009222F6">
      <w:pPr>
        <w:spacing w:before="240" w:after="240" w:line="240" w:lineRule="auto"/>
        <w:outlineLvl w:val="3"/>
        <w:rPr>
          <w:rFonts w:ascii="Times New Roman" w:eastAsia="Times New Roman" w:hAnsi="Times New Roman" w:cs="Times New Roman"/>
          <w:b/>
          <w:bCs/>
          <w:kern w:val="0"/>
          <w14:ligatures w14:val="none"/>
        </w:rPr>
      </w:pPr>
      <w:r w:rsidRPr="009222F6">
        <w:rPr>
          <w:rFonts w:ascii="Cambria" w:eastAsia="Times New Roman" w:hAnsi="Cambria" w:cs="Times New Roman"/>
          <w:color w:val="666666"/>
          <w:kern w:val="0"/>
          <w14:ligatures w14:val="none"/>
        </w:rPr>
        <w:t>Post-secondary location</w:t>
      </w:r>
    </w:p>
    <w:p w14:paraId="3C8D6A5B" w14:textId="77777777" w:rsidR="009222F6" w:rsidRPr="009222F6" w:rsidRDefault="009222F6" w:rsidP="009222F6">
      <w:pPr>
        <w:spacing w:before="240" w:after="240" w:line="240" w:lineRule="auto"/>
        <w:rPr>
          <w:rFonts w:ascii="Times New Roman" w:eastAsia="Times New Roman" w:hAnsi="Times New Roman" w:cs="Times New Roman"/>
          <w:kern w:val="0"/>
          <w14:ligatures w14:val="none"/>
        </w:rPr>
      </w:pPr>
      <w:r w:rsidRPr="009222F6">
        <w:rPr>
          <w:rFonts w:ascii="Cambria" w:eastAsia="Times New Roman" w:hAnsi="Cambria" w:cs="Times New Roman"/>
          <w:color w:val="000000"/>
          <w:kern w:val="0"/>
          <w:sz w:val="22"/>
          <w:szCs w:val="22"/>
          <w14:ligatures w14:val="none"/>
        </w:rPr>
        <w:t xml:space="preserve">Graduation location shows one of the strongest relationships to regional workforce engagement in Northeast Minnesota. Five years after high school, </w:t>
      </w:r>
      <w:r w:rsidRPr="009222F6">
        <w:rPr>
          <w:rFonts w:ascii="Cambria" w:eastAsia="Times New Roman" w:hAnsi="Cambria" w:cs="Times New Roman"/>
          <w:b/>
          <w:bCs/>
          <w:color w:val="000000"/>
          <w:kern w:val="0"/>
          <w:sz w:val="22"/>
          <w:szCs w:val="22"/>
          <w14:ligatures w14:val="none"/>
        </w:rPr>
        <w:t>50.2% of individuals who graduated from a Northeast post-secondary institution</w:t>
      </w:r>
      <w:r w:rsidRPr="009222F6">
        <w:rPr>
          <w:rFonts w:ascii="Cambria" w:eastAsia="Times New Roman" w:hAnsi="Cambria" w:cs="Times New Roman"/>
          <w:color w:val="000000"/>
          <w:kern w:val="0"/>
          <w:sz w:val="22"/>
          <w:szCs w:val="22"/>
          <w14:ligatures w14:val="none"/>
        </w:rPr>
        <w:t xml:space="preserve"> were fully engaged in the regional workforce, compared with </w:t>
      </w:r>
      <w:r w:rsidRPr="009222F6">
        <w:rPr>
          <w:rFonts w:ascii="Cambria" w:eastAsia="Times New Roman" w:hAnsi="Cambria" w:cs="Times New Roman"/>
          <w:b/>
          <w:bCs/>
          <w:color w:val="000000"/>
          <w:kern w:val="0"/>
          <w:sz w:val="22"/>
          <w:szCs w:val="22"/>
          <w14:ligatures w14:val="none"/>
        </w:rPr>
        <w:t>18.3% of those who graduated elsewhere in Minnesota</w:t>
      </w:r>
      <w:r w:rsidRPr="009222F6">
        <w:rPr>
          <w:rFonts w:ascii="Cambria" w:eastAsia="Times New Roman" w:hAnsi="Cambria" w:cs="Times New Roman"/>
          <w:color w:val="000000"/>
          <w:kern w:val="0"/>
          <w:sz w:val="22"/>
          <w:szCs w:val="22"/>
          <w14:ligatures w14:val="none"/>
        </w:rPr>
        <w:t xml:space="preserve"> and </w:t>
      </w:r>
      <w:r w:rsidRPr="009222F6">
        <w:rPr>
          <w:rFonts w:ascii="Cambria" w:eastAsia="Times New Roman" w:hAnsi="Cambria" w:cs="Times New Roman"/>
          <w:b/>
          <w:bCs/>
          <w:color w:val="000000"/>
          <w:kern w:val="0"/>
          <w:sz w:val="22"/>
          <w:szCs w:val="22"/>
          <w14:ligatures w14:val="none"/>
        </w:rPr>
        <w:t>20.4% of those who graduated outside the state</w:t>
      </w:r>
      <w:r w:rsidRPr="009222F6">
        <w:rPr>
          <w:rFonts w:ascii="Cambria" w:eastAsia="Times New Roman" w:hAnsi="Cambria" w:cs="Times New Roman"/>
          <w:color w:val="000000"/>
          <w:kern w:val="0"/>
          <w:sz w:val="22"/>
          <w:szCs w:val="22"/>
          <w14:ligatures w14:val="none"/>
        </w:rPr>
        <w:t xml:space="preserve">. That’s a </w:t>
      </w:r>
      <w:r w:rsidRPr="009222F6">
        <w:rPr>
          <w:rFonts w:ascii="Cambria" w:eastAsia="Times New Roman" w:hAnsi="Cambria" w:cs="Times New Roman"/>
          <w:b/>
          <w:bCs/>
          <w:color w:val="000000"/>
          <w:kern w:val="0"/>
          <w:sz w:val="22"/>
          <w:szCs w:val="22"/>
          <w14:ligatures w14:val="none"/>
        </w:rPr>
        <w:t>31.9-point advantage</w:t>
      </w:r>
      <w:r w:rsidRPr="009222F6">
        <w:rPr>
          <w:rFonts w:ascii="Cambria" w:eastAsia="Times New Roman" w:hAnsi="Cambria" w:cs="Times New Roman"/>
          <w:color w:val="000000"/>
          <w:kern w:val="0"/>
          <w:sz w:val="22"/>
          <w:szCs w:val="22"/>
          <w14:ligatures w14:val="none"/>
        </w:rPr>
        <w:t xml:space="preserve"> over Minnesota graduates outside the region and a </w:t>
      </w:r>
      <w:r w:rsidRPr="009222F6">
        <w:rPr>
          <w:rFonts w:ascii="Cambria" w:eastAsia="Times New Roman" w:hAnsi="Cambria" w:cs="Times New Roman"/>
          <w:b/>
          <w:bCs/>
          <w:color w:val="000000"/>
          <w:kern w:val="0"/>
          <w:sz w:val="22"/>
          <w:szCs w:val="22"/>
          <w14:ligatures w14:val="none"/>
        </w:rPr>
        <w:t>29.8-point advantage</w:t>
      </w:r>
      <w:r w:rsidRPr="009222F6">
        <w:rPr>
          <w:rFonts w:ascii="Cambria" w:eastAsia="Times New Roman" w:hAnsi="Cambria" w:cs="Times New Roman"/>
          <w:color w:val="000000"/>
          <w:kern w:val="0"/>
          <w:sz w:val="22"/>
          <w:szCs w:val="22"/>
          <w14:ligatures w14:val="none"/>
        </w:rPr>
        <w:t xml:space="preserve"> over out-of-state graduates. In relative terms, Northeast post-secondary graduates were </w:t>
      </w:r>
      <w:r w:rsidRPr="009222F6">
        <w:rPr>
          <w:rFonts w:ascii="Cambria" w:eastAsia="Times New Roman" w:hAnsi="Cambria" w:cs="Times New Roman"/>
          <w:b/>
          <w:bCs/>
          <w:color w:val="000000"/>
          <w:kern w:val="0"/>
          <w:sz w:val="22"/>
          <w:szCs w:val="22"/>
          <w14:ligatures w14:val="none"/>
        </w:rPr>
        <w:t>about 2.7 times more likely</w:t>
      </w:r>
      <w:r w:rsidRPr="009222F6">
        <w:rPr>
          <w:rFonts w:ascii="Cambria" w:eastAsia="Times New Roman" w:hAnsi="Cambria" w:cs="Times New Roman"/>
          <w:color w:val="000000"/>
          <w:kern w:val="0"/>
          <w:sz w:val="22"/>
          <w:szCs w:val="22"/>
          <w14:ligatures w14:val="none"/>
        </w:rPr>
        <w:t xml:space="preserve"> than in-state but non-regional graduates—and </w:t>
      </w:r>
      <w:r w:rsidRPr="009222F6">
        <w:rPr>
          <w:rFonts w:ascii="Cambria" w:eastAsia="Times New Roman" w:hAnsi="Cambria" w:cs="Times New Roman"/>
          <w:b/>
          <w:bCs/>
          <w:color w:val="000000"/>
          <w:kern w:val="0"/>
          <w:sz w:val="22"/>
          <w:szCs w:val="22"/>
          <w14:ligatures w14:val="none"/>
        </w:rPr>
        <w:t>about 2.5 times more likely</w:t>
      </w:r>
      <w:r w:rsidRPr="009222F6">
        <w:rPr>
          <w:rFonts w:ascii="Cambria" w:eastAsia="Times New Roman" w:hAnsi="Cambria" w:cs="Times New Roman"/>
          <w:color w:val="000000"/>
          <w:kern w:val="0"/>
          <w:sz w:val="22"/>
          <w:szCs w:val="22"/>
          <w14:ligatures w14:val="none"/>
        </w:rPr>
        <w:t xml:space="preserve"> than out-of-state graduates—to be fully engaged in the region’s workforce. </w:t>
      </w:r>
    </w:p>
    <w:p w14:paraId="1835FFB9" w14:textId="4EEA2FF6" w:rsidR="009222F6" w:rsidRPr="009222F6" w:rsidRDefault="009222F6" w:rsidP="009222F6">
      <w:pPr>
        <w:spacing w:after="200" w:line="240" w:lineRule="auto"/>
        <w:jc w:val="center"/>
        <w:rPr>
          <w:rFonts w:ascii="Times New Roman" w:eastAsia="Times New Roman" w:hAnsi="Times New Roman" w:cs="Times New Roman"/>
          <w:kern w:val="0"/>
          <w14:ligatures w14:val="none"/>
        </w:rPr>
      </w:pPr>
      <w:r w:rsidRPr="009222F6">
        <w:rPr>
          <w:rFonts w:ascii="Cambria" w:eastAsia="Times New Roman" w:hAnsi="Cambria" w:cs="Times New Roman"/>
          <w:noProof/>
          <w:color w:val="000000"/>
          <w:kern w:val="0"/>
          <w:sz w:val="22"/>
          <w:szCs w:val="22"/>
          <w:bdr w:val="none" w:sz="0" w:space="0" w:color="auto" w:frame="1"/>
          <w14:ligatures w14:val="none"/>
        </w:rPr>
        <w:drawing>
          <wp:inline distT="0" distB="0" distL="0" distR="0" wp14:anchorId="2B2610BA" wp14:editId="1E99EB3E">
            <wp:extent cx="5943600" cy="4455795"/>
            <wp:effectExtent l="0" t="0" r="0" b="1905"/>
            <wp:docPr id="357690792" name="Picture 6" descr="A chart of different colo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690792" name="Picture 6" descr="A chart of different colors and lines&#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4455795"/>
                    </a:xfrm>
                    <a:prstGeom prst="rect">
                      <a:avLst/>
                    </a:prstGeom>
                    <a:noFill/>
                    <a:ln>
                      <a:noFill/>
                    </a:ln>
                  </pic:spPr>
                </pic:pic>
              </a:graphicData>
            </a:graphic>
          </wp:inline>
        </w:drawing>
      </w:r>
    </w:p>
    <w:p w14:paraId="6AA02DCD" w14:textId="77777777" w:rsidR="009222F6" w:rsidRPr="009222F6" w:rsidRDefault="009222F6" w:rsidP="009222F6">
      <w:pPr>
        <w:spacing w:after="200" w:line="240" w:lineRule="auto"/>
        <w:jc w:val="center"/>
        <w:rPr>
          <w:rFonts w:ascii="Times New Roman" w:eastAsia="Times New Roman" w:hAnsi="Times New Roman" w:cs="Times New Roman"/>
          <w:kern w:val="0"/>
          <w14:ligatures w14:val="none"/>
        </w:rPr>
      </w:pPr>
      <w:r w:rsidRPr="009222F6">
        <w:rPr>
          <w:rFonts w:ascii="Cambria" w:eastAsia="Times New Roman" w:hAnsi="Cambria" w:cs="Times New Roman"/>
          <w:i/>
          <w:iCs/>
          <w:color w:val="000000"/>
          <w:kern w:val="0"/>
          <w:sz w:val="18"/>
          <w:szCs w:val="18"/>
          <w14:ligatures w14:val="none"/>
        </w:rPr>
        <w:lastRenderedPageBreak/>
        <w:t>Chart X: Half of Northeast high school graduates who completed a degree in a regional college were participating fully in the Northeast workforce five years after high school. Data - MN Office of Higher Education - SLEDS</w:t>
      </w:r>
    </w:p>
    <w:p w14:paraId="1E0A0A42" w14:textId="77777777" w:rsidR="009222F6" w:rsidRPr="009222F6" w:rsidRDefault="009222F6" w:rsidP="009222F6">
      <w:pPr>
        <w:spacing w:after="200" w:line="240" w:lineRule="auto"/>
        <w:rPr>
          <w:rFonts w:ascii="Times New Roman" w:eastAsia="Times New Roman" w:hAnsi="Times New Roman" w:cs="Times New Roman"/>
          <w:kern w:val="0"/>
          <w14:ligatures w14:val="none"/>
        </w:rPr>
      </w:pPr>
      <w:r w:rsidRPr="009222F6">
        <w:rPr>
          <w:rFonts w:ascii="Cambria" w:eastAsia="Times New Roman" w:hAnsi="Cambria" w:cs="Times New Roman"/>
          <w:color w:val="000000"/>
          <w:kern w:val="0"/>
          <w:sz w:val="22"/>
          <w:szCs w:val="22"/>
          <w14:ligatures w14:val="none"/>
        </w:rPr>
        <w:t>This finding underscores the importance of where a student goes for higher education. Students who attend college locally often develop stronger connections with local employers, are exposed to regional job opportunities while studying, and complete internships within the region. These ties frequently translate into permanent employment after graduation.</w:t>
      </w:r>
    </w:p>
    <w:p w14:paraId="02385854" w14:textId="77777777" w:rsidR="009222F6" w:rsidRPr="009222F6" w:rsidRDefault="009222F6" w:rsidP="009222F6">
      <w:pPr>
        <w:spacing w:before="240" w:after="40" w:line="240" w:lineRule="auto"/>
        <w:outlineLvl w:val="3"/>
        <w:rPr>
          <w:rFonts w:ascii="Times New Roman" w:eastAsia="Times New Roman" w:hAnsi="Times New Roman" w:cs="Times New Roman"/>
          <w:b/>
          <w:bCs/>
          <w:kern w:val="0"/>
          <w14:ligatures w14:val="none"/>
        </w:rPr>
      </w:pPr>
      <w:r w:rsidRPr="009222F6">
        <w:rPr>
          <w:rFonts w:ascii="Cambria" w:eastAsia="Times New Roman" w:hAnsi="Cambria" w:cs="Times New Roman"/>
          <w:color w:val="666666"/>
          <w:kern w:val="0"/>
          <w14:ligatures w14:val="none"/>
        </w:rPr>
        <w:t>Degree Type and College Type Also Matter</w:t>
      </w:r>
    </w:p>
    <w:p w14:paraId="46A13388" w14:textId="77777777" w:rsidR="009222F6" w:rsidRPr="009222F6" w:rsidRDefault="009222F6" w:rsidP="009222F6">
      <w:pPr>
        <w:spacing w:before="240" w:after="240" w:line="240" w:lineRule="auto"/>
        <w:rPr>
          <w:rFonts w:ascii="Times New Roman" w:eastAsia="Times New Roman" w:hAnsi="Times New Roman" w:cs="Times New Roman"/>
          <w:kern w:val="0"/>
          <w14:ligatures w14:val="none"/>
        </w:rPr>
      </w:pPr>
      <w:r w:rsidRPr="009222F6">
        <w:rPr>
          <w:rFonts w:ascii="Cambria" w:eastAsia="Times New Roman" w:hAnsi="Cambria" w:cs="Times New Roman"/>
          <w:color w:val="000000"/>
          <w:kern w:val="0"/>
          <w:sz w:val="22"/>
          <w:szCs w:val="22"/>
          <w14:ligatures w14:val="none"/>
        </w:rPr>
        <w:t xml:space="preserve">The connection between education and regional employment is not limited to </w:t>
      </w:r>
      <w:r w:rsidRPr="009222F6">
        <w:rPr>
          <w:rFonts w:ascii="Cambria" w:eastAsia="Times New Roman" w:hAnsi="Cambria" w:cs="Times New Roman"/>
          <w:i/>
          <w:iCs/>
          <w:color w:val="000000"/>
          <w:kern w:val="0"/>
          <w:sz w:val="22"/>
          <w:szCs w:val="22"/>
          <w14:ligatures w14:val="none"/>
        </w:rPr>
        <w:t>where</w:t>
      </w:r>
      <w:r w:rsidRPr="009222F6">
        <w:rPr>
          <w:rFonts w:ascii="Cambria" w:eastAsia="Times New Roman" w:hAnsi="Cambria" w:cs="Times New Roman"/>
          <w:color w:val="000000"/>
          <w:kern w:val="0"/>
          <w:sz w:val="22"/>
          <w:szCs w:val="22"/>
          <w14:ligatures w14:val="none"/>
        </w:rPr>
        <w:t xml:space="preserve"> students go to college — it is also strongly shaped by </w:t>
      </w:r>
      <w:r w:rsidRPr="009222F6">
        <w:rPr>
          <w:rFonts w:ascii="Cambria" w:eastAsia="Times New Roman" w:hAnsi="Cambria" w:cs="Times New Roman"/>
          <w:b/>
          <w:bCs/>
          <w:color w:val="000000"/>
          <w:kern w:val="0"/>
          <w:sz w:val="22"/>
          <w:szCs w:val="22"/>
          <w14:ligatures w14:val="none"/>
        </w:rPr>
        <w:t>what type of institution they attend and what kind of credential they earn</w:t>
      </w:r>
      <w:r w:rsidRPr="009222F6">
        <w:rPr>
          <w:rFonts w:ascii="Cambria" w:eastAsia="Times New Roman" w:hAnsi="Cambria" w:cs="Times New Roman"/>
          <w:color w:val="000000"/>
          <w:kern w:val="0"/>
          <w:sz w:val="22"/>
          <w:szCs w:val="22"/>
          <w14:ligatures w14:val="none"/>
        </w:rPr>
        <w:t xml:space="preserve">. Across both dimensions, the pattern is consistent and </w:t>
      </w:r>
      <w:proofErr w:type="gramStart"/>
      <w:r w:rsidRPr="009222F6">
        <w:rPr>
          <w:rFonts w:ascii="Cambria" w:eastAsia="Times New Roman" w:hAnsi="Cambria" w:cs="Times New Roman"/>
          <w:color w:val="000000"/>
          <w:kern w:val="0"/>
          <w:sz w:val="22"/>
          <w:szCs w:val="22"/>
          <w14:ligatures w14:val="none"/>
        </w:rPr>
        <w:t>striking:</w:t>
      </w:r>
      <w:proofErr w:type="gramEnd"/>
      <w:r w:rsidRPr="009222F6">
        <w:rPr>
          <w:rFonts w:ascii="Cambria" w:eastAsia="Times New Roman" w:hAnsi="Cambria" w:cs="Times New Roman"/>
          <w:color w:val="000000"/>
          <w:kern w:val="0"/>
          <w:sz w:val="22"/>
          <w:szCs w:val="22"/>
          <w14:ligatures w14:val="none"/>
        </w:rPr>
        <w:t xml:space="preserve"> </w:t>
      </w:r>
      <w:r w:rsidRPr="009222F6">
        <w:rPr>
          <w:rFonts w:ascii="Cambria" w:eastAsia="Times New Roman" w:hAnsi="Cambria" w:cs="Times New Roman"/>
          <w:b/>
          <w:bCs/>
          <w:color w:val="000000"/>
          <w:kern w:val="0"/>
          <w:sz w:val="22"/>
          <w:szCs w:val="22"/>
          <w14:ligatures w14:val="none"/>
        </w:rPr>
        <w:t>two-year colleges and applied credentials are far more likely to lead to meaningful participation in Northeast Minnesota’s workforce.</w:t>
      </w:r>
    </w:p>
    <w:p w14:paraId="3142B7E9" w14:textId="77777777" w:rsidR="009222F6" w:rsidRPr="009222F6" w:rsidRDefault="009222F6" w:rsidP="009222F6">
      <w:pPr>
        <w:spacing w:before="240" w:after="240" w:line="240" w:lineRule="auto"/>
        <w:rPr>
          <w:rFonts w:ascii="Times New Roman" w:eastAsia="Times New Roman" w:hAnsi="Times New Roman" w:cs="Times New Roman"/>
          <w:kern w:val="0"/>
          <w14:ligatures w14:val="none"/>
        </w:rPr>
      </w:pPr>
      <w:r w:rsidRPr="009222F6">
        <w:rPr>
          <w:rFonts w:ascii="Cambria" w:eastAsia="Times New Roman" w:hAnsi="Cambria" w:cs="Times New Roman"/>
          <w:color w:val="000000"/>
          <w:kern w:val="0"/>
          <w:sz w:val="22"/>
          <w:szCs w:val="22"/>
          <w14:ligatures w14:val="none"/>
        </w:rPr>
        <w:t xml:space="preserve">Roughly </w:t>
      </w:r>
      <w:r w:rsidRPr="009222F6">
        <w:rPr>
          <w:rFonts w:ascii="Cambria" w:eastAsia="Times New Roman" w:hAnsi="Cambria" w:cs="Times New Roman"/>
          <w:b/>
          <w:bCs/>
          <w:color w:val="000000"/>
          <w:kern w:val="0"/>
          <w:sz w:val="22"/>
          <w:szCs w:val="22"/>
          <w14:ligatures w14:val="none"/>
        </w:rPr>
        <w:t>half of Northeast high school graduates who earned an associate degree or certificate</w:t>
      </w:r>
      <w:r w:rsidRPr="009222F6">
        <w:rPr>
          <w:rFonts w:ascii="Cambria" w:eastAsia="Times New Roman" w:hAnsi="Cambria" w:cs="Times New Roman"/>
          <w:color w:val="000000"/>
          <w:kern w:val="0"/>
          <w:sz w:val="22"/>
          <w:szCs w:val="22"/>
          <w14:ligatures w14:val="none"/>
        </w:rPr>
        <w:t xml:space="preserve"> were meaningfully employed in the region five years after high school. This rate is substantially higher than for graduates who earned a bachelor’s degree or higher, underscoring the strength of </w:t>
      </w:r>
      <w:r w:rsidRPr="009222F6">
        <w:rPr>
          <w:rFonts w:ascii="Cambria" w:eastAsia="Times New Roman" w:hAnsi="Cambria" w:cs="Times New Roman"/>
          <w:b/>
          <w:bCs/>
          <w:color w:val="000000"/>
          <w:kern w:val="0"/>
          <w:sz w:val="22"/>
          <w:szCs w:val="22"/>
          <w14:ligatures w14:val="none"/>
        </w:rPr>
        <w:t>applied, workforce-aligned credentials</w:t>
      </w:r>
      <w:r w:rsidRPr="009222F6">
        <w:rPr>
          <w:rFonts w:ascii="Cambria" w:eastAsia="Times New Roman" w:hAnsi="Cambria" w:cs="Times New Roman"/>
          <w:color w:val="000000"/>
          <w:kern w:val="0"/>
          <w:sz w:val="22"/>
          <w:szCs w:val="22"/>
          <w14:ligatures w14:val="none"/>
        </w:rPr>
        <w:t xml:space="preserve"> in supporting local employment.</w:t>
      </w:r>
    </w:p>
    <w:p w14:paraId="67962568" w14:textId="1206CAF8" w:rsidR="009222F6" w:rsidRPr="009222F6" w:rsidRDefault="009222F6" w:rsidP="009222F6">
      <w:pPr>
        <w:spacing w:before="240" w:after="240" w:line="240" w:lineRule="auto"/>
        <w:jc w:val="center"/>
        <w:rPr>
          <w:rFonts w:ascii="Times New Roman" w:eastAsia="Times New Roman" w:hAnsi="Times New Roman" w:cs="Times New Roman"/>
          <w:kern w:val="0"/>
          <w14:ligatures w14:val="none"/>
        </w:rPr>
      </w:pPr>
      <w:r w:rsidRPr="009222F6">
        <w:rPr>
          <w:rFonts w:ascii="Cambria" w:eastAsia="Times New Roman" w:hAnsi="Cambria" w:cs="Times New Roman"/>
          <w:noProof/>
          <w:color w:val="000000"/>
          <w:kern w:val="0"/>
          <w:sz w:val="22"/>
          <w:szCs w:val="22"/>
          <w:bdr w:val="none" w:sz="0" w:space="0" w:color="auto" w:frame="1"/>
          <w14:ligatures w14:val="none"/>
        </w:rPr>
        <w:drawing>
          <wp:inline distT="0" distB="0" distL="0" distR="0" wp14:anchorId="6E5C703B" wp14:editId="2243D047">
            <wp:extent cx="5943600" cy="4455795"/>
            <wp:effectExtent l="0" t="0" r="0" b="1905"/>
            <wp:docPr id="1382592213" name="Picture 5"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592213" name="Picture 5" descr="A graph of different colored lines&#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4455795"/>
                    </a:xfrm>
                    <a:prstGeom prst="rect">
                      <a:avLst/>
                    </a:prstGeom>
                    <a:noFill/>
                    <a:ln>
                      <a:noFill/>
                    </a:ln>
                  </pic:spPr>
                </pic:pic>
              </a:graphicData>
            </a:graphic>
          </wp:inline>
        </w:drawing>
      </w:r>
      <w:r w:rsidRPr="009222F6">
        <w:rPr>
          <w:rFonts w:ascii="Cambria" w:eastAsia="Times New Roman" w:hAnsi="Cambria" w:cs="Times New Roman"/>
          <w:color w:val="000000"/>
          <w:kern w:val="0"/>
          <w:sz w:val="22"/>
          <w:szCs w:val="22"/>
          <w14:ligatures w14:val="none"/>
        </w:rPr>
        <w:br/>
        <w:t xml:space="preserve">Chart X: A disproportionate percentage of individuals that attain an </w:t>
      </w:r>
      <w:proofErr w:type="gramStart"/>
      <w:r w:rsidRPr="009222F6">
        <w:rPr>
          <w:rFonts w:ascii="Cambria" w:eastAsia="Times New Roman" w:hAnsi="Cambria" w:cs="Times New Roman"/>
          <w:color w:val="000000"/>
          <w:kern w:val="0"/>
          <w:sz w:val="22"/>
          <w:szCs w:val="22"/>
          <w14:ligatures w14:val="none"/>
        </w:rPr>
        <w:t>Associate Degree</w:t>
      </w:r>
      <w:proofErr w:type="gramEnd"/>
      <w:r w:rsidRPr="009222F6">
        <w:rPr>
          <w:rFonts w:ascii="Cambria" w:eastAsia="Times New Roman" w:hAnsi="Cambria" w:cs="Times New Roman"/>
          <w:color w:val="000000"/>
          <w:kern w:val="0"/>
          <w:sz w:val="22"/>
          <w:szCs w:val="22"/>
          <w14:ligatures w14:val="none"/>
        </w:rPr>
        <w:t xml:space="preserve"> or certificate </w:t>
      </w:r>
      <w:r w:rsidRPr="009222F6">
        <w:rPr>
          <w:rFonts w:ascii="Cambria" w:eastAsia="Times New Roman" w:hAnsi="Cambria" w:cs="Times New Roman"/>
          <w:color w:val="000000"/>
          <w:kern w:val="0"/>
          <w:sz w:val="22"/>
          <w:szCs w:val="22"/>
          <w14:ligatures w14:val="none"/>
        </w:rPr>
        <w:lastRenderedPageBreak/>
        <w:t>are participating in the regional labor force meaningful 5 years after graduating high school. Data: MN Office of Higher Education - SLEDS</w:t>
      </w:r>
    </w:p>
    <w:p w14:paraId="0625F6BA" w14:textId="77777777" w:rsidR="009222F6" w:rsidRPr="009222F6" w:rsidRDefault="009222F6" w:rsidP="009222F6">
      <w:pPr>
        <w:spacing w:before="240" w:after="240" w:line="240" w:lineRule="auto"/>
        <w:rPr>
          <w:rFonts w:ascii="Times New Roman" w:eastAsia="Times New Roman" w:hAnsi="Times New Roman" w:cs="Times New Roman"/>
          <w:kern w:val="0"/>
          <w14:ligatures w14:val="none"/>
        </w:rPr>
      </w:pPr>
      <w:r w:rsidRPr="009222F6">
        <w:rPr>
          <w:rFonts w:ascii="Cambria" w:eastAsia="Times New Roman" w:hAnsi="Cambria" w:cs="Times New Roman"/>
          <w:color w:val="000000"/>
          <w:kern w:val="0"/>
          <w:sz w:val="22"/>
          <w:szCs w:val="22"/>
          <w14:ligatures w14:val="none"/>
        </w:rPr>
        <w:t xml:space="preserve">The same pattern appears when looking at </w:t>
      </w:r>
      <w:r w:rsidRPr="009222F6">
        <w:rPr>
          <w:rFonts w:ascii="Cambria" w:eastAsia="Times New Roman" w:hAnsi="Cambria" w:cs="Times New Roman"/>
          <w:b/>
          <w:bCs/>
          <w:color w:val="000000"/>
          <w:kern w:val="0"/>
          <w:sz w:val="22"/>
          <w:szCs w:val="22"/>
          <w14:ligatures w14:val="none"/>
        </w:rPr>
        <w:t>institution type</w:t>
      </w:r>
      <w:r w:rsidRPr="009222F6">
        <w:rPr>
          <w:rFonts w:ascii="Cambria" w:eastAsia="Times New Roman" w:hAnsi="Cambria" w:cs="Times New Roman"/>
          <w:color w:val="000000"/>
          <w:kern w:val="0"/>
          <w:sz w:val="22"/>
          <w:szCs w:val="22"/>
          <w14:ligatures w14:val="none"/>
        </w:rPr>
        <w:t xml:space="preserve">. Regardless of where the college was located, </w:t>
      </w:r>
      <w:r w:rsidRPr="009222F6">
        <w:rPr>
          <w:rFonts w:ascii="Cambria" w:eastAsia="Times New Roman" w:hAnsi="Cambria" w:cs="Times New Roman"/>
          <w:b/>
          <w:bCs/>
          <w:color w:val="000000"/>
          <w:kern w:val="0"/>
          <w:sz w:val="22"/>
          <w:szCs w:val="22"/>
          <w14:ligatures w14:val="none"/>
        </w:rPr>
        <w:t>50% of graduates from two-year institutions</w:t>
      </w:r>
      <w:r w:rsidRPr="009222F6">
        <w:rPr>
          <w:rFonts w:ascii="Cambria" w:eastAsia="Times New Roman" w:hAnsi="Cambria" w:cs="Times New Roman"/>
          <w:color w:val="000000"/>
          <w:kern w:val="0"/>
          <w:sz w:val="22"/>
          <w:szCs w:val="22"/>
          <w14:ligatures w14:val="none"/>
        </w:rPr>
        <w:t xml:space="preserve"> were meaningfully participating in the regional labor force five years after high school. This is </w:t>
      </w:r>
      <w:r w:rsidRPr="009222F6">
        <w:rPr>
          <w:rFonts w:ascii="Cambria" w:eastAsia="Times New Roman" w:hAnsi="Cambria" w:cs="Times New Roman"/>
          <w:b/>
          <w:bCs/>
          <w:color w:val="000000"/>
          <w:kern w:val="0"/>
          <w:sz w:val="22"/>
          <w:szCs w:val="22"/>
          <w14:ligatures w14:val="none"/>
        </w:rPr>
        <w:t>more than double</w:t>
      </w:r>
      <w:r w:rsidRPr="009222F6">
        <w:rPr>
          <w:rFonts w:ascii="Cambria" w:eastAsia="Times New Roman" w:hAnsi="Cambria" w:cs="Times New Roman"/>
          <w:color w:val="000000"/>
          <w:kern w:val="0"/>
          <w:sz w:val="22"/>
          <w:szCs w:val="22"/>
          <w14:ligatures w14:val="none"/>
        </w:rPr>
        <w:t xml:space="preserve"> the rate observed among graduates who attended </w:t>
      </w:r>
      <w:r w:rsidRPr="009222F6">
        <w:rPr>
          <w:rFonts w:ascii="Cambria" w:eastAsia="Times New Roman" w:hAnsi="Cambria" w:cs="Times New Roman"/>
          <w:b/>
          <w:bCs/>
          <w:color w:val="000000"/>
          <w:kern w:val="0"/>
          <w:sz w:val="22"/>
          <w:szCs w:val="22"/>
          <w14:ligatures w14:val="none"/>
        </w:rPr>
        <w:t>only four-year institutions</w:t>
      </w:r>
      <w:r w:rsidRPr="009222F6">
        <w:rPr>
          <w:rFonts w:ascii="Cambria" w:eastAsia="Times New Roman" w:hAnsi="Cambria" w:cs="Times New Roman"/>
          <w:color w:val="000000"/>
          <w:kern w:val="0"/>
          <w:sz w:val="22"/>
          <w:szCs w:val="22"/>
          <w14:ligatures w14:val="none"/>
        </w:rPr>
        <w:t>.</w:t>
      </w:r>
    </w:p>
    <w:p w14:paraId="7976FF47" w14:textId="77777777" w:rsidR="009222F6" w:rsidRPr="009222F6" w:rsidRDefault="009222F6" w:rsidP="009222F6">
      <w:pPr>
        <w:spacing w:before="240" w:after="240" w:line="240" w:lineRule="auto"/>
        <w:rPr>
          <w:rFonts w:ascii="Times New Roman" w:eastAsia="Times New Roman" w:hAnsi="Times New Roman" w:cs="Times New Roman"/>
          <w:kern w:val="0"/>
          <w14:ligatures w14:val="none"/>
        </w:rPr>
      </w:pPr>
      <w:r w:rsidRPr="009222F6">
        <w:rPr>
          <w:rFonts w:ascii="Cambria" w:eastAsia="Times New Roman" w:hAnsi="Cambria" w:cs="Times New Roman"/>
          <w:color w:val="000000"/>
          <w:kern w:val="0"/>
          <w:sz w:val="22"/>
          <w:szCs w:val="22"/>
          <w14:ligatures w14:val="none"/>
        </w:rPr>
        <w:t xml:space="preserve">Importantly, this regional advantage is not limited to students who exclusively attended two-year colleges. Graduates who attended </w:t>
      </w:r>
      <w:r w:rsidRPr="009222F6">
        <w:rPr>
          <w:rFonts w:ascii="Cambria" w:eastAsia="Times New Roman" w:hAnsi="Cambria" w:cs="Times New Roman"/>
          <w:b/>
          <w:bCs/>
          <w:color w:val="000000"/>
          <w:kern w:val="0"/>
          <w:sz w:val="22"/>
          <w:szCs w:val="22"/>
          <w14:ligatures w14:val="none"/>
        </w:rPr>
        <w:t>multiple types of institutions — combining two-year and four-year education — also show strong regional attachment</w:t>
      </w:r>
      <w:r w:rsidRPr="009222F6">
        <w:rPr>
          <w:rFonts w:ascii="Cambria" w:eastAsia="Times New Roman" w:hAnsi="Cambria" w:cs="Times New Roman"/>
          <w:color w:val="000000"/>
          <w:kern w:val="0"/>
          <w:sz w:val="22"/>
          <w:szCs w:val="22"/>
          <w14:ligatures w14:val="none"/>
        </w:rPr>
        <w:t xml:space="preserve">. About </w:t>
      </w:r>
      <w:r w:rsidRPr="009222F6">
        <w:rPr>
          <w:rFonts w:ascii="Cambria" w:eastAsia="Times New Roman" w:hAnsi="Cambria" w:cs="Times New Roman"/>
          <w:b/>
          <w:bCs/>
          <w:color w:val="000000"/>
          <w:kern w:val="0"/>
          <w:sz w:val="22"/>
          <w:szCs w:val="22"/>
          <w14:ligatures w14:val="none"/>
        </w:rPr>
        <w:t>42%</w:t>
      </w:r>
      <w:r w:rsidRPr="009222F6">
        <w:rPr>
          <w:rFonts w:ascii="Cambria" w:eastAsia="Times New Roman" w:hAnsi="Cambria" w:cs="Times New Roman"/>
          <w:color w:val="000000"/>
          <w:kern w:val="0"/>
          <w:sz w:val="22"/>
          <w:szCs w:val="22"/>
          <w14:ligatures w14:val="none"/>
        </w:rPr>
        <w:t xml:space="preserve"> of these graduates were meaningfully employed in Northeast Minnesota, compared with just </w:t>
      </w:r>
      <w:r w:rsidRPr="009222F6">
        <w:rPr>
          <w:rFonts w:ascii="Cambria" w:eastAsia="Times New Roman" w:hAnsi="Cambria" w:cs="Times New Roman"/>
          <w:b/>
          <w:bCs/>
          <w:color w:val="000000"/>
          <w:kern w:val="0"/>
          <w:sz w:val="22"/>
          <w:szCs w:val="22"/>
          <w14:ligatures w14:val="none"/>
        </w:rPr>
        <w:t>24%</w:t>
      </w:r>
      <w:r w:rsidRPr="009222F6">
        <w:rPr>
          <w:rFonts w:ascii="Cambria" w:eastAsia="Times New Roman" w:hAnsi="Cambria" w:cs="Times New Roman"/>
          <w:color w:val="000000"/>
          <w:kern w:val="0"/>
          <w:sz w:val="22"/>
          <w:szCs w:val="22"/>
          <w14:ligatures w14:val="none"/>
        </w:rPr>
        <w:t xml:space="preserve"> of those who graduated solely from four-year institutions.</w:t>
      </w:r>
    </w:p>
    <w:p w14:paraId="652C5275" w14:textId="3CF4C4F1" w:rsidR="009222F6" w:rsidRPr="009222F6" w:rsidRDefault="009222F6" w:rsidP="009222F6">
      <w:pPr>
        <w:spacing w:before="240" w:after="240" w:line="240" w:lineRule="auto"/>
        <w:jc w:val="center"/>
        <w:rPr>
          <w:rFonts w:ascii="Times New Roman" w:eastAsia="Times New Roman" w:hAnsi="Times New Roman" w:cs="Times New Roman"/>
          <w:kern w:val="0"/>
          <w14:ligatures w14:val="none"/>
        </w:rPr>
      </w:pPr>
      <w:r w:rsidRPr="009222F6">
        <w:rPr>
          <w:rFonts w:ascii="Cambria" w:eastAsia="Times New Roman" w:hAnsi="Cambria" w:cs="Times New Roman"/>
          <w:noProof/>
          <w:color w:val="000000"/>
          <w:kern w:val="0"/>
          <w:sz w:val="22"/>
          <w:szCs w:val="22"/>
          <w:bdr w:val="none" w:sz="0" w:space="0" w:color="auto" w:frame="1"/>
          <w14:ligatures w14:val="none"/>
        </w:rPr>
        <w:drawing>
          <wp:inline distT="0" distB="0" distL="0" distR="0" wp14:anchorId="6B4A7E44" wp14:editId="2F712276">
            <wp:extent cx="5943600" cy="4455795"/>
            <wp:effectExtent l="0" t="0" r="0" b="1905"/>
            <wp:docPr id="1031597805" name="Picture 4" descr="A chart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597805" name="Picture 4" descr="A chart with different colored lines&#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4455795"/>
                    </a:xfrm>
                    <a:prstGeom prst="rect">
                      <a:avLst/>
                    </a:prstGeom>
                    <a:noFill/>
                    <a:ln>
                      <a:noFill/>
                    </a:ln>
                  </pic:spPr>
                </pic:pic>
              </a:graphicData>
            </a:graphic>
          </wp:inline>
        </w:drawing>
      </w:r>
      <w:r w:rsidRPr="009222F6">
        <w:rPr>
          <w:rFonts w:ascii="Cambria" w:eastAsia="Times New Roman" w:hAnsi="Cambria" w:cs="Times New Roman"/>
          <w:color w:val="000000"/>
          <w:kern w:val="0"/>
          <w:sz w:val="22"/>
          <w:szCs w:val="22"/>
          <w14:ligatures w14:val="none"/>
        </w:rPr>
        <w:br/>
        <w:t>Chart X: Individuals who graduated from a 2-year institution (2-year or less, or multiple types) were twice as likely to be meaningfully participating in the Northeast labor force 5 years after high school compared to graduates of only 4-year institutions.  Data: MN Office of Higher Education - SLEDS</w:t>
      </w:r>
    </w:p>
    <w:p w14:paraId="70644285" w14:textId="77777777" w:rsidR="009222F6" w:rsidRPr="009222F6" w:rsidRDefault="009222F6" w:rsidP="009222F6">
      <w:pPr>
        <w:spacing w:after="0" w:line="240" w:lineRule="auto"/>
        <w:rPr>
          <w:rFonts w:ascii="Times New Roman" w:eastAsia="Times New Roman" w:hAnsi="Times New Roman" w:cs="Times New Roman"/>
          <w:kern w:val="0"/>
          <w14:ligatures w14:val="none"/>
        </w:rPr>
      </w:pPr>
    </w:p>
    <w:p w14:paraId="5158D75C" w14:textId="77777777" w:rsidR="009222F6" w:rsidRPr="009222F6" w:rsidRDefault="009222F6" w:rsidP="009222F6">
      <w:pPr>
        <w:spacing w:before="240" w:after="240" w:line="240" w:lineRule="auto"/>
        <w:rPr>
          <w:rFonts w:ascii="Times New Roman" w:eastAsia="Times New Roman" w:hAnsi="Times New Roman" w:cs="Times New Roman"/>
          <w:kern w:val="0"/>
          <w14:ligatures w14:val="none"/>
        </w:rPr>
      </w:pPr>
      <w:r w:rsidRPr="009222F6">
        <w:rPr>
          <w:rFonts w:ascii="Cambria" w:eastAsia="Times New Roman" w:hAnsi="Cambria" w:cs="Times New Roman"/>
          <w:color w:val="000000"/>
          <w:kern w:val="0"/>
          <w:sz w:val="22"/>
          <w:szCs w:val="22"/>
          <w14:ligatures w14:val="none"/>
        </w:rPr>
        <w:t>Taken together, these findings send a clear message:</w:t>
      </w:r>
    </w:p>
    <w:p w14:paraId="584AC59A" w14:textId="77777777" w:rsidR="009222F6" w:rsidRPr="009222F6" w:rsidRDefault="009222F6" w:rsidP="009222F6">
      <w:pPr>
        <w:spacing w:before="240" w:after="240" w:line="240" w:lineRule="auto"/>
        <w:ind w:left="600" w:right="600"/>
        <w:rPr>
          <w:rFonts w:ascii="Times New Roman" w:eastAsia="Times New Roman" w:hAnsi="Times New Roman" w:cs="Times New Roman"/>
          <w:kern w:val="0"/>
          <w14:ligatures w14:val="none"/>
        </w:rPr>
      </w:pPr>
      <w:r w:rsidRPr="009222F6">
        <w:rPr>
          <w:rFonts w:ascii="Cambria" w:eastAsia="Times New Roman" w:hAnsi="Cambria" w:cs="Times New Roman"/>
          <w:b/>
          <w:bCs/>
          <w:color w:val="000000"/>
          <w:kern w:val="0"/>
          <w:sz w:val="22"/>
          <w:szCs w:val="22"/>
          <w14:ligatures w14:val="none"/>
        </w:rPr>
        <w:lastRenderedPageBreak/>
        <w:t>Two-year colleges — whether attended alone or in combination with four-year institutions — play a critical anchoring role in the regional labor market.</w:t>
      </w:r>
    </w:p>
    <w:p w14:paraId="478B9556" w14:textId="77777777" w:rsidR="009222F6" w:rsidRPr="009222F6" w:rsidRDefault="009222F6" w:rsidP="009222F6">
      <w:pPr>
        <w:spacing w:after="0" w:line="240" w:lineRule="auto"/>
        <w:rPr>
          <w:rFonts w:ascii="Times New Roman" w:eastAsia="Times New Roman" w:hAnsi="Times New Roman" w:cs="Times New Roman"/>
          <w:kern w:val="0"/>
          <w14:ligatures w14:val="none"/>
        </w:rPr>
      </w:pPr>
    </w:p>
    <w:p w14:paraId="50ECEFC3" w14:textId="77777777" w:rsidR="009222F6" w:rsidRPr="009222F6" w:rsidRDefault="009222F6" w:rsidP="009222F6">
      <w:pPr>
        <w:spacing w:before="240" w:after="40" w:line="240" w:lineRule="auto"/>
        <w:outlineLvl w:val="3"/>
        <w:rPr>
          <w:rFonts w:ascii="Times New Roman" w:eastAsia="Times New Roman" w:hAnsi="Times New Roman" w:cs="Times New Roman"/>
          <w:b/>
          <w:bCs/>
          <w:kern w:val="0"/>
          <w14:ligatures w14:val="none"/>
        </w:rPr>
      </w:pPr>
      <w:r w:rsidRPr="009222F6">
        <w:rPr>
          <w:rFonts w:ascii="Cambria" w:eastAsia="Times New Roman" w:hAnsi="Cambria" w:cs="Times New Roman"/>
          <w:color w:val="666666"/>
          <w:kern w:val="0"/>
          <w14:ligatures w14:val="none"/>
        </w:rPr>
        <w:t>Encouraging Signs for the Regional Talent Pipeline</w:t>
      </w:r>
    </w:p>
    <w:p w14:paraId="2CB6FEC8" w14:textId="77777777" w:rsidR="009222F6" w:rsidRPr="009222F6" w:rsidRDefault="009222F6" w:rsidP="009222F6">
      <w:pPr>
        <w:spacing w:before="240" w:after="240" w:line="240" w:lineRule="auto"/>
        <w:rPr>
          <w:rFonts w:ascii="Times New Roman" w:eastAsia="Times New Roman" w:hAnsi="Times New Roman" w:cs="Times New Roman"/>
          <w:kern w:val="0"/>
          <w14:ligatures w14:val="none"/>
        </w:rPr>
      </w:pPr>
      <w:r w:rsidRPr="009222F6">
        <w:rPr>
          <w:rFonts w:ascii="Cambria" w:eastAsia="Times New Roman" w:hAnsi="Cambria" w:cs="Times New Roman"/>
          <w:color w:val="000000"/>
          <w:kern w:val="0"/>
          <w:sz w:val="22"/>
          <w:szCs w:val="22"/>
          <w14:ligatures w14:val="none"/>
        </w:rPr>
        <w:t xml:space="preserve">The best news for Northeast Minnesota is that </w:t>
      </w:r>
      <w:r w:rsidRPr="009222F6">
        <w:rPr>
          <w:rFonts w:ascii="Cambria" w:eastAsia="Times New Roman" w:hAnsi="Cambria" w:cs="Times New Roman"/>
          <w:b/>
          <w:bCs/>
          <w:color w:val="000000"/>
          <w:kern w:val="0"/>
          <w:sz w:val="22"/>
          <w:szCs w:val="22"/>
          <w14:ligatures w14:val="none"/>
        </w:rPr>
        <w:t xml:space="preserve">a large share of its college graduates already </w:t>
      </w:r>
      <w:proofErr w:type="gramStart"/>
      <w:r w:rsidRPr="009222F6">
        <w:rPr>
          <w:rFonts w:ascii="Cambria" w:eastAsia="Times New Roman" w:hAnsi="Cambria" w:cs="Times New Roman"/>
          <w:b/>
          <w:bCs/>
          <w:color w:val="000000"/>
          <w:kern w:val="0"/>
          <w:sz w:val="22"/>
          <w:szCs w:val="22"/>
          <w14:ligatures w14:val="none"/>
        </w:rPr>
        <w:t>follow</w:t>
      </w:r>
      <w:proofErr w:type="gramEnd"/>
      <w:r w:rsidRPr="009222F6">
        <w:rPr>
          <w:rFonts w:ascii="Cambria" w:eastAsia="Times New Roman" w:hAnsi="Cambria" w:cs="Times New Roman"/>
          <w:b/>
          <w:bCs/>
          <w:color w:val="000000"/>
          <w:kern w:val="0"/>
          <w:sz w:val="22"/>
          <w:szCs w:val="22"/>
          <w14:ligatures w14:val="none"/>
        </w:rPr>
        <w:t xml:space="preserve"> these anchoring pathways. </w:t>
      </w:r>
      <w:r w:rsidRPr="009222F6">
        <w:rPr>
          <w:rFonts w:ascii="Cambria" w:eastAsia="Times New Roman" w:hAnsi="Cambria" w:cs="Times New Roman"/>
          <w:color w:val="000000"/>
          <w:kern w:val="0"/>
          <w:sz w:val="22"/>
          <w:szCs w:val="22"/>
          <w14:ligatures w14:val="none"/>
        </w:rPr>
        <w:t>Among all high school graduates who went on to complete a college degree:</w:t>
      </w:r>
    </w:p>
    <w:p w14:paraId="03590A90" w14:textId="77777777" w:rsidR="009222F6" w:rsidRPr="009222F6" w:rsidRDefault="009222F6" w:rsidP="009222F6">
      <w:pPr>
        <w:numPr>
          <w:ilvl w:val="0"/>
          <w:numId w:val="1"/>
        </w:numPr>
        <w:spacing w:before="240" w:after="0" w:line="240" w:lineRule="auto"/>
        <w:textAlignment w:val="baseline"/>
        <w:rPr>
          <w:rFonts w:ascii="Cambria" w:eastAsia="Times New Roman" w:hAnsi="Cambria" w:cs="Times New Roman"/>
          <w:color w:val="000000"/>
          <w:kern w:val="0"/>
          <w:sz w:val="22"/>
          <w:szCs w:val="22"/>
          <w14:ligatures w14:val="none"/>
        </w:rPr>
      </w:pPr>
      <w:r w:rsidRPr="009222F6">
        <w:rPr>
          <w:rFonts w:ascii="Cambria" w:eastAsia="Times New Roman" w:hAnsi="Cambria" w:cs="Times New Roman"/>
          <w:b/>
          <w:bCs/>
          <w:color w:val="000000"/>
          <w:kern w:val="0"/>
          <w:sz w:val="22"/>
          <w:szCs w:val="22"/>
          <w14:ligatures w14:val="none"/>
        </w:rPr>
        <w:t>59%</w:t>
      </w:r>
      <w:r w:rsidRPr="009222F6">
        <w:rPr>
          <w:rFonts w:ascii="Cambria" w:eastAsia="Times New Roman" w:hAnsi="Cambria" w:cs="Times New Roman"/>
          <w:color w:val="000000"/>
          <w:kern w:val="0"/>
          <w:sz w:val="22"/>
          <w:szCs w:val="22"/>
          <w14:ligatures w14:val="none"/>
        </w:rPr>
        <w:t xml:space="preserve"> graduated from a college located within the region,</w:t>
      </w:r>
    </w:p>
    <w:p w14:paraId="09F6E9DE" w14:textId="77777777" w:rsidR="009222F6" w:rsidRPr="009222F6" w:rsidRDefault="009222F6" w:rsidP="009222F6">
      <w:pPr>
        <w:numPr>
          <w:ilvl w:val="0"/>
          <w:numId w:val="1"/>
        </w:numPr>
        <w:spacing w:after="0" w:line="240" w:lineRule="auto"/>
        <w:textAlignment w:val="baseline"/>
        <w:rPr>
          <w:rFonts w:ascii="Cambria" w:eastAsia="Times New Roman" w:hAnsi="Cambria" w:cs="Times New Roman"/>
          <w:color w:val="000000"/>
          <w:kern w:val="0"/>
          <w:sz w:val="22"/>
          <w:szCs w:val="22"/>
          <w14:ligatures w14:val="none"/>
        </w:rPr>
      </w:pPr>
      <w:r w:rsidRPr="009222F6">
        <w:rPr>
          <w:rFonts w:ascii="Cambria" w:eastAsia="Times New Roman" w:hAnsi="Cambria" w:cs="Times New Roman"/>
          <w:b/>
          <w:bCs/>
          <w:color w:val="000000"/>
          <w:kern w:val="0"/>
          <w:sz w:val="22"/>
          <w:szCs w:val="22"/>
          <w14:ligatures w14:val="none"/>
        </w:rPr>
        <w:t>43%</w:t>
      </w:r>
      <w:r w:rsidRPr="009222F6">
        <w:rPr>
          <w:rFonts w:ascii="Cambria" w:eastAsia="Times New Roman" w:hAnsi="Cambria" w:cs="Times New Roman"/>
          <w:color w:val="000000"/>
          <w:kern w:val="0"/>
          <w:sz w:val="22"/>
          <w:szCs w:val="22"/>
          <w14:ligatures w14:val="none"/>
        </w:rPr>
        <w:t xml:space="preserve"> earned an </w:t>
      </w:r>
      <w:r w:rsidRPr="009222F6">
        <w:rPr>
          <w:rFonts w:ascii="Cambria" w:eastAsia="Times New Roman" w:hAnsi="Cambria" w:cs="Times New Roman"/>
          <w:b/>
          <w:bCs/>
          <w:color w:val="000000"/>
          <w:kern w:val="0"/>
          <w:sz w:val="22"/>
          <w:szCs w:val="22"/>
          <w14:ligatures w14:val="none"/>
        </w:rPr>
        <w:t>associate degree or lower</w:t>
      </w:r>
      <w:r w:rsidRPr="009222F6">
        <w:rPr>
          <w:rFonts w:ascii="Cambria" w:eastAsia="Times New Roman" w:hAnsi="Cambria" w:cs="Times New Roman"/>
          <w:color w:val="000000"/>
          <w:kern w:val="0"/>
          <w:sz w:val="22"/>
          <w:szCs w:val="22"/>
          <w14:ligatures w14:val="none"/>
        </w:rPr>
        <w:t>, and</w:t>
      </w:r>
    </w:p>
    <w:p w14:paraId="60769BEC" w14:textId="77777777" w:rsidR="009222F6" w:rsidRPr="009222F6" w:rsidRDefault="009222F6" w:rsidP="009222F6">
      <w:pPr>
        <w:numPr>
          <w:ilvl w:val="0"/>
          <w:numId w:val="1"/>
        </w:numPr>
        <w:spacing w:after="240" w:line="240" w:lineRule="auto"/>
        <w:textAlignment w:val="baseline"/>
        <w:rPr>
          <w:rFonts w:ascii="Cambria" w:eastAsia="Times New Roman" w:hAnsi="Cambria" w:cs="Times New Roman"/>
          <w:color w:val="000000"/>
          <w:kern w:val="0"/>
          <w:sz w:val="22"/>
          <w:szCs w:val="22"/>
          <w14:ligatures w14:val="none"/>
        </w:rPr>
      </w:pPr>
      <w:r w:rsidRPr="009222F6">
        <w:rPr>
          <w:rFonts w:ascii="Cambria" w:eastAsia="Times New Roman" w:hAnsi="Cambria" w:cs="Times New Roman"/>
          <w:b/>
          <w:bCs/>
          <w:color w:val="000000"/>
          <w:kern w:val="0"/>
          <w:sz w:val="22"/>
          <w:szCs w:val="22"/>
          <w14:ligatures w14:val="none"/>
        </w:rPr>
        <w:t>39%</w:t>
      </w:r>
      <w:r w:rsidRPr="009222F6">
        <w:rPr>
          <w:rFonts w:ascii="Cambria" w:eastAsia="Times New Roman" w:hAnsi="Cambria" w:cs="Times New Roman"/>
          <w:color w:val="000000"/>
          <w:kern w:val="0"/>
          <w:sz w:val="22"/>
          <w:szCs w:val="22"/>
          <w14:ligatures w14:val="none"/>
        </w:rPr>
        <w:t xml:space="preserve"> graduated from a </w:t>
      </w:r>
      <w:r w:rsidRPr="009222F6">
        <w:rPr>
          <w:rFonts w:ascii="Cambria" w:eastAsia="Times New Roman" w:hAnsi="Cambria" w:cs="Times New Roman"/>
          <w:b/>
          <w:bCs/>
          <w:color w:val="000000"/>
          <w:kern w:val="0"/>
          <w:sz w:val="22"/>
          <w:szCs w:val="22"/>
          <w14:ligatures w14:val="none"/>
        </w:rPr>
        <w:t>two-year public institution.</w:t>
      </w:r>
    </w:p>
    <w:p w14:paraId="4148A85E" w14:textId="77777777" w:rsidR="009222F6" w:rsidRPr="009222F6" w:rsidRDefault="009222F6" w:rsidP="009222F6">
      <w:pPr>
        <w:spacing w:before="240" w:after="240" w:line="240" w:lineRule="auto"/>
        <w:rPr>
          <w:rFonts w:ascii="Times New Roman" w:eastAsia="Times New Roman" w:hAnsi="Times New Roman" w:cs="Times New Roman"/>
          <w:kern w:val="0"/>
          <w14:ligatures w14:val="none"/>
        </w:rPr>
      </w:pPr>
      <w:r w:rsidRPr="009222F6">
        <w:rPr>
          <w:rFonts w:ascii="Cambria" w:eastAsia="Times New Roman" w:hAnsi="Cambria" w:cs="Times New Roman"/>
          <w:color w:val="000000"/>
          <w:kern w:val="0"/>
          <w:sz w:val="22"/>
          <w:szCs w:val="22"/>
          <w14:ligatures w14:val="none"/>
        </w:rPr>
        <w:t>Each of these characteristics—regional college completion, two-year public institutions, and applied degrees—correlates strongly with higher rates of full workforce participation in the region.</w:t>
      </w:r>
    </w:p>
    <w:p w14:paraId="1B6FECC0" w14:textId="77777777" w:rsidR="009222F6" w:rsidRPr="009222F6" w:rsidRDefault="009222F6" w:rsidP="009222F6">
      <w:pPr>
        <w:spacing w:before="240" w:after="240" w:line="240" w:lineRule="auto"/>
        <w:outlineLvl w:val="2"/>
        <w:rPr>
          <w:rFonts w:ascii="Times New Roman" w:eastAsia="Times New Roman" w:hAnsi="Times New Roman" w:cs="Times New Roman"/>
          <w:b/>
          <w:bCs/>
          <w:kern w:val="0"/>
          <w:sz w:val="27"/>
          <w:szCs w:val="27"/>
          <w14:ligatures w14:val="none"/>
        </w:rPr>
      </w:pPr>
      <w:r w:rsidRPr="009222F6">
        <w:rPr>
          <w:rFonts w:ascii="Cambria" w:eastAsia="Times New Roman" w:hAnsi="Cambria" w:cs="Times New Roman"/>
          <w:color w:val="434343"/>
          <w:kern w:val="0"/>
          <w:sz w:val="28"/>
          <w:szCs w:val="28"/>
          <w14:ligatures w14:val="none"/>
        </w:rPr>
        <w:t>Career and Technical Education Influence</w:t>
      </w:r>
    </w:p>
    <w:p w14:paraId="2FDA49FB" w14:textId="77777777" w:rsidR="009222F6" w:rsidRPr="009222F6" w:rsidRDefault="009222F6" w:rsidP="009222F6">
      <w:pPr>
        <w:spacing w:before="240" w:after="240" w:line="240" w:lineRule="auto"/>
        <w:rPr>
          <w:rFonts w:ascii="Times New Roman" w:eastAsia="Times New Roman" w:hAnsi="Times New Roman" w:cs="Times New Roman"/>
          <w:kern w:val="0"/>
          <w14:ligatures w14:val="none"/>
        </w:rPr>
      </w:pPr>
      <w:r w:rsidRPr="009222F6">
        <w:rPr>
          <w:rFonts w:ascii="Cambria" w:eastAsia="Times New Roman" w:hAnsi="Cambria" w:cs="Times New Roman"/>
          <w:color w:val="000000"/>
          <w:kern w:val="0"/>
          <w:sz w:val="22"/>
          <w:szCs w:val="22"/>
          <w14:ligatures w14:val="none"/>
        </w:rPr>
        <w:t xml:space="preserve">The overall most significant finding of our research into pathways for students after high school was discovering the powerful connection between a student’s level of participation in </w:t>
      </w:r>
      <w:r w:rsidRPr="009222F6">
        <w:rPr>
          <w:rFonts w:ascii="Cambria" w:eastAsia="Times New Roman" w:hAnsi="Cambria" w:cs="Times New Roman"/>
          <w:b/>
          <w:bCs/>
          <w:color w:val="000000"/>
          <w:kern w:val="0"/>
          <w:sz w:val="22"/>
          <w:szCs w:val="22"/>
          <w14:ligatures w14:val="none"/>
        </w:rPr>
        <w:t xml:space="preserve">Career and Technical Education (CTE) </w:t>
      </w:r>
      <w:r w:rsidRPr="009222F6">
        <w:rPr>
          <w:rFonts w:ascii="Cambria" w:eastAsia="Times New Roman" w:hAnsi="Cambria" w:cs="Times New Roman"/>
          <w:color w:val="000000"/>
          <w:kern w:val="0"/>
          <w:sz w:val="22"/>
          <w:szCs w:val="22"/>
          <w14:ligatures w14:val="none"/>
        </w:rPr>
        <w:t xml:space="preserve">and gaining </w:t>
      </w:r>
      <w:r w:rsidRPr="009222F6">
        <w:rPr>
          <w:rFonts w:ascii="Cambria" w:eastAsia="Times New Roman" w:hAnsi="Cambria" w:cs="Times New Roman"/>
          <w:b/>
          <w:bCs/>
          <w:color w:val="000000"/>
          <w:kern w:val="0"/>
          <w:sz w:val="22"/>
          <w:szCs w:val="22"/>
          <w14:ligatures w14:val="none"/>
        </w:rPr>
        <w:t>full workforce participation</w:t>
      </w:r>
      <w:r w:rsidRPr="009222F6">
        <w:rPr>
          <w:rFonts w:ascii="Cambria" w:eastAsia="Times New Roman" w:hAnsi="Cambria" w:cs="Times New Roman"/>
          <w:color w:val="000000"/>
          <w:kern w:val="0"/>
          <w:sz w:val="22"/>
          <w:szCs w:val="22"/>
          <w14:ligatures w14:val="none"/>
        </w:rPr>
        <w:t xml:space="preserve"> in Northeast Minnesota. What’s important about CTE is that it not only had a direct relationship in workforce participation outcomes, but also post-secondary paths that strengthen local workforce participation.</w:t>
      </w:r>
    </w:p>
    <w:p w14:paraId="6454FFEB" w14:textId="77777777" w:rsidR="009222F6" w:rsidRPr="009222F6" w:rsidRDefault="009222F6" w:rsidP="009222F6">
      <w:pPr>
        <w:spacing w:after="200" w:line="240" w:lineRule="auto"/>
        <w:rPr>
          <w:rFonts w:ascii="Times New Roman" w:eastAsia="Times New Roman" w:hAnsi="Times New Roman" w:cs="Times New Roman"/>
          <w:kern w:val="0"/>
          <w14:ligatures w14:val="none"/>
        </w:rPr>
      </w:pPr>
      <w:r w:rsidRPr="009222F6">
        <w:rPr>
          <w:rFonts w:ascii="Cambria" w:eastAsia="Times New Roman" w:hAnsi="Cambria" w:cs="Times New Roman"/>
          <w:color w:val="000000"/>
          <w:kern w:val="0"/>
          <w:sz w:val="22"/>
          <w:szCs w:val="22"/>
          <w14:ligatures w14:val="none"/>
        </w:rPr>
        <w:t>CTE programs are more than individual technical electives. They are, by definition, a “sequence of courses that integrates core academic knowledge with technical and occupational skills, providing students a pathway to postsecondary education and careers.” The key to CTE programs is that they are developed in partnership with regional employers and aligned with local workforce needs. Therefore, participation in CTE connects</w:t>
      </w:r>
      <w:r w:rsidRPr="009222F6">
        <w:rPr>
          <w:rFonts w:ascii="Cambria" w:eastAsia="Times New Roman" w:hAnsi="Cambria" w:cs="Times New Roman"/>
          <w:b/>
          <w:bCs/>
          <w:color w:val="000000"/>
          <w:kern w:val="0"/>
          <w:sz w:val="22"/>
          <w:szCs w:val="22"/>
          <w14:ligatures w14:val="none"/>
        </w:rPr>
        <w:t xml:space="preserve"> students to local and regional career opportunities in ways that not only make them aware of the local job opportunities but also let them try the jobs out.</w:t>
      </w:r>
    </w:p>
    <w:p w14:paraId="2BEABD21" w14:textId="77777777" w:rsidR="009222F6" w:rsidRPr="009222F6" w:rsidRDefault="009222F6" w:rsidP="009222F6">
      <w:pPr>
        <w:spacing w:before="280" w:after="80" w:line="240" w:lineRule="auto"/>
        <w:outlineLvl w:val="3"/>
        <w:rPr>
          <w:rFonts w:ascii="Times New Roman" w:eastAsia="Times New Roman" w:hAnsi="Times New Roman" w:cs="Times New Roman"/>
          <w:b/>
          <w:bCs/>
          <w:kern w:val="0"/>
          <w14:ligatures w14:val="none"/>
        </w:rPr>
      </w:pPr>
      <w:r w:rsidRPr="009222F6">
        <w:rPr>
          <w:rFonts w:ascii="Cambria" w:eastAsia="Times New Roman" w:hAnsi="Cambria" w:cs="Times New Roman"/>
          <w:color w:val="666666"/>
          <w:kern w:val="0"/>
          <w14:ligatures w14:val="none"/>
        </w:rPr>
        <w:t>CTE influence on workforce participation outcomes</w:t>
      </w:r>
    </w:p>
    <w:p w14:paraId="67665DE6" w14:textId="77777777" w:rsidR="009222F6" w:rsidRPr="009222F6" w:rsidRDefault="009222F6" w:rsidP="009222F6">
      <w:pPr>
        <w:spacing w:before="240" w:after="240" w:line="240" w:lineRule="auto"/>
        <w:rPr>
          <w:rFonts w:ascii="Times New Roman" w:eastAsia="Times New Roman" w:hAnsi="Times New Roman" w:cs="Times New Roman"/>
          <w:kern w:val="0"/>
          <w14:ligatures w14:val="none"/>
        </w:rPr>
      </w:pPr>
      <w:r w:rsidRPr="009222F6">
        <w:rPr>
          <w:rFonts w:ascii="Cambria" w:eastAsia="Times New Roman" w:hAnsi="Cambria" w:cs="Times New Roman"/>
          <w:color w:val="000000"/>
          <w:kern w:val="0"/>
          <w:sz w:val="22"/>
          <w:szCs w:val="22"/>
          <w14:ligatures w14:val="none"/>
        </w:rPr>
        <w:t xml:space="preserve">Students’ engagement in CTE shows a clear and durable relationship with regional workforce outcomes. Five years after high school, </w:t>
      </w:r>
      <w:r w:rsidRPr="009222F6">
        <w:rPr>
          <w:rFonts w:ascii="Cambria" w:eastAsia="Times New Roman" w:hAnsi="Cambria" w:cs="Times New Roman"/>
          <w:b/>
          <w:bCs/>
          <w:color w:val="000000"/>
          <w:kern w:val="0"/>
          <w:sz w:val="22"/>
          <w:szCs w:val="22"/>
          <w14:ligatures w14:val="none"/>
        </w:rPr>
        <w:t>36.7% of CTE concentrators</w:t>
      </w:r>
      <w:r w:rsidRPr="009222F6">
        <w:rPr>
          <w:rFonts w:ascii="Cambria" w:eastAsia="Times New Roman" w:hAnsi="Cambria" w:cs="Times New Roman"/>
          <w:color w:val="000000"/>
          <w:kern w:val="0"/>
          <w:sz w:val="22"/>
          <w:szCs w:val="22"/>
          <w14:ligatures w14:val="none"/>
        </w:rPr>
        <w:t xml:space="preserve"> were fully engaged in the Northeast Minnesota workforce, compared with </w:t>
      </w:r>
      <w:r w:rsidRPr="009222F6">
        <w:rPr>
          <w:rFonts w:ascii="Cambria" w:eastAsia="Times New Roman" w:hAnsi="Cambria" w:cs="Times New Roman"/>
          <w:b/>
          <w:bCs/>
          <w:color w:val="000000"/>
          <w:kern w:val="0"/>
          <w:sz w:val="22"/>
          <w:szCs w:val="22"/>
          <w14:ligatures w14:val="none"/>
        </w:rPr>
        <w:t>27.8% of students with no CTE experience</w:t>
      </w:r>
      <w:r w:rsidRPr="009222F6">
        <w:rPr>
          <w:rFonts w:ascii="Cambria" w:eastAsia="Times New Roman" w:hAnsi="Cambria" w:cs="Times New Roman"/>
          <w:color w:val="000000"/>
          <w:kern w:val="0"/>
          <w:sz w:val="22"/>
          <w:szCs w:val="22"/>
          <w14:ligatures w14:val="none"/>
        </w:rPr>
        <w:t xml:space="preserve">—an </w:t>
      </w:r>
      <w:r w:rsidRPr="009222F6">
        <w:rPr>
          <w:rFonts w:ascii="Cambria" w:eastAsia="Times New Roman" w:hAnsi="Cambria" w:cs="Times New Roman"/>
          <w:b/>
          <w:bCs/>
          <w:color w:val="000000"/>
          <w:kern w:val="0"/>
          <w:sz w:val="22"/>
          <w:szCs w:val="22"/>
          <w14:ligatures w14:val="none"/>
        </w:rPr>
        <w:t>8.9-point difference</w:t>
      </w:r>
      <w:r w:rsidRPr="009222F6">
        <w:rPr>
          <w:rFonts w:ascii="Cambria" w:eastAsia="Times New Roman" w:hAnsi="Cambria" w:cs="Times New Roman"/>
          <w:color w:val="000000"/>
          <w:kern w:val="0"/>
          <w:sz w:val="22"/>
          <w:szCs w:val="22"/>
          <w14:ligatures w14:val="none"/>
        </w:rPr>
        <w:t xml:space="preserve">, meaning concentrators were </w:t>
      </w:r>
      <w:r w:rsidRPr="009222F6">
        <w:rPr>
          <w:rFonts w:ascii="Cambria" w:eastAsia="Times New Roman" w:hAnsi="Cambria" w:cs="Times New Roman"/>
          <w:b/>
          <w:bCs/>
          <w:color w:val="000000"/>
          <w:kern w:val="0"/>
          <w:sz w:val="22"/>
          <w:szCs w:val="22"/>
          <w14:ligatures w14:val="none"/>
        </w:rPr>
        <w:t>about 32% more likely</w:t>
      </w:r>
      <w:r w:rsidRPr="009222F6">
        <w:rPr>
          <w:rFonts w:ascii="Cambria" w:eastAsia="Times New Roman" w:hAnsi="Cambria" w:cs="Times New Roman"/>
          <w:color w:val="000000"/>
          <w:kern w:val="0"/>
          <w:sz w:val="22"/>
          <w:szCs w:val="22"/>
          <w14:ligatures w14:val="none"/>
        </w:rPr>
        <w:t xml:space="preserve"> to be fully engaged. </w:t>
      </w:r>
      <w:r w:rsidRPr="009222F6">
        <w:rPr>
          <w:rFonts w:ascii="Cambria" w:eastAsia="Times New Roman" w:hAnsi="Cambria" w:cs="Times New Roman"/>
          <w:b/>
          <w:bCs/>
          <w:color w:val="000000"/>
          <w:kern w:val="0"/>
          <w:sz w:val="22"/>
          <w:szCs w:val="22"/>
          <w14:ligatures w14:val="none"/>
        </w:rPr>
        <w:t>CTE participants</w:t>
      </w:r>
      <w:r w:rsidRPr="009222F6">
        <w:rPr>
          <w:rFonts w:ascii="Cambria" w:eastAsia="Times New Roman" w:hAnsi="Cambria" w:cs="Times New Roman"/>
          <w:color w:val="000000"/>
          <w:kern w:val="0"/>
          <w:sz w:val="22"/>
          <w:szCs w:val="22"/>
          <w14:ligatures w14:val="none"/>
        </w:rPr>
        <w:t xml:space="preserve"> also outperformed their peers: </w:t>
      </w:r>
      <w:r w:rsidRPr="009222F6">
        <w:rPr>
          <w:rFonts w:ascii="Cambria" w:eastAsia="Times New Roman" w:hAnsi="Cambria" w:cs="Times New Roman"/>
          <w:b/>
          <w:bCs/>
          <w:color w:val="000000"/>
          <w:kern w:val="0"/>
          <w:sz w:val="22"/>
          <w:szCs w:val="22"/>
          <w14:ligatures w14:val="none"/>
        </w:rPr>
        <w:t>32.6%</w:t>
      </w:r>
      <w:r w:rsidRPr="009222F6">
        <w:rPr>
          <w:rFonts w:ascii="Cambria" w:eastAsia="Times New Roman" w:hAnsi="Cambria" w:cs="Times New Roman"/>
          <w:color w:val="000000"/>
          <w:kern w:val="0"/>
          <w:sz w:val="22"/>
          <w:szCs w:val="22"/>
          <w14:ligatures w14:val="none"/>
        </w:rPr>
        <w:t xml:space="preserve"> were fully engaged, an advantage of </w:t>
      </w:r>
      <w:r w:rsidRPr="009222F6">
        <w:rPr>
          <w:rFonts w:ascii="Cambria" w:eastAsia="Times New Roman" w:hAnsi="Cambria" w:cs="Times New Roman"/>
          <w:b/>
          <w:bCs/>
          <w:color w:val="000000"/>
          <w:kern w:val="0"/>
          <w:sz w:val="22"/>
          <w:szCs w:val="22"/>
          <w14:ligatures w14:val="none"/>
        </w:rPr>
        <w:t>4.8 percentage points</w:t>
      </w:r>
      <w:r w:rsidRPr="009222F6">
        <w:rPr>
          <w:rFonts w:ascii="Cambria" w:eastAsia="Times New Roman" w:hAnsi="Cambria" w:cs="Times New Roman"/>
          <w:color w:val="000000"/>
          <w:kern w:val="0"/>
          <w:sz w:val="22"/>
          <w:szCs w:val="22"/>
          <w14:ligatures w14:val="none"/>
        </w:rPr>
        <w:t xml:space="preserve"> and a </w:t>
      </w:r>
      <w:r w:rsidRPr="009222F6">
        <w:rPr>
          <w:rFonts w:ascii="Cambria" w:eastAsia="Times New Roman" w:hAnsi="Cambria" w:cs="Times New Roman"/>
          <w:b/>
          <w:bCs/>
          <w:color w:val="000000"/>
          <w:kern w:val="0"/>
          <w:sz w:val="22"/>
          <w:szCs w:val="22"/>
          <w14:ligatures w14:val="none"/>
        </w:rPr>
        <w:t>17% higher likelihood</w:t>
      </w:r>
      <w:r w:rsidRPr="009222F6">
        <w:rPr>
          <w:rFonts w:ascii="Cambria" w:eastAsia="Times New Roman" w:hAnsi="Cambria" w:cs="Times New Roman"/>
          <w:color w:val="000000"/>
          <w:kern w:val="0"/>
          <w:sz w:val="22"/>
          <w:szCs w:val="22"/>
          <w14:ligatures w14:val="none"/>
        </w:rPr>
        <w:t xml:space="preserve"> compared to students with no CTE. This stepped pattern—No CTE → Participant → Concentrator—remains consistent at one, five, and ten years after graduation, underscoring that deeper CTE involvement aligns with stronger and more stable workforce attachment in the region. </w:t>
      </w:r>
    </w:p>
    <w:p w14:paraId="5D2D2242" w14:textId="40722E2B" w:rsidR="009222F6" w:rsidRPr="009222F6" w:rsidRDefault="009222F6" w:rsidP="009222F6">
      <w:pPr>
        <w:spacing w:before="240" w:after="240" w:line="240" w:lineRule="auto"/>
        <w:jc w:val="center"/>
        <w:rPr>
          <w:rFonts w:ascii="Times New Roman" w:eastAsia="Times New Roman" w:hAnsi="Times New Roman" w:cs="Times New Roman"/>
          <w:kern w:val="0"/>
          <w14:ligatures w14:val="none"/>
        </w:rPr>
      </w:pPr>
      <w:r w:rsidRPr="009222F6">
        <w:rPr>
          <w:rFonts w:ascii="Cambria" w:eastAsia="Times New Roman" w:hAnsi="Cambria" w:cs="Times New Roman"/>
          <w:noProof/>
          <w:color w:val="000000"/>
          <w:kern w:val="0"/>
          <w:sz w:val="22"/>
          <w:szCs w:val="22"/>
          <w:bdr w:val="none" w:sz="0" w:space="0" w:color="auto" w:frame="1"/>
          <w14:ligatures w14:val="none"/>
        </w:rPr>
        <w:lastRenderedPageBreak/>
        <w:drawing>
          <wp:inline distT="0" distB="0" distL="0" distR="0" wp14:anchorId="23DAFA0E" wp14:editId="25F7D347">
            <wp:extent cx="5943600" cy="4455795"/>
            <wp:effectExtent l="0" t="0" r="0" b="1905"/>
            <wp:docPr id="1908916126" name="Picture 3" descr="A chart with colorful line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916126" name="Picture 3" descr="A chart with colorful lines and text&#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4455795"/>
                    </a:xfrm>
                    <a:prstGeom prst="rect">
                      <a:avLst/>
                    </a:prstGeom>
                    <a:noFill/>
                    <a:ln>
                      <a:noFill/>
                    </a:ln>
                  </pic:spPr>
                </pic:pic>
              </a:graphicData>
            </a:graphic>
          </wp:inline>
        </w:drawing>
      </w:r>
      <w:r w:rsidRPr="009222F6">
        <w:rPr>
          <w:rFonts w:ascii="Cambria" w:eastAsia="Times New Roman" w:hAnsi="Cambria" w:cs="Times New Roman"/>
          <w:i/>
          <w:iCs/>
          <w:color w:val="000000"/>
          <w:kern w:val="0"/>
          <w:sz w:val="18"/>
          <w:szCs w:val="18"/>
          <w14:ligatures w14:val="none"/>
        </w:rPr>
        <w:br/>
        <w:t>Chart X: As CTE engagement increases so does the likelihood of gaining full workforce participation in the region. Data: MN Office of Higher Education - SLEDS</w:t>
      </w:r>
    </w:p>
    <w:p w14:paraId="278838C9" w14:textId="77777777" w:rsidR="009222F6" w:rsidRPr="009222F6" w:rsidRDefault="009222F6" w:rsidP="009222F6">
      <w:pPr>
        <w:spacing w:after="0" w:line="240" w:lineRule="auto"/>
        <w:rPr>
          <w:rFonts w:ascii="Times New Roman" w:eastAsia="Times New Roman" w:hAnsi="Times New Roman" w:cs="Times New Roman"/>
          <w:kern w:val="0"/>
          <w14:ligatures w14:val="none"/>
        </w:rPr>
      </w:pPr>
    </w:p>
    <w:p w14:paraId="2FF745B2" w14:textId="77777777" w:rsidR="009222F6" w:rsidRPr="009222F6" w:rsidRDefault="009222F6" w:rsidP="009222F6">
      <w:pPr>
        <w:spacing w:before="240" w:after="240" w:line="240" w:lineRule="auto"/>
        <w:rPr>
          <w:rFonts w:ascii="Times New Roman" w:eastAsia="Times New Roman" w:hAnsi="Times New Roman" w:cs="Times New Roman"/>
          <w:kern w:val="0"/>
          <w14:ligatures w14:val="none"/>
        </w:rPr>
      </w:pPr>
      <w:r w:rsidRPr="009222F6">
        <w:rPr>
          <w:rFonts w:ascii="Cambria" w:eastAsia="Times New Roman" w:hAnsi="Cambria" w:cs="Times New Roman"/>
          <w:color w:val="000000"/>
          <w:kern w:val="0"/>
          <w:sz w:val="22"/>
          <w:szCs w:val="22"/>
          <w14:ligatures w14:val="none"/>
        </w:rPr>
        <w:t xml:space="preserve">What makes this relationship particularly important is its </w:t>
      </w:r>
      <w:r w:rsidRPr="009222F6">
        <w:rPr>
          <w:rFonts w:ascii="Cambria" w:eastAsia="Times New Roman" w:hAnsi="Cambria" w:cs="Times New Roman"/>
          <w:b/>
          <w:bCs/>
          <w:color w:val="000000"/>
          <w:kern w:val="0"/>
          <w:sz w:val="22"/>
          <w:szCs w:val="22"/>
          <w14:ligatures w14:val="none"/>
        </w:rPr>
        <w:t>persistence</w:t>
      </w:r>
      <w:r w:rsidRPr="009222F6">
        <w:rPr>
          <w:rFonts w:ascii="Cambria" w:eastAsia="Times New Roman" w:hAnsi="Cambria" w:cs="Times New Roman"/>
          <w:color w:val="000000"/>
          <w:kern w:val="0"/>
          <w:sz w:val="22"/>
          <w:szCs w:val="22"/>
          <w14:ligatures w14:val="none"/>
        </w:rPr>
        <w:t>. Even when controlling for other factors—such as academic achievement, demographic characteristics, and economic background—CTE participation remained one of the strongest and most consistent predictors of local employment.</w:t>
      </w:r>
    </w:p>
    <w:p w14:paraId="3C398CDD" w14:textId="77777777" w:rsidR="009222F6" w:rsidRPr="009222F6" w:rsidRDefault="009222F6" w:rsidP="009222F6">
      <w:pPr>
        <w:spacing w:before="280" w:after="80" w:line="240" w:lineRule="auto"/>
        <w:outlineLvl w:val="3"/>
        <w:rPr>
          <w:rFonts w:ascii="Times New Roman" w:eastAsia="Times New Roman" w:hAnsi="Times New Roman" w:cs="Times New Roman"/>
          <w:b/>
          <w:bCs/>
          <w:kern w:val="0"/>
          <w14:ligatures w14:val="none"/>
        </w:rPr>
      </w:pPr>
      <w:r w:rsidRPr="009222F6">
        <w:rPr>
          <w:rFonts w:ascii="Cambria" w:eastAsia="Times New Roman" w:hAnsi="Cambria" w:cs="Times New Roman"/>
          <w:color w:val="666666"/>
          <w:kern w:val="0"/>
          <w14:ligatures w14:val="none"/>
        </w:rPr>
        <w:t>CTE influence on higher education pathways</w:t>
      </w:r>
    </w:p>
    <w:p w14:paraId="06DDD3E7" w14:textId="77777777" w:rsidR="009222F6" w:rsidRPr="009222F6" w:rsidRDefault="009222F6" w:rsidP="009222F6">
      <w:pPr>
        <w:spacing w:before="240" w:after="240" w:line="240" w:lineRule="auto"/>
        <w:rPr>
          <w:rFonts w:ascii="Times New Roman" w:eastAsia="Times New Roman" w:hAnsi="Times New Roman" w:cs="Times New Roman"/>
          <w:kern w:val="0"/>
          <w14:ligatures w14:val="none"/>
        </w:rPr>
      </w:pPr>
      <w:r w:rsidRPr="009222F6">
        <w:rPr>
          <w:rFonts w:ascii="Cambria" w:eastAsia="Times New Roman" w:hAnsi="Cambria" w:cs="Times New Roman"/>
          <w:color w:val="000000"/>
          <w:kern w:val="0"/>
          <w:sz w:val="22"/>
          <w:szCs w:val="22"/>
          <w14:ligatures w14:val="none"/>
        </w:rPr>
        <w:t xml:space="preserve">The relationship between </w:t>
      </w:r>
      <w:r w:rsidRPr="009222F6">
        <w:rPr>
          <w:rFonts w:ascii="Cambria" w:eastAsia="Times New Roman" w:hAnsi="Cambria" w:cs="Times New Roman"/>
          <w:b/>
          <w:bCs/>
          <w:color w:val="000000"/>
          <w:kern w:val="0"/>
          <w:sz w:val="22"/>
          <w:szCs w:val="22"/>
          <w14:ligatures w14:val="none"/>
        </w:rPr>
        <w:t>career-connected learning in high school</w:t>
      </w:r>
      <w:r w:rsidRPr="009222F6">
        <w:rPr>
          <w:rFonts w:ascii="Cambria" w:eastAsia="Times New Roman" w:hAnsi="Cambria" w:cs="Times New Roman"/>
          <w:color w:val="000000"/>
          <w:kern w:val="0"/>
          <w:sz w:val="22"/>
          <w:szCs w:val="22"/>
          <w14:ligatures w14:val="none"/>
        </w:rPr>
        <w:t xml:space="preserve"> and </w:t>
      </w:r>
      <w:r w:rsidRPr="009222F6">
        <w:rPr>
          <w:rFonts w:ascii="Cambria" w:eastAsia="Times New Roman" w:hAnsi="Cambria" w:cs="Times New Roman"/>
          <w:b/>
          <w:bCs/>
          <w:color w:val="000000"/>
          <w:kern w:val="0"/>
          <w:sz w:val="22"/>
          <w:szCs w:val="22"/>
          <w14:ligatures w14:val="none"/>
        </w:rPr>
        <w:t>postsecondary choices after graduation</w:t>
      </w:r>
      <w:r w:rsidRPr="009222F6">
        <w:rPr>
          <w:rFonts w:ascii="Cambria" w:eastAsia="Times New Roman" w:hAnsi="Cambria" w:cs="Times New Roman"/>
          <w:color w:val="000000"/>
          <w:kern w:val="0"/>
          <w:sz w:val="22"/>
          <w:szCs w:val="22"/>
          <w14:ligatures w14:val="none"/>
        </w:rPr>
        <w:t xml:space="preserve"> is one of the clearest findings in this study. Students who engage in </w:t>
      </w:r>
      <w:r w:rsidRPr="009222F6">
        <w:rPr>
          <w:rFonts w:ascii="Cambria" w:eastAsia="Times New Roman" w:hAnsi="Cambria" w:cs="Times New Roman"/>
          <w:b/>
          <w:bCs/>
          <w:color w:val="000000"/>
          <w:kern w:val="0"/>
          <w:sz w:val="22"/>
          <w:szCs w:val="22"/>
          <w14:ligatures w14:val="none"/>
        </w:rPr>
        <w:t>Career and Technical Education (CTE)</w:t>
      </w:r>
      <w:r w:rsidRPr="009222F6">
        <w:rPr>
          <w:rFonts w:ascii="Cambria" w:eastAsia="Times New Roman" w:hAnsi="Cambria" w:cs="Times New Roman"/>
          <w:color w:val="000000"/>
          <w:kern w:val="0"/>
          <w:sz w:val="22"/>
          <w:szCs w:val="22"/>
          <w14:ligatures w14:val="none"/>
        </w:rPr>
        <w:t xml:space="preserve"> during high school are not only more likely to stay and work in the region — they are also more likely to choose </w:t>
      </w:r>
      <w:r w:rsidRPr="009222F6">
        <w:rPr>
          <w:rFonts w:ascii="Cambria" w:eastAsia="Times New Roman" w:hAnsi="Cambria" w:cs="Times New Roman"/>
          <w:b/>
          <w:bCs/>
          <w:color w:val="000000"/>
          <w:kern w:val="0"/>
          <w:sz w:val="22"/>
          <w:szCs w:val="22"/>
          <w14:ligatures w14:val="none"/>
        </w:rPr>
        <w:t>college pathways that keep them anchored</w:t>
      </w:r>
      <w:r w:rsidRPr="009222F6">
        <w:rPr>
          <w:rFonts w:ascii="Cambria" w:eastAsia="Times New Roman" w:hAnsi="Cambria" w:cs="Times New Roman"/>
          <w:color w:val="000000"/>
          <w:kern w:val="0"/>
          <w:sz w:val="22"/>
          <w:szCs w:val="22"/>
          <w14:ligatures w14:val="none"/>
        </w:rPr>
        <w:t xml:space="preserve"> to the region’s workforce.</w:t>
      </w:r>
    </w:p>
    <w:p w14:paraId="071701B0" w14:textId="77777777" w:rsidR="009222F6" w:rsidRPr="009222F6" w:rsidRDefault="009222F6" w:rsidP="009222F6">
      <w:pPr>
        <w:spacing w:before="240" w:after="240" w:line="240" w:lineRule="auto"/>
        <w:rPr>
          <w:rFonts w:ascii="Times New Roman" w:eastAsia="Times New Roman" w:hAnsi="Times New Roman" w:cs="Times New Roman"/>
          <w:kern w:val="0"/>
          <w14:ligatures w14:val="none"/>
        </w:rPr>
      </w:pPr>
      <w:r w:rsidRPr="009222F6">
        <w:rPr>
          <w:rFonts w:ascii="Cambria" w:eastAsia="Times New Roman" w:hAnsi="Cambria" w:cs="Times New Roman"/>
          <w:color w:val="000000"/>
          <w:kern w:val="0"/>
          <w:sz w:val="22"/>
          <w:szCs w:val="22"/>
          <w14:ligatures w14:val="none"/>
        </w:rPr>
        <w:t xml:space="preserve">In short, CTE doesn’t just connect students to work, it connects them to </w:t>
      </w:r>
      <w:r w:rsidRPr="009222F6">
        <w:rPr>
          <w:rFonts w:ascii="Cambria" w:eastAsia="Times New Roman" w:hAnsi="Cambria" w:cs="Times New Roman"/>
          <w:b/>
          <w:bCs/>
          <w:color w:val="000000"/>
          <w:kern w:val="0"/>
          <w:sz w:val="22"/>
          <w:szCs w:val="22"/>
          <w14:ligatures w14:val="none"/>
        </w:rPr>
        <w:t>postsecondary pathways that lead back home.</w:t>
      </w:r>
    </w:p>
    <w:p w14:paraId="18A87C54" w14:textId="77777777" w:rsidR="009222F6" w:rsidRPr="009222F6" w:rsidRDefault="009222F6" w:rsidP="009222F6">
      <w:pPr>
        <w:spacing w:before="240" w:after="240" w:line="240" w:lineRule="auto"/>
        <w:ind w:right="600"/>
        <w:rPr>
          <w:rFonts w:ascii="Times New Roman" w:eastAsia="Times New Roman" w:hAnsi="Times New Roman" w:cs="Times New Roman"/>
          <w:kern w:val="0"/>
          <w14:ligatures w14:val="none"/>
        </w:rPr>
      </w:pPr>
      <w:r w:rsidRPr="009222F6">
        <w:rPr>
          <w:rFonts w:ascii="Cambria" w:eastAsia="Times New Roman" w:hAnsi="Cambria" w:cs="Times New Roman"/>
          <w:color w:val="000000"/>
          <w:kern w:val="0"/>
          <w:sz w:val="22"/>
          <w:szCs w:val="22"/>
          <w14:ligatures w14:val="none"/>
        </w:rPr>
        <w:t xml:space="preserve">CTE doesn’t just prepare students for immediate employment — it can also shape their educational trajectories. By connecting classroom learning to local industries and regional </w:t>
      </w:r>
      <w:r w:rsidRPr="009222F6">
        <w:rPr>
          <w:rFonts w:ascii="Cambria" w:eastAsia="Times New Roman" w:hAnsi="Cambria" w:cs="Times New Roman"/>
          <w:color w:val="000000"/>
          <w:kern w:val="0"/>
          <w:sz w:val="22"/>
          <w:szCs w:val="22"/>
          <w14:ligatures w14:val="none"/>
        </w:rPr>
        <w:lastRenderedPageBreak/>
        <w:t>colleges, CTE builds a bridge between high school and higher education that keeps more graduates rooted in Northeast Minnesota.</w:t>
      </w:r>
    </w:p>
    <w:p w14:paraId="12B66F9F" w14:textId="77777777" w:rsidR="009222F6" w:rsidRPr="009222F6" w:rsidRDefault="009222F6" w:rsidP="009222F6">
      <w:pPr>
        <w:spacing w:before="240" w:after="240" w:line="240" w:lineRule="auto"/>
        <w:rPr>
          <w:rFonts w:ascii="Times New Roman" w:eastAsia="Times New Roman" w:hAnsi="Times New Roman" w:cs="Times New Roman"/>
          <w:kern w:val="0"/>
          <w14:ligatures w14:val="none"/>
        </w:rPr>
      </w:pPr>
      <w:r w:rsidRPr="009222F6">
        <w:rPr>
          <w:rFonts w:ascii="Cambria" w:eastAsia="Times New Roman" w:hAnsi="Cambria" w:cs="Times New Roman"/>
          <w:color w:val="000000"/>
          <w:kern w:val="0"/>
          <w:sz w:val="22"/>
          <w:szCs w:val="22"/>
          <w14:ligatures w14:val="none"/>
        </w:rPr>
        <w:t xml:space="preserve">Graduates who were </w:t>
      </w:r>
      <w:r w:rsidRPr="009222F6">
        <w:rPr>
          <w:rFonts w:ascii="Cambria" w:eastAsia="Times New Roman" w:hAnsi="Cambria" w:cs="Times New Roman"/>
          <w:b/>
          <w:bCs/>
          <w:color w:val="000000"/>
          <w:kern w:val="0"/>
          <w:sz w:val="22"/>
          <w:szCs w:val="22"/>
          <w14:ligatures w14:val="none"/>
        </w:rPr>
        <w:t>CTE concentrators, completers, or even moderate participants</w:t>
      </w:r>
      <w:r w:rsidRPr="009222F6">
        <w:rPr>
          <w:rFonts w:ascii="Cambria" w:eastAsia="Times New Roman" w:hAnsi="Cambria" w:cs="Times New Roman"/>
          <w:color w:val="000000"/>
          <w:kern w:val="0"/>
          <w:sz w:val="22"/>
          <w:szCs w:val="22"/>
          <w14:ligatures w14:val="none"/>
        </w:rPr>
        <w:t xml:space="preserve"> showed significantly higher rates of:</w:t>
      </w:r>
    </w:p>
    <w:p w14:paraId="7BE4D6B6" w14:textId="77777777" w:rsidR="009222F6" w:rsidRPr="009222F6" w:rsidRDefault="009222F6" w:rsidP="009222F6">
      <w:pPr>
        <w:numPr>
          <w:ilvl w:val="0"/>
          <w:numId w:val="2"/>
        </w:numPr>
        <w:spacing w:before="240" w:after="0" w:line="240" w:lineRule="auto"/>
        <w:textAlignment w:val="baseline"/>
        <w:rPr>
          <w:rFonts w:ascii="Cambria" w:eastAsia="Times New Roman" w:hAnsi="Cambria" w:cs="Times New Roman"/>
          <w:color w:val="000000"/>
          <w:kern w:val="0"/>
          <w:sz w:val="22"/>
          <w:szCs w:val="22"/>
          <w14:ligatures w14:val="none"/>
        </w:rPr>
      </w:pPr>
      <w:r w:rsidRPr="009222F6">
        <w:rPr>
          <w:rFonts w:ascii="Cambria" w:eastAsia="Times New Roman" w:hAnsi="Cambria" w:cs="Times New Roman"/>
          <w:color w:val="000000"/>
          <w:kern w:val="0"/>
          <w:sz w:val="22"/>
          <w:szCs w:val="22"/>
          <w14:ligatures w14:val="none"/>
        </w:rPr>
        <w:t xml:space="preserve">Attending </w:t>
      </w:r>
      <w:r w:rsidRPr="009222F6">
        <w:rPr>
          <w:rFonts w:ascii="Cambria" w:eastAsia="Times New Roman" w:hAnsi="Cambria" w:cs="Times New Roman"/>
          <w:b/>
          <w:bCs/>
          <w:color w:val="000000"/>
          <w:kern w:val="0"/>
          <w:sz w:val="22"/>
          <w:szCs w:val="22"/>
          <w14:ligatures w14:val="none"/>
        </w:rPr>
        <w:t>colleges located within the region</w:t>
      </w:r>
      <w:r w:rsidRPr="009222F6">
        <w:rPr>
          <w:rFonts w:ascii="Cambria" w:eastAsia="Times New Roman" w:hAnsi="Cambria" w:cs="Times New Roman"/>
          <w:color w:val="000000"/>
          <w:kern w:val="0"/>
          <w:sz w:val="22"/>
          <w:szCs w:val="22"/>
          <w14:ligatures w14:val="none"/>
        </w:rPr>
        <w:t>,</w:t>
      </w:r>
    </w:p>
    <w:p w14:paraId="150E0DEA" w14:textId="77777777" w:rsidR="009222F6" w:rsidRPr="009222F6" w:rsidRDefault="009222F6" w:rsidP="009222F6">
      <w:pPr>
        <w:numPr>
          <w:ilvl w:val="0"/>
          <w:numId w:val="2"/>
        </w:numPr>
        <w:spacing w:after="0" w:line="240" w:lineRule="auto"/>
        <w:textAlignment w:val="baseline"/>
        <w:rPr>
          <w:rFonts w:ascii="Cambria" w:eastAsia="Times New Roman" w:hAnsi="Cambria" w:cs="Times New Roman"/>
          <w:color w:val="000000"/>
          <w:kern w:val="0"/>
          <w:sz w:val="22"/>
          <w:szCs w:val="22"/>
          <w14:ligatures w14:val="none"/>
        </w:rPr>
      </w:pPr>
      <w:r w:rsidRPr="009222F6">
        <w:rPr>
          <w:rFonts w:ascii="Cambria" w:eastAsia="Times New Roman" w:hAnsi="Cambria" w:cs="Times New Roman"/>
          <w:color w:val="000000"/>
          <w:kern w:val="0"/>
          <w:sz w:val="22"/>
          <w:szCs w:val="22"/>
          <w14:ligatures w14:val="none"/>
        </w:rPr>
        <w:t xml:space="preserve">Enrolling in </w:t>
      </w:r>
      <w:r w:rsidRPr="009222F6">
        <w:rPr>
          <w:rFonts w:ascii="Cambria" w:eastAsia="Times New Roman" w:hAnsi="Cambria" w:cs="Times New Roman"/>
          <w:b/>
          <w:bCs/>
          <w:color w:val="000000"/>
          <w:kern w:val="0"/>
          <w:sz w:val="22"/>
          <w:szCs w:val="22"/>
          <w14:ligatures w14:val="none"/>
        </w:rPr>
        <w:t>two-year public institutions</w:t>
      </w:r>
      <w:r w:rsidRPr="009222F6">
        <w:rPr>
          <w:rFonts w:ascii="Cambria" w:eastAsia="Times New Roman" w:hAnsi="Cambria" w:cs="Times New Roman"/>
          <w:color w:val="000000"/>
          <w:kern w:val="0"/>
          <w:sz w:val="22"/>
          <w:szCs w:val="22"/>
          <w14:ligatures w14:val="none"/>
        </w:rPr>
        <w:t>, and</w:t>
      </w:r>
    </w:p>
    <w:p w14:paraId="57387EFB" w14:textId="77777777" w:rsidR="009222F6" w:rsidRPr="009222F6" w:rsidRDefault="009222F6" w:rsidP="009222F6">
      <w:pPr>
        <w:numPr>
          <w:ilvl w:val="0"/>
          <w:numId w:val="2"/>
        </w:numPr>
        <w:spacing w:after="240" w:line="240" w:lineRule="auto"/>
        <w:textAlignment w:val="baseline"/>
        <w:rPr>
          <w:rFonts w:ascii="Cambria" w:eastAsia="Times New Roman" w:hAnsi="Cambria" w:cs="Times New Roman"/>
          <w:color w:val="000000"/>
          <w:kern w:val="0"/>
          <w:sz w:val="22"/>
          <w:szCs w:val="22"/>
          <w14:ligatures w14:val="none"/>
        </w:rPr>
      </w:pPr>
      <w:r w:rsidRPr="009222F6">
        <w:rPr>
          <w:rFonts w:ascii="Cambria" w:eastAsia="Times New Roman" w:hAnsi="Cambria" w:cs="Times New Roman"/>
          <w:color w:val="000000"/>
          <w:kern w:val="0"/>
          <w:sz w:val="22"/>
          <w:szCs w:val="22"/>
          <w14:ligatures w14:val="none"/>
        </w:rPr>
        <w:t xml:space="preserve">Earning </w:t>
      </w:r>
      <w:r w:rsidRPr="009222F6">
        <w:rPr>
          <w:rFonts w:ascii="Cambria" w:eastAsia="Times New Roman" w:hAnsi="Cambria" w:cs="Times New Roman"/>
          <w:b/>
          <w:bCs/>
          <w:color w:val="000000"/>
          <w:kern w:val="0"/>
          <w:sz w:val="22"/>
          <w:szCs w:val="22"/>
          <w14:ligatures w14:val="none"/>
        </w:rPr>
        <w:t>associate degrees or similar credentials</w:t>
      </w:r>
      <w:r w:rsidRPr="009222F6">
        <w:rPr>
          <w:rFonts w:ascii="Cambria" w:eastAsia="Times New Roman" w:hAnsi="Cambria" w:cs="Times New Roman"/>
          <w:color w:val="000000"/>
          <w:kern w:val="0"/>
          <w:sz w:val="22"/>
          <w:szCs w:val="22"/>
          <w14:ligatures w14:val="none"/>
        </w:rPr>
        <w:t>—the very pathways most strongly associated with full workforce participation in Northeast Minnesota.</w:t>
      </w:r>
    </w:p>
    <w:p w14:paraId="2D6C4D22" w14:textId="60761C67" w:rsidR="009222F6" w:rsidRPr="009222F6" w:rsidRDefault="009222F6" w:rsidP="009222F6">
      <w:pPr>
        <w:spacing w:before="240" w:after="240" w:line="240" w:lineRule="auto"/>
        <w:jc w:val="center"/>
        <w:rPr>
          <w:rFonts w:ascii="Times New Roman" w:eastAsia="Times New Roman" w:hAnsi="Times New Roman" w:cs="Times New Roman"/>
          <w:kern w:val="0"/>
          <w14:ligatures w14:val="none"/>
        </w:rPr>
      </w:pPr>
      <w:r w:rsidRPr="009222F6">
        <w:rPr>
          <w:rFonts w:ascii="Cambria" w:eastAsia="Times New Roman" w:hAnsi="Cambria" w:cs="Times New Roman"/>
          <w:noProof/>
          <w:color w:val="000000"/>
          <w:kern w:val="0"/>
          <w:sz w:val="22"/>
          <w:szCs w:val="22"/>
          <w:bdr w:val="none" w:sz="0" w:space="0" w:color="auto" w:frame="1"/>
          <w14:ligatures w14:val="none"/>
        </w:rPr>
        <w:drawing>
          <wp:inline distT="0" distB="0" distL="0" distR="0" wp14:anchorId="22B7AE99" wp14:editId="54C1B2DE">
            <wp:extent cx="5943600" cy="4455795"/>
            <wp:effectExtent l="0" t="0" r="0" b="1905"/>
            <wp:docPr id="1754736293"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736293" name="Picture 2" descr="A screenshot of a graph&#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4455795"/>
                    </a:xfrm>
                    <a:prstGeom prst="rect">
                      <a:avLst/>
                    </a:prstGeom>
                    <a:noFill/>
                    <a:ln>
                      <a:noFill/>
                    </a:ln>
                  </pic:spPr>
                </pic:pic>
              </a:graphicData>
            </a:graphic>
          </wp:inline>
        </w:drawing>
      </w:r>
      <w:r w:rsidRPr="009222F6">
        <w:rPr>
          <w:rFonts w:ascii="Cambria" w:eastAsia="Times New Roman" w:hAnsi="Cambria" w:cs="Times New Roman"/>
          <w:color w:val="000000"/>
          <w:kern w:val="0"/>
          <w:sz w:val="22"/>
          <w:szCs w:val="22"/>
          <w14:ligatures w14:val="none"/>
        </w:rPr>
        <w:br/>
      </w:r>
      <w:r w:rsidRPr="009222F6">
        <w:rPr>
          <w:rFonts w:ascii="Cambria" w:eastAsia="Times New Roman" w:hAnsi="Cambria" w:cs="Times New Roman"/>
          <w:i/>
          <w:iCs/>
          <w:color w:val="000000"/>
          <w:kern w:val="0"/>
          <w:sz w:val="18"/>
          <w:szCs w:val="18"/>
          <w14:ligatures w14:val="none"/>
        </w:rPr>
        <w:t>Chart X: Individuals who are more heavily involved with CTE coursework tend to follow post-secondary paths that lead to full workforce participation in the region. Data: MN Office of Higher Education - SLEDS</w:t>
      </w:r>
    </w:p>
    <w:p w14:paraId="2ED7E50C" w14:textId="77777777" w:rsidR="009222F6" w:rsidRPr="009222F6" w:rsidRDefault="009222F6" w:rsidP="009222F6">
      <w:pPr>
        <w:spacing w:after="0" w:line="240" w:lineRule="auto"/>
        <w:rPr>
          <w:rFonts w:ascii="Times New Roman" w:eastAsia="Times New Roman" w:hAnsi="Times New Roman" w:cs="Times New Roman"/>
          <w:kern w:val="0"/>
          <w14:ligatures w14:val="none"/>
        </w:rPr>
      </w:pPr>
    </w:p>
    <w:p w14:paraId="2B7AD314" w14:textId="77777777" w:rsidR="009222F6" w:rsidRPr="009222F6" w:rsidRDefault="009222F6" w:rsidP="009222F6">
      <w:pPr>
        <w:spacing w:before="240" w:after="240" w:line="240" w:lineRule="auto"/>
        <w:rPr>
          <w:rFonts w:ascii="Times New Roman" w:eastAsia="Times New Roman" w:hAnsi="Times New Roman" w:cs="Times New Roman"/>
          <w:kern w:val="0"/>
          <w14:ligatures w14:val="none"/>
        </w:rPr>
      </w:pPr>
      <w:r w:rsidRPr="009222F6">
        <w:rPr>
          <w:rFonts w:ascii="Cambria" w:eastAsia="Times New Roman" w:hAnsi="Cambria" w:cs="Times New Roman"/>
          <w:color w:val="000000"/>
          <w:kern w:val="0"/>
          <w:sz w:val="22"/>
          <w:szCs w:val="22"/>
          <w14:ligatures w14:val="none"/>
        </w:rPr>
        <w:t xml:space="preserve">These relationships reflect how CTE programs are built. Because CTE curricula are developed in collaboration with local employers and regional colleges, students in these programs gain early awareness of </w:t>
      </w:r>
      <w:r w:rsidRPr="009222F6">
        <w:rPr>
          <w:rFonts w:ascii="Cambria" w:eastAsia="Times New Roman" w:hAnsi="Cambria" w:cs="Times New Roman"/>
          <w:b/>
          <w:bCs/>
          <w:color w:val="000000"/>
          <w:kern w:val="0"/>
          <w:sz w:val="22"/>
          <w:szCs w:val="22"/>
          <w14:ligatures w14:val="none"/>
        </w:rPr>
        <w:t>career options close to home</w:t>
      </w:r>
      <w:r w:rsidRPr="009222F6">
        <w:rPr>
          <w:rFonts w:ascii="Cambria" w:eastAsia="Times New Roman" w:hAnsi="Cambria" w:cs="Times New Roman"/>
          <w:color w:val="000000"/>
          <w:kern w:val="0"/>
          <w:sz w:val="22"/>
          <w:szCs w:val="22"/>
          <w14:ligatures w14:val="none"/>
        </w:rPr>
        <w:t>.</w:t>
      </w:r>
    </w:p>
    <w:p w14:paraId="22007850" w14:textId="77777777" w:rsidR="009222F6" w:rsidRPr="009222F6" w:rsidRDefault="009222F6" w:rsidP="009222F6">
      <w:pPr>
        <w:spacing w:before="240" w:after="240" w:line="240" w:lineRule="auto"/>
        <w:rPr>
          <w:rFonts w:ascii="Times New Roman" w:eastAsia="Times New Roman" w:hAnsi="Times New Roman" w:cs="Times New Roman"/>
          <w:kern w:val="0"/>
          <w14:ligatures w14:val="none"/>
        </w:rPr>
      </w:pPr>
      <w:r w:rsidRPr="009222F6">
        <w:rPr>
          <w:rFonts w:ascii="Cambria" w:eastAsia="Times New Roman" w:hAnsi="Cambria" w:cs="Times New Roman"/>
          <w:color w:val="000000"/>
          <w:kern w:val="0"/>
          <w:sz w:val="22"/>
          <w:szCs w:val="22"/>
          <w14:ligatures w14:val="none"/>
        </w:rPr>
        <w:t>That awareness, coupled with relevant hands-on experience, also makes</w:t>
      </w:r>
      <w:r w:rsidRPr="009222F6">
        <w:rPr>
          <w:rFonts w:ascii="Cambria" w:eastAsia="Times New Roman" w:hAnsi="Cambria" w:cs="Times New Roman"/>
          <w:b/>
          <w:bCs/>
          <w:color w:val="000000"/>
          <w:kern w:val="0"/>
          <w:sz w:val="22"/>
          <w:szCs w:val="22"/>
          <w14:ligatures w14:val="none"/>
        </w:rPr>
        <w:t xml:space="preserve"> local higher education the logical next step</w:t>
      </w:r>
      <w:r w:rsidRPr="009222F6">
        <w:rPr>
          <w:rFonts w:ascii="Cambria" w:eastAsia="Times New Roman" w:hAnsi="Cambria" w:cs="Times New Roman"/>
          <w:color w:val="000000"/>
          <w:kern w:val="0"/>
          <w:sz w:val="22"/>
          <w:szCs w:val="22"/>
          <w14:ligatures w14:val="none"/>
        </w:rPr>
        <w:t>, not a fallback option.</w:t>
      </w:r>
    </w:p>
    <w:p w14:paraId="07146AEF" w14:textId="77777777" w:rsidR="009222F6" w:rsidRPr="009222F6" w:rsidRDefault="009222F6" w:rsidP="009222F6">
      <w:pPr>
        <w:spacing w:before="240" w:after="240" w:line="240" w:lineRule="auto"/>
        <w:rPr>
          <w:rFonts w:ascii="Times New Roman" w:eastAsia="Times New Roman" w:hAnsi="Times New Roman" w:cs="Times New Roman"/>
          <w:kern w:val="0"/>
          <w14:ligatures w14:val="none"/>
        </w:rPr>
      </w:pPr>
      <w:r w:rsidRPr="009222F6">
        <w:rPr>
          <w:rFonts w:ascii="Cambria" w:eastAsia="Times New Roman" w:hAnsi="Cambria" w:cs="Times New Roman"/>
          <w:color w:val="000000"/>
          <w:kern w:val="0"/>
          <w:sz w:val="22"/>
          <w:szCs w:val="22"/>
          <w14:ligatures w14:val="none"/>
        </w:rPr>
        <w:lastRenderedPageBreak/>
        <w:t xml:space="preserve">This alignment between CTE and postsecondary pathways creates what might be called a </w:t>
      </w:r>
      <w:r w:rsidRPr="009222F6">
        <w:rPr>
          <w:rFonts w:ascii="Cambria" w:eastAsia="Times New Roman" w:hAnsi="Cambria" w:cs="Times New Roman"/>
          <w:b/>
          <w:bCs/>
          <w:color w:val="000000"/>
          <w:kern w:val="0"/>
          <w:sz w:val="22"/>
          <w:szCs w:val="22"/>
          <w14:ligatures w14:val="none"/>
        </w:rPr>
        <w:t>regional retention loop</w:t>
      </w:r>
      <w:r w:rsidRPr="009222F6">
        <w:rPr>
          <w:rFonts w:ascii="Cambria" w:eastAsia="Times New Roman" w:hAnsi="Cambria" w:cs="Times New Roman"/>
          <w:color w:val="000000"/>
          <w:kern w:val="0"/>
          <w:sz w:val="22"/>
          <w:szCs w:val="22"/>
          <w14:ligatures w14:val="none"/>
        </w:rPr>
        <w:t>:</w:t>
      </w:r>
    </w:p>
    <w:p w14:paraId="35570C72" w14:textId="77777777" w:rsidR="009222F6" w:rsidRPr="009222F6" w:rsidRDefault="009222F6" w:rsidP="009222F6">
      <w:pPr>
        <w:numPr>
          <w:ilvl w:val="0"/>
          <w:numId w:val="3"/>
        </w:numPr>
        <w:spacing w:before="240" w:after="0" w:line="240" w:lineRule="auto"/>
        <w:textAlignment w:val="baseline"/>
        <w:rPr>
          <w:rFonts w:ascii="Cambria" w:eastAsia="Times New Roman" w:hAnsi="Cambria" w:cs="Times New Roman"/>
          <w:color w:val="000000"/>
          <w:kern w:val="0"/>
          <w:sz w:val="22"/>
          <w:szCs w:val="22"/>
          <w14:ligatures w14:val="none"/>
        </w:rPr>
      </w:pPr>
      <w:r w:rsidRPr="009222F6">
        <w:rPr>
          <w:rFonts w:ascii="Cambria" w:eastAsia="Times New Roman" w:hAnsi="Cambria" w:cs="Times New Roman"/>
          <w:color w:val="000000"/>
          <w:kern w:val="0"/>
          <w:sz w:val="22"/>
          <w:szCs w:val="22"/>
          <w14:ligatures w14:val="none"/>
        </w:rPr>
        <w:t>CTE engagement introduces students to local industries and regional postsecondary programs.</w:t>
      </w:r>
    </w:p>
    <w:p w14:paraId="67853F0A" w14:textId="77777777" w:rsidR="009222F6" w:rsidRPr="009222F6" w:rsidRDefault="009222F6" w:rsidP="009222F6">
      <w:pPr>
        <w:numPr>
          <w:ilvl w:val="0"/>
          <w:numId w:val="3"/>
        </w:numPr>
        <w:spacing w:after="0" w:line="240" w:lineRule="auto"/>
        <w:textAlignment w:val="baseline"/>
        <w:rPr>
          <w:rFonts w:ascii="Cambria" w:eastAsia="Times New Roman" w:hAnsi="Cambria" w:cs="Times New Roman"/>
          <w:color w:val="000000"/>
          <w:kern w:val="0"/>
          <w:sz w:val="22"/>
          <w:szCs w:val="22"/>
          <w14:ligatures w14:val="none"/>
        </w:rPr>
      </w:pPr>
      <w:r w:rsidRPr="009222F6">
        <w:rPr>
          <w:rFonts w:ascii="Cambria" w:eastAsia="Times New Roman" w:hAnsi="Cambria" w:cs="Times New Roman"/>
          <w:color w:val="000000"/>
          <w:kern w:val="0"/>
          <w:sz w:val="22"/>
          <w:szCs w:val="22"/>
          <w14:ligatures w14:val="none"/>
        </w:rPr>
        <w:t>Students pursue applied education at regional or two-year colleges.</w:t>
      </w:r>
    </w:p>
    <w:p w14:paraId="7DD0435D" w14:textId="77777777" w:rsidR="009222F6" w:rsidRPr="009222F6" w:rsidRDefault="009222F6" w:rsidP="009222F6">
      <w:pPr>
        <w:numPr>
          <w:ilvl w:val="0"/>
          <w:numId w:val="3"/>
        </w:numPr>
        <w:spacing w:after="0" w:line="240" w:lineRule="auto"/>
        <w:textAlignment w:val="baseline"/>
        <w:rPr>
          <w:rFonts w:ascii="Cambria" w:eastAsia="Times New Roman" w:hAnsi="Cambria" w:cs="Times New Roman"/>
          <w:color w:val="000000"/>
          <w:kern w:val="0"/>
          <w:sz w:val="22"/>
          <w:szCs w:val="22"/>
          <w14:ligatures w14:val="none"/>
        </w:rPr>
      </w:pPr>
      <w:r w:rsidRPr="009222F6">
        <w:rPr>
          <w:rFonts w:ascii="Cambria" w:eastAsia="Times New Roman" w:hAnsi="Cambria" w:cs="Times New Roman"/>
          <w:color w:val="000000"/>
          <w:kern w:val="0"/>
          <w:sz w:val="22"/>
          <w:szCs w:val="22"/>
          <w14:ligatures w14:val="none"/>
        </w:rPr>
        <w:t>These institutions prepare them for occupations that exist locally.</w:t>
      </w:r>
    </w:p>
    <w:p w14:paraId="39B533BB" w14:textId="77777777" w:rsidR="009222F6" w:rsidRPr="009222F6" w:rsidRDefault="009222F6" w:rsidP="009222F6">
      <w:pPr>
        <w:numPr>
          <w:ilvl w:val="0"/>
          <w:numId w:val="3"/>
        </w:numPr>
        <w:spacing w:after="240" w:line="240" w:lineRule="auto"/>
        <w:textAlignment w:val="baseline"/>
        <w:rPr>
          <w:rFonts w:ascii="Cambria" w:eastAsia="Times New Roman" w:hAnsi="Cambria" w:cs="Times New Roman"/>
          <w:color w:val="000000"/>
          <w:kern w:val="0"/>
          <w:sz w:val="22"/>
          <w:szCs w:val="22"/>
          <w14:ligatures w14:val="none"/>
        </w:rPr>
      </w:pPr>
      <w:r w:rsidRPr="009222F6">
        <w:rPr>
          <w:rFonts w:ascii="Cambria" w:eastAsia="Times New Roman" w:hAnsi="Cambria" w:cs="Times New Roman"/>
          <w:color w:val="000000"/>
          <w:kern w:val="0"/>
          <w:sz w:val="22"/>
          <w:szCs w:val="22"/>
          <w14:ligatures w14:val="none"/>
        </w:rPr>
        <w:t>Graduates find full-time work (full workforce participation) in the region’s core industries.</w:t>
      </w:r>
      <w:r w:rsidRPr="009222F6">
        <w:rPr>
          <w:rFonts w:ascii="Cambria" w:eastAsia="Times New Roman" w:hAnsi="Cambria" w:cs="Times New Roman"/>
          <w:color w:val="000000"/>
          <w:kern w:val="0"/>
          <w:sz w:val="22"/>
          <w:szCs w:val="22"/>
          <w14:ligatures w14:val="none"/>
        </w:rPr>
        <w:br/>
      </w:r>
      <w:r w:rsidRPr="009222F6">
        <w:rPr>
          <w:rFonts w:ascii="Cambria" w:eastAsia="Times New Roman" w:hAnsi="Cambria" w:cs="Times New Roman"/>
          <w:color w:val="000000"/>
          <w:kern w:val="0"/>
          <w:sz w:val="22"/>
          <w:szCs w:val="22"/>
          <w14:ligatures w14:val="none"/>
        </w:rPr>
        <w:br/>
      </w:r>
    </w:p>
    <w:p w14:paraId="778E6AD1" w14:textId="77777777" w:rsidR="009222F6" w:rsidRPr="009222F6" w:rsidRDefault="009222F6" w:rsidP="009222F6">
      <w:pPr>
        <w:spacing w:before="240" w:after="240" w:line="240" w:lineRule="auto"/>
        <w:outlineLvl w:val="2"/>
        <w:rPr>
          <w:rFonts w:ascii="Times New Roman" w:eastAsia="Times New Roman" w:hAnsi="Times New Roman" w:cs="Times New Roman"/>
          <w:b/>
          <w:bCs/>
          <w:kern w:val="0"/>
          <w:sz w:val="27"/>
          <w:szCs w:val="27"/>
          <w14:ligatures w14:val="none"/>
        </w:rPr>
      </w:pPr>
      <w:r w:rsidRPr="009222F6">
        <w:rPr>
          <w:rFonts w:ascii="Cambria" w:eastAsia="Times New Roman" w:hAnsi="Cambria" w:cs="Times New Roman"/>
          <w:color w:val="434343"/>
          <w:kern w:val="0"/>
          <w:sz w:val="28"/>
          <w:szCs w:val="28"/>
          <w14:ligatures w14:val="none"/>
        </w:rPr>
        <w:t>Academic drivers of anchoring</w:t>
      </w:r>
    </w:p>
    <w:p w14:paraId="2DA4C49F" w14:textId="77777777" w:rsidR="009222F6" w:rsidRPr="009222F6" w:rsidRDefault="009222F6" w:rsidP="009222F6">
      <w:pPr>
        <w:spacing w:after="200" w:line="240" w:lineRule="auto"/>
        <w:rPr>
          <w:rFonts w:ascii="Times New Roman" w:eastAsia="Times New Roman" w:hAnsi="Times New Roman" w:cs="Times New Roman"/>
          <w:kern w:val="0"/>
          <w14:ligatures w14:val="none"/>
        </w:rPr>
      </w:pPr>
      <w:r w:rsidRPr="009222F6">
        <w:rPr>
          <w:rFonts w:ascii="Cambria" w:eastAsia="Times New Roman" w:hAnsi="Cambria" w:cs="Times New Roman"/>
          <w:color w:val="000000"/>
          <w:kern w:val="0"/>
          <w:sz w:val="22"/>
          <w:szCs w:val="22"/>
          <w14:ligatures w14:val="none"/>
        </w:rPr>
        <w:t>It’s commonly said that higher academic achievers will leave rural areas for college and opportunities in metropolitan areas. However, analysis shows a more nuanced picture where individuals that are more academically prepared can stay in the region to find employment and/or complete college if they are connected to regional career awareness programming.</w:t>
      </w:r>
    </w:p>
    <w:p w14:paraId="2517C26F" w14:textId="77777777" w:rsidR="009222F6" w:rsidRPr="009222F6" w:rsidRDefault="009222F6" w:rsidP="009222F6">
      <w:pPr>
        <w:spacing w:after="200" w:line="240" w:lineRule="auto"/>
        <w:rPr>
          <w:rFonts w:ascii="Times New Roman" w:eastAsia="Times New Roman" w:hAnsi="Times New Roman" w:cs="Times New Roman"/>
          <w:kern w:val="0"/>
          <w14:ligatures w14:val="none"/>
        </w:rPr>
      </w:pPr>
      <w:r w:rsidRPr="009222F6">
        <w:rPr>
          <w:rFonts w:ascii="Cambria" w:eastAsia="Times New Roman" w:hAnsi="Cambria" w:cs="Times New Roman"/>
          <w:color w:val="000000"/>
          <w:kern w:val="0"/>
          <w:sz w:val="22"/>
          <w:szCs w:val="22"/>
          <w14:ligatures w14:val="none"/>
        </w:rPr>
        <w:t>Our dataset and multiple academic achievement indicators that all pointed in a similar direction - moderate-to-high academic preparation is just as likely to be meaningfully participating in the labor force.</w:t>
      </w:r>
    </w:p>
    <w:p w14:paraId="1B8AD86B" w14:textId="77777777" w:rsidR="009222F6" w:rsidRPr="009222F6" w:rsidRDefault="009222F6" w:rsidP="009222F6">
      <w:pPr>
        <w:spacing w:before="280" w:after="80" w:line="240" w:lineRule="auto"/>
        <w:outlineLvl w:val="2"/>
        <w:rPr>
          <w:rFonts w:ascii="Times New Roman" w:eastAsia="Times New Roman" w:hAnsi="Times New Roman" w:cs="Times New Roman"/>
          <w:b/>
          <w:bCs/>
          <w:kern w:val="0"/>
          <w:sz w:val="27"/>
          <w:szCs w:val="27"/>
          <w14:ligatures w14:val="none"/>
        </w:rPr>
      </w:pPr>
      <w:r w:rsidRPr="009222F6">
        <w:rPr>
          <w:rFonts w:ascii="Cambria" w:eastAsia="Times New Roman" w:hAnsi="Cambria" w:cs="Times New Roman"/>
          <w:b/>
          <w:bCs/>
          <w:color w:val="000000"/>
          <w:kern w:val="0"/>
          <w:sz w:val="26"/>
          <w:szCs w:val="26"/>
          <w14:ligatures w14:val="none"/>
        </w:rPr>
        <w:t>Measuring Academic Preparation</w:t>
      </w:r>
    </w:p>
    <w:p w14:paraId="389D4E46" w14:textId="77777777" w:rsidR="009222F6" w:rsidRPr="009222F6" w:rsidRDefault="009222F6" w:rsidP="009222F6">
      <w:pPr>
        <w:spacing w:before="240" w:after="240" w:line="240" w:lineRule="auto"/>
        <w:rPr>
          <w:rFonts w:ascii="Times New Roman" w:eastAsia="Times New Roman" w:hAnsi="Times New Roman" w:cs="Times New Roman"/>
          <w:kern w:val="0"/>
          <w14:ligatures w14:val="none"/>
        </w:rPr>
      </w:pPr>
      <w:r w:rsidRPr="009222F6">
        <w:rPr>
          <w:rFonts w:ascii="Cambria" w:eastAsia="Times New Roman" w:hAnsi="Cambria" w:cs="Times New Roman"/>
          <w:color w:val="000000"/>
          <w:kern w:val="0"/>
          <w:sz w:val="22"/>
          <w:szCs w:val="22"/>
          <w14:ligatures w14:val="none"/>
        </w:rPr>
        <w:t xml:space="preserve">To better understand how high school experiences shape postsecondary and workforce outcomes, this analysis developed a composite measure of </w:t>
      </w:r>
      <w:r w:rsidRPr="009222F6">
        <w:rPr>
          <w:rFonts w:ascii="Cambria" w:eastAsia="Times New Roman" w:hAnsi="Cambria" w:cs="Times New Roman"/>
          <w:b/>
          <w:bCs/>
          <w:color w:val="000000"/>
          <w:kern w:val="0"/>
          <w:sz w:val="22"/>
          <w:szCs w:val="22"/>
          <w14:ligatures w14:val="none"/>
        </w:rPr>
        <w:t>academic preparation</w:t>
      </w:r>
      <w:r w:rsidRPr="009222F6">
        <w:rPr>
          <w:rFonts w:ascii="Cambria" w:eastAsia="Times New Roman" w:hAnsi="Cambria" w:cs="Times New Roman"/>
          <w:color w:val="000000"/>
          <w:kern w:val="0"/>
          <w:sz w:val="22"/>
          <w:szCs w:val="22"/>
          <w14:ligatures w14:val="none"/>
        </w:rPr>
        <w:t xml:space="preserve">. Rather than relying on any single test score or program, the measure captures the </w:t>
      </w:r>
      <w:r w:rsidRPr="009222F6">
        <w:rPr>
          <w:rFonts w:ascii="Cambria" w:eastAsia="Times New Roman" w:hAnsi="Cambria" w:cs="Times New Roman"/>
          <w:i/>
          <w:iCs/>
          <w:color w:val="000000"/>
          <w:kern w:val="0"/>
          <w:sz w:val="22"/>
          <w:szCs w:val="22"/>
          <w14:ligatures w14:val="none"/>
        </w:rPr>
        <w:t>accumulation</w:t>
      </w:r>
      <w:r w:rsidRPr="009222F6">
        <w:rPr>
          <w:rFonts w:ascii="Cambria" w:eastAsia="Times New Roman" w:hAnsi="Cambria" w:cs="Times New Roman"/>
          <w:color w:val="000000"/>
          <w:kern w:val="0"/>
          <w:sz w:val="22"/>
          <w:szCs w:val="22"/>
          <w14:ligatures w14:val="none"/>
        </w:rPr>
        <w:t xml:space="preserve"> of college-oriented academic experiences that consistently emerged across the analysis as being related to postsecondary mobility and workforce outcomes.</w:t>
      </w:r>
    </w:p>
    <w:p w14:paraId="05D09F43" w14:textId="77777777" w:rsidR="009222F6" w:rsidRPr="009222F6" w:rsidRDefault="009222F6" w:rsidP="009222F6">
      <w:pPr>
        <w:spacing w:before="240" w:after="240" w:line="240" w:lineRule="auto"/>
        <w:rPr>
          <w:rFonts w:ascii="Times New Roman" w:eastAsia="Times New Roman" w:hAnsi="Times New Roman" w:cs="Times New Roman"/>
          <w:kern w:val="0"/>
          <w14:ligatures w14:val="none"/>
        </w:rPr>
      </w:pPr>
      <w:r w:rsidRPr="009222F6">
        <w:rPr>
          <w:rFonts w:ascii="Cambria" w:eastAsia="Times New Roman" w:hAnsi="Cambria" w:cs="Times New Roman"/>
          <w:color w:val="000000"/>
          <w:kern w:val="0"/>
          <w:sz w:val="22"/>
          <w:szCs w:val="22"/>
          <w14:ligatures w14:val="none"/>
        </w:rPr>
        <w:t>The academic preparation score is built from four indicators that reflect both academic performance and engagement with college systems during high school: proficiency on the Minnesota Comprehensive Assessments (MCA) in math, reading, and science; participation in college entrance testing (ACT); performance on the ACT composite score; and participation in Postsecondary Enrollment Options (PSEO). Each indicator was converted into a simple yes/no signal—for example, whether a student reached proficiency on an MCA exam or participated in PSEO—and then summed to produce an overall score. Higher scores reflect greater cumulative exposure to academic experiences designed to prepare students for postsecondary education.</w:t>
      </w:r>
    </w:p>
    <w:p w14:paraId="2F7A79EC" w14:textId="77777777" w:rsidR="009222F6" w:rsidRPr="009222F6" w:rsidRDefault="009222F6" w:rsidP="009222F6">
      <w:pPr>
        <w:spacing w:before="240" w:after="240" w:line="240" w:lineRule="auto"/>
        <w:rPr>
          <w:rFonts w:ascii="Times New Roman" w:eastAsia="Times New Roman" w:hAnsi="Times New Roman" w:cs="Times New Roman"/>
          <w:kern w:val="0"/>
          <w14:ligatures w14:val="none"/>
        </w:rPr>
      </w:pPr>
      <w:r w:rsidRPr="009222F6">
        <w:rPr>
          <w:rFonts w:ascii="Cambria" w:eastAsia="Times New Roman" w:hAnsi="Cambria" w:cs="Times New Roman"/>
          <w:color w:val="000000"/>
          <w:kern w:val="0"/>
          <w:sz w:val="22"/>
          <w:szCs w:val="22"/>
          <w14:ligatures w14:val="none"/>
        </w:rPr>
        <w:t xml:space="preserve">This approach was intentional. Academic preparation is not a single threshold or credential but a </w:t>
      </w:r>
      <w:r w:rsidRPr="009222F6">
        <w:rPr>
          <w:rFonts w:ascii="Cambria" w:eastAsia="Times New Roman" w:hAnsi="Cambria" w:cs="Times New Roman"/>
          <w:b/>
          <w:bCs/>
          <w:color w:val="000000"/>
          <w:kern w:val="0"/>
          <w:sz w:val="22"/>
          <w:szCs w:val="22"/>
          <w14:ligatures w14:val="none"/>
        </w:rPr>
        <w:t>continuum of exposure and opportunity</w:t>
      </w:r>
      <w:r w:rsidRPr="009222F6">
        <w:rPr>
          <w:rFonts w:ascii="Cambria" w:eastAsia="Times New Roman" w:hAnsi="Cambria" w:cs="Times New Roman"/>
          <w:color w:val="000000"/>
          <w:kern w:val="0"/>
          <w:sz w:val="22"/>
          <w:szCs w:val="22"/>
          <w14:ligatures w14:val="none"/>
        </w:rPr>
        <w:t>. Treating preparation as a cumulative score allows the analysis to examine how outcomes shift gradually as preparation increases, rather than assuming a sharp divide between “prepared” and “not prepared” students.</w:t>
      </w:r>
    </w:p>
    <w:p w14:paraId="08A42F80" w14:textId="77777777" w:rsidR="009222F6" w:rsidRPr="009222F6" w:rsidRDefault="009222F6" w:rsidP="009222F6">
      <w:pPr>
        <w:spacing w:before="240" w:after="240" w:line="240" w:lineRule="auto"/>
        <w:rPr>
          <w:rFonts w:ascii="Times New Roman" w:eastAsia="Times New Roman" w:hAnsi="Times New Roman" w:cs="Times New Roman"/>
          <w:kern w:val="0"/>
          <w14:ligatures w14:val="none"/>
        </w:rPr>
      </w:pPr>
      <w:r w:rsidRPr="009222F6">
        <w:rPr>
          <w:rFonts w:ascii="Cambria" w:eastAsia="Times New Roman" w:hAnsi="Cambria" w:cs="Times New Roman"/>
          <w:color w:val="000000"/>
          <w:kern w:val="0"/>
          <w:sz w:val="22"/>
          <w:szCs w:val="22"/>
          <w14:ligatures w14:val="none"/>
        </w:rPr>
        <w:t xml:space="preserve">Importantly, the academic preparation score is </w:t>
      </w:r>
      <w:r w:rsidRPr="009222F6">
        <w:rPr>
          <w:rFonts w:ascii="Cambria" w:eastAsia="Times New Roman" w:hAnsi="Cambria" w:cs="Times New Roman"/>
          <w:b/>
          <w:bCs/>
          <w:color w:val="000000"/>
          <w:kern w:val="0"/>
          <w:sz w:val="22"/>
          <w:szCs w:val="22"/>
          <w14:ligatures w14:val="none"/>
        </w:rPr>
        <w:t>not a measure of innate ability or student merit</w:t>
      </w:r>
      <w:r w:rsidRPr="009222F6">
        <w:rPr>
          <w:rFonts w:ascii="Cambria" w:eastAsia="Times New Roman" w:hAnsi="Cambria" w:cs="Times New Roman"/>
          <w:color w:val="000000"/>
          <w:kern w:val="0"/>
          <w:sz w:val="22"/>
          <w:szCs w:val="22"/>
          <w14:ligatures w14:val="none"/>
        </w:rPr>
        <w:t>. Instead, it reflects access to and participation in academic opportunities that expand postsecondary options. Exploratory analysis confirmed that these indicators cluster together empirically and are distinct from Career and Technical Education (CTE) participation, reinforcing the interpretation that academic preparation and career-oriented pathways represent separate—but interacting—forces shaping post–high school outcomes.</w:t>
      </w:r>
    </w:p>
    <w:p w14:paraId="1DBEF008" w14:textId="77777777" w:rsidR="009222F6" w:rsidRPr="009222F6" w:rsidRDefault="009222F6" w:rsidP="009222F6">
      <w:pPr>
        <w:spacing w:before="240" w:after="240" w:line="240" w:lineRule="auto"/>
        <w:rPr>
          <w:rFonts w:ascii="Times New Roman" w:eastAsia="Times New Roman" w:hAnsi="Times New Roman" w:cs="Times New Roman"/>
          <w:kern w:val="0"/>
          <w14:ligatures w14:val="none"/>
        </w:rPr>
      </w:pPr>
      <w:r w:rsidRPr="009222F6">
        <w:rPr>
          <w:rFonts w:ascii="Cambria" w:eastAsia="Times New Roman" w:hAnsi="Cambria" w:cs="Times New Roman"/>
          <w:color w:val="000000"/>
          <w:kern w:val="0"/>
          <w:sz w:val="22"/>
          <w:szCs w:val="22"/>
          <w14:ligatures w14:val="none"/>
        </w:rPr>
        <w:lastRenderedPageBreak/>
        <w:t xml:space="preserve">Within the Anchored pathway, the relationship between academic preparation and regional workforce participation reveals an important nuance. As shown in the chart below, </w:t>
      </w:r>
      <w:r w:rsidRPr="009222F6">
        <w:rPr>
          <w:rFonts w:ascii="Cambria" w:eastAsia="Times New Roman" w:hAnsi="Cambria" w:cs="Times New Roman"/>
          <w:b/>
          <w:bCs/>
          <w:color w:val="000000"/>
          <w:kern w:val="0"/>
          <w:sz w:val="22"/>
          <w:szCs w:val="22"/>
          <w14:ligatures w14:val="none"/>
        </w:rPr>
        <w:t>moderate levels of academic preparation are associated with the highest rates of meaningful workforce participation within Northeast Minnesota</w:t>
      </w:r>
      <w:r w:rsidRPr="009222F6">
        <w:rPr>
          <w:rFonts w:ascii="Cambria" w:eastAsia="Times New Roman" w:hAnsi="Cambria" w:cs="Times New Roman"/>
          <w:color w:val="000000"/>
          <w:kern w:val="0"/>
          <w:sz w:val="22"/>
          <w:szCs w:val="22"/>
          <w14:ligatures w14:val="none"/>
        </w:rPr>
        <w:t>. Five years after high school, individuals with mid-range preparation scores were most likely to be meaningfully employed in the region. In contrast, those with very low preparation were less likely to achieve stable regional employment, while those with the highest preparation levels were also less likely to remain meaningfully participating in the regional labor force—reflecting the expanded mobility options available to highly prepared students.</w:t>
      </w:r>
    </w:p>
    <w:p w14:paraId="410B3507" w14:textId="5D19A903" w:rsidR="009222F6" w:rsidRPr="009222F6" w:rsidRDefault="009222F6" w:rsidP="009222F6">
      <w:pPr>
        <w:spacing w:after="200" w:line="240" w:lineRule="auto"/>
        <w:jc w:val="center"/>
        <w:rPr>
          <w:rFonts w:ascii="Times New Roman" w:eastAsia="Times New Roman" w:hAnsi="Times New Roman" w:cs="Times New Roman"/>
          <w:kern w:val="0"/>
          <w14:ligatures w14:val="none"/>
        </w:rPr>
      </w:pPr>
      <w:r w:rsidRPr="009222F6">
        <w:rPr>
          <w:rFonts w:ascii="Cambria" w:eastAsia="Times New Roman" w:hAnsi="Cambria" w:cs="Times New Roman"/>
          <w:i/>
          <w:iCs/>
          <w:color w:val="000000"/>
          <w:kern w:val="0"/>
          <w:sz w:val="22"/>
          <w:szCs w:val="22"/>
          <w14:ligatures w14:val="none"/>
        </w:rPr>
        <w:t> </w:t>
      </w:r>
      <w:r w:rsidRPr="009222F6">
        <w:rPr>
          <w:rFonts w:ascii="Cambria" w:eastAsia="Times New Roman" w:hAnsi="Cambria" w:cs="Times New Roman"/>
          <w:i/>
          <w:iCs/>
          <w:noProof/>
          <w:color w:val="000000"/>
          <w:kern w:val="0"/>
          <w:sz w:val="22"/>
          <w:szCs w:val="22"/>
          <w:bdr w:val="none" w:sz="0" w:space="0" w:color="auto" w:frame="1"/>
          <w14:ligatures w14:val="none"/>
        </w:rPr>
        <w:drawing>
          <wp:inline distT="0" distB="0" distL="0" distR="0" wp14:anchorId="7BB1F04E" wp14:editId="1E08DAE1">
            <wp:extent cx="5943600" cy="4462145"/>
            <wp:effectExtent l="0" t="0" r="0" b="0"/>
            <wp:docPr id="1315390116" name="Picture 1" descr="A chart of a number of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390116" name="Picture 1" descr="A chart of a number of colored line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4462145"/>
                    </a:xfrm>
                    <a:prstGeom prst="rect">
                      <a:avLst/>
                    </a:prstGeom>
                    <a:noFill/>
                    <a:ln>
                      <a:noFill/>
                    </a:ln>
                  </pic:spPr>
                </pic:pic>
              </a:graphicData>
            </a:graphic>
          </wp:inline>
        </w:drawing>
      </w:r>
      <w:r w:rsidRPr="009222F6">
        <w:rPr>
          <w:rFonts w:ascii="Cambria" w:eastAsia="Times New Roman" w:hAnsi="Cambria" w:cs="Times New Roman"/>
          <w:i/>
          <w:iCs/>
          <w:color w:val="000000"/>
          <w:kern w:val="0"/>
          <w:sz w:val="22"/>
          <w:szCs w:val="22"/>
          <w14:ligatures w14:val="none"/>
        </w:rPr>
        <w:br/>
        <w:t>Chart X: The percentage of academic preparation count peaks between scores 2 &amp; 4. Data: MN Office of higher education - SLEDS</w:t>
      </w:r>
    </w:p>
    <w:p w14:paraId="65FE2A61" w14:textId="77777777" w:rsidR="009222F6" w:rsidRPr="009222F6" w:rsidRDefault="009222F6" w:rsidP="009222F6">
      <w:pPr>
        <w:spacing w:after="240" w:line="240" w:lineRule="auto"/>
        <w:rPr>
          <w:rFonts w:ascii="Times New Roman" w:eastAsia="Times New Roman" w:hAnsi="Times New Roman" w:cs="Times New Roman"/>
          <w:kern w:val="0"/>
          <w14:ligatures w14:val="none"/>
        </w:rPr>
      </w:pPr>
    </w:p>
    <w:p w14:paraId="62ACA719" w14:textId="77777777" w:rsidR="009222F6" w:rsidRPr="009222F6" w:rsidRDefault="009222F6" w:rsidP="009222F6">
      <w:pPr>
        <w:spacing w:before="240" w:after="240" w:line="240" w:lineRule="auto"/>
        <w:outlineLvl w:val="1"/>
        <w:rPr>
          <w:rFonts w:ascii="Times New Roman" w:eastAsia="Times New Roman" w:hAnsi="Times New Roman" w:cs="Times New Roman"/>
          <w:b/>
          <w:bCs/>
          <w:kern w:val="0"/>
          <w:sz w:val="36"/>
          <w:szCs w:val="36"/>
          <w14:ligatures w14:val="none"/>
        </w:rPr>
      </w:pPr>
      <w:r w:rsidRPr="009222F6">
        <w:rPr>
          <w:rFonts w:ascii="Cambria" w:eastAsia="Times New Roman" w:hAnsi="Cambria" w:cs="Times New Roman"/>
          <w:color w:val="000000"/>
          <w:kern w:val="0"/>
          <w:sz w:val="32"/>
          <w:szCs w:val="32"/>
          <w14:ligatures w14:val="none"/>
        </w:rPr>
        <w:t>Implications for policy and practice</w:t>
      </w:r>
    </w:p>
    <w:p w14:paraId="14935E73" w14:textId="77777777" w:rsidR="009222F6" w:rsidRPr="009222F6" w:rsidRDefault="009222F6" w:rsidP="009222F6">
      <w:pPr>
        <w:spacing w:before="240" w:after="240" w:line="240" w:lineRule="auto"/>
        <w:rPr>
          <w:rFonts w:ascii="Times New Roman" w:eastAsia="Times New Roman" w:hAnsi="Times New Roman" w:cs="Times New Roman"/>
          <w:kern w:val="0"/>
          <w14:ligatures w14:val="none"/>
        </w:rPr>
      </w:pPr>
      <w:r w:rsidRPr="009222F6">
        <w:rPr>
          <w:rFonts w:ascii="Cambria" w:eastAsia="Times New Roman" w:hAnsi="Cambria" w:cs="Times New Roman"/>
          <w:color w:val="000000"/>
          <w:kern w:val="0"/>
          <w:sz w:val="22"/>
          <w:szCs w:val="22"/>
          <w14:ligatures w14:val="none"/>
        </w:rPr>
        <w:t>Findings from this study point to three priority considerations:</w:t>
      </w:r>
    </w:p>
    <w:p w14:paraId="749B189F" w14:textId="77777777" w:rsidR="009222F6" w:rsidRPr="009222F6" w:rsidRDefault="009222F6" w:rsidP="009222F6">
      <w:pPr>
        <w:numPr>
          <w:ilvl w:val="0"/>
          <w:numId w:val="4"/>
        </w:numPr>
        <w:spacing w:before="240" w:after="240" w:line="240" w:lineRule="auto"/>
        <w:textAlignment w:val="baseline"/>
        <w:rPr>
          <w:rFonts w:ascii="Cambria" w:eastAsia="Times New Roman" w:hAnsi="Cambria" w:cs="Times New Roman"/>
          <w:color w:val="000000"/>
          <w:kern w:val="0"/>
          <w:sz w:val="22"/>
          <w:szCs w:val="22"/>
          <w14:ligatures w14:val="none"/>
        </w:rPr>
      </w:pPr>
      <w:r w:rsidRPr="009222F6">
        <w:rPr>
          <w:rFonts w:ascii="Cambria" w:eastAsia="Times New Roman" w:hAnsi="Cambria" w:cs="Times New Roman"/>
          <w:color w:val="000000"/>
          <w:kern w:val="0"/>
          <w:sz w:val="22"/>
          <w:szCs w:val="22"/>
          <w14:ligatures w14:val="none"/>
        </w:rPr>
        <w:t>Postsecondary completion within the region matters</w:t>
      </w:r>
    </w:p>
    <w:p w14:paraId="7D0C8A76" w14:textId="77777777" w:rsidR="009222F6" w:rsidRPr="009222F6" w:rsidRDefault="009222F6" w:rsidP="009222F6">
      <w:pPr>
        <w:spacing w:before="240" w:after="240" w:line="240" w:lineRule="auto"/>
        <w:rPr>
          <w:rFonts w:ascii="Times New Roman" w:eastAsia="Times New Roman" w:hAnsi="Times New Roman" w:cs="Times New Roman"/>
          <w:kern w:val="0"/>
          <w14:ligatures w14:val="none"/>
        </w:rPr>
      </w:pPr>
      <w:r w:rsidRPr="009222F6">
        <w:rPr>
          <w:rFonts w:ascii="Cambria" w:eastAsia="Times New Roman" w:hAnsi="Cambria" w:cs="Times New Roman"/>
          <w:color w:val="000000"/>
          <w:kern w:val="0"/>
          <w:sz w:val="22"/>
          <w:szCs w:val="22"/>
          <w14:ligatures w14:val="none"/>
        </w:rPr>
        <w:lastRenderedPageBreak/>
        <w:t>Completion — not just enrollment — is strongly associated with meaningful local employment. Supporting credential completion at regional institutions is central to strengthening this pathway.</w:t>
      </w:r>
    </w:p>
    <w:p w14:paraId="6528D710" w14:textId="77777777" w:rsidR="009222F6" w:rsidRPr="009222F6" w:rsidRDefault="009222F6" w:rsidP="009222F6">
      <w:pPr>
        <w:numPr>
          <w:ilvl w:val="0"/>
          <w:numId w:val="5"/>
        </w:numPr>
        <w:spacing w:before="240" w:after="240" w:line="240" w:lineRule="auto"/>
        <w:textAlignment w:val="baseline"/>
        <w:rPr>
          <w:rFonts w:ascii="Cambria" w:eastAsia="Times New Roman" w:hAnsi="Cambria" w:cs="Times New Roman"/>
          <w:color w:val="000000"/>
          <w:kern w:val="0"/>
          <w:sz w:val="22"/>
          <w:szCs w:val="22"/>
          <w14:ligatures w14:val="none"/>
        </w:rPr>
      </w:pPr>
      <w:r w:rsidRPr="009222F6">
        <w:rPr>
          <w:rFonts w:ascii="Cambria" w:eastAsia="Times New Roman" w:hAnsi="Cambria" w:cs="Times New Roman"/>
          <w:color w:val="000000"/>
          <w:kern w:val="0"/>
          <w:sz w:val="22"/>
          <w:szCs w:val="22"/>
          <w14:ligatures w14:val="none"/>
        </w:rPr>
        <w:t>CTE completion is a key workforce lever</w:t>
      </w:r>
    </w:p>
    <w:p w14:paraId="6ACF66F0" w14:textId="77777777" w:rsidR="009222F6" w:rsidRPr="009222F6" w:rsidRDefault="009222F6" w:rsidP="009222F6">
      <w:pPr>
        <w:spacing w:before="240" w:after="240" w:line="240" w:lineRule="auto"/>
        <w:rPr>
          <w:rFonts w:ascii="Times New Roman" w:eastAsia="Times New Roman" w:hAnsi="Times New Roman" w:cs="Times New Roman"/>
          <w:kern w:val="0"/>
          <w14:ligatures w14:val="none"/>
        </w:rPr>
      </w:pPr>
      <w:r w:rsidRPr="009222F6">
        <w:rPr>
          <w:rFonts w:ascii="Cambria" w:eastAsia="Times New Roman" w:hAnsi="Cambria" w:cs="Times New Roman"/>
          <w:color w:val="000000"/>
          <w:kern w:val="0"/>
          <w:sz w:val="22"/>
          <w:szCs w:val="22"/>
          <w14:ligatures w14:val="none"/>
        </w:rPr>
        <w:t>CTE completers are consistently more likely to achieve stable employment in Northeast Minnesota. Expanding access to high-quality CTE pathways can increase long-term workforce attachment.</w:t>
      </w:r>
    </w:p>
    <w:p w14:paraId="31ACF522" w14:textId="77777777" w:rsidR="009222F6" w:rsidRPr="009222F6" w:rsidRDefault="009222F6" w:rsidP="009222F6">
      <w:pPr>
        <w:numPr>
          <w:ilvl w:val="0"/>
          <w:numId w:val="6"/>
        </w:numPr>
        <w:spacing w:before="240" w:after="240" w:line="240" w:lineRule="auto"/>
        <w:textAlignment w:val="baseline"/>
        <w:rPr>
          <w:rFonts w:ascii="Cambria" w:eastAsia="Times New Roman" w:hAnsi="Cambria" w:cs="Times New Roman"/>
          <w:color w:val="000000"/>
          <w:kern w:val="0"/>
          <w:sz w:val="22"/>
          <w:szCs w:val="22"/>
          <w14:ligatures w14:val="none"/>
        </w:rPr>
      </w:pPr>
      <w:r w:rsidRPr="009222F6">
        <w:rPr>
          <w:rFonts w:ascii="Cambria" w:eastAsia="Times New Roman" w:hAnsi="Cambria" w:cs="Times New Roman"/>
          <w:color w:val="000000"/>
          <w:kern w:val="0"/>
          <w:sz w:val="22"/>
          <w:szCs w:val="22"/>
          <w14:ligatures w14:val="none"/>
        </w:rPr>
        <w:t>Continue to strengthen connection between CTE and local post-secondary institutions</w:t>
      </w:r>
    </w:p>
    <w:p w14:paraId="5344DB10" w14:textId="77777777" w:rsidR="009222F6" w:rsidRPr="009222F6" w:rsidRDefault="009222F6" w:rsidP="009222F6">
      <w:pPr>
        <w:spacing w:before="240" w:after="240" w:line="240" w:lineRule="auto"/>
        <w:rPr>
          <w:rFonts w:ascii="Times New Roman" w:eastAsia="Times New Roman" w:hAnsi="Times New Roman" w:cs="Times New Roman"/>
          <w:kern w:val="0"/>
          <w14:ligatures w14:val="none"/>
        </w:rPr>
      </w:pPr>
      <w:r w:rsidRPr="009222F6">
        <w:rPr>
          <w:rFonts w:ascii="Cambria" w:eastAsia="Times New Roman" w:hAnsi="Cambria" w:cs="Times New Roman"/>
          <w:color w:val="000000"/>
          <w:kern w:val="0"/>
          <w:sz w:val="22"/>
          <w:szCs w:val="22"/>
          <w14:ligatures w14:val="none"/>
        </w:rPr>
        <w:t xml:space="preserve">More engagement with CTE programming increased the likelihood of an individual completing college in the region, attaining an </w:t>
      </w:r>
      <w:proofErr w:type="gramStart"/>
      <w:r w:rsidRPr="009222F6">
        <w:rPr>
          <w:rFonts w:ascii="Cambria" w:eastAsia="Times New Roman" w:hAnsi="Cambria" w:cs="Times New Roman"/>
          <w:color w:val="000000"/>
          <w:kern w:val="0"/>
          <w:sz w:val="22"/>
          <w:szCs w:val="22"/>
          <w14:ligatures w14:val="none"/>
        </w:rPr>
        <w:t>Associate</w:t>
      </w:r>
      <w:proofErr w:type="gramEnd"/>
      <w:r w:rsidRPr="009222F6">
        <w:rPr>
          <w:rFonts w:ascii="Cambria" w:eastAsia="Times New Roman" w:hAnsi="Cambria" w:cs="Times New Roman"/>
          <w:color w:val="000000"/>
          <w:kern w:val="0"/>
          <w:sz w:val="22"/>
          <w:szCs w:val="22"/>
          <w14:ligatures w14:val="none"/>
        </w:rPr>
        <w:t xml:space="preserve"> degree or similar, and/or completing in a 2-year post-secondary institution - all of which </w:t>
      </w:r>
      <w:proofErr w:type="gramStart"/>
      <w:r w:rsidRPr="009222F6">
        <w:rPr>
          <w:rFonts w:ascii="Cambria" w:eastAsia="Times New Roman" w:hAnsi="Cambria" w:cs="Times New Roman"/>
          <w:color w:val="000000"/>
          <w:kern w:val="0"/>
          <w:sz w:val="22"/>
          <w:szCs w:val="22"/>
          <w14:ligatures w14:val="none"/>
        </w:rPr>
        <w:t>lead</w:t>
      </w:r>
      <w:proofErr w:type="gramEnd"/>
      <w:r w:rsidRPr="009222F6">
        <w:rPr>
          <w:rFonts w:ascii="Cambria" w:eastAsia="Times New Roman" w:hAnsi="Cambria" w:cs="Times New Roman"/>
          <w:color w:val="000000"/>
          <w:kern w:val="0"/>
          <w:sz w:val="22"/>
          <w:szCs w:val="22"/>
          <w14:ligatures w14:val="none"/>
        </w:rPr>
        <w:t xml:space="preserve"> to higher likelihood of participating in the regional workforce.</w:t>
      </w:r>
    </w:p>
    <w:p w14:paraId="1394DA1E" w14:textId="77777777" w:rsidR="009222F6" w:rsidRPr="009222F6" w:rsidRDefault="009222F6" w:rsidP="009222F6">
      <w:pPr>
        <w:spacing w:after="0" w:line="240" w:lineRule="auto"/>
        <w:rPr>
          <w:rFonts w:ascii="Times New Roman" w:eastAsia="Times New Roman" w:hAnsi="Times New Roman" w:cs="Times New Roman"/>
          <w:kern w:val="0"/>
          <w14:ligatures w14:val="none"/>
        </w:rPr>
      </w:pPr>
    </w:p>
    <w:p w14:paraId="0B9F9446" w14:textId="77777777" w:rsidR="000C3CD5" w:rsidRDefault="000C3CD5"/>
    <w:sectPr w:rsidR="000C3C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230E0"/>
    <w:multiLevelType w:val="multilevel"/>
    <w:tmpl w:val="6B7C00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473516"/>
    <w:multiLevelType w:val="multilevel"/>
    <w:tmpl w:val="809EA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BD2EB3"/>
    <w:multiLevelType w:val="multilevel"/>
    <w:tmpl w:val="E0A48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EB1EA0"/>
    <w:multiLevelType w:val="multilevel"/>
    <w:tmpl w:val="4EBC0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1F6379"/>
    <w:multiLevelType w:val="multilevel"/>
    <w:tmpl w:val="A4527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CE34B8"/>
    <w:multiLevelType w:val="multilevel"/>
    <w:tmpl w:val="6840C2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2733314">
    <w:abstractNumId w:val="2"/>
  </w:num>
  <w:num w:numId="2" w16cid:durableId="172571839">
    <w:abstractNumId w:val="4"/>
  </w:num>
  <w:num w:numId="3" w16cid:durableId="1414163254">
    <w:abstractNumId w:val="1"/>
  </w:num>
  <w:num w:numId="4" w16cid:durableId="2142534911">
    <w:abstractNumId w:val="3"/>
  </w:num>
  <w:num w:numId="5" w16cid:durableId="981958361">
    <w:abstractNumId w:val="0"/>
    <w:lvlOverride w:ilvl="0">
      <w:lvl w:ilvl="0">
        <w:numFmt w:val="decimal"/>
        <w:lvlText w:val="%1."/>
        <w:lvlJc w:val="left"/>
      </w:lvl>
    </w:lvlOverride>
  </w:num>
  <w:num w:numId="6" w16cid:durableId="2037079448">
    <w:abstractNumId w:val="5"/>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2F6"/>
    <w:rsid w:val="00036780"/>
    <w:rsid w:val="000C3CD5"/>
    <w:rsid w:val="00652C4A"/>
    <w:rsid w:val="007C3824"/>
    <w:rsid w:val="0081124D"/>
    <w:rsid w:val="00922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A362BD6"/>
  <w15:chartTrackingRefBased/>
  <w15:docId w15:val="{3F5329E9-FE86-1540-B267-1B51D55A9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22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222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222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222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22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22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22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22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22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22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222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222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222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22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22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22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22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22F6"/>
    <w:rPr>
      <w:rFonts w:eastAsiaTheme="majorEastAsia" w:cstheme="majorBidi"/>
      <w:color w:val="272727" w:themeColor="text1" w:themeTint="D8"/>
    </w:rPr>
  </w:style>
  <w:style w:type="paragraph" w:styleId="Title">
    <w:name w:val="Title"/>
    <w:basedOn w:val="Normal"/>
    <w:next w:val="Normal"/>
    <w:link w:val="TitleChar"/>
    <w:uiPriority w:val="10"/>
    <w:qFormat/>
    <w:rsid w:val="009222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22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22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22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22F6"/>
    <w:pPr>
      <w:spacing w:before="160"/>
      <w:jc w:val="center"/>
    </w:pPr>
    <w:rPr>
      <w:i/>
      <w:iCs/>
      <w:color w:val="404040" w:themeColor="text1" w:themeTint="BF"/>
    </w:rPr>
  </w:style>
  <w:style w:type="character" w:customStyle="1" w:styleId="QuoteChar">
    <w:name w:val="Quote Char"/>
    <w:basedOn w:val="DefaultParagraphFont"/>
    <w:link w:val="Quote"/>
    <w:uiPriority w:val="29"/>
    <w:rsid w:val="009222F6"/>
    <w:rPr>
      <w:i/>
      <w:iCs/>
      <w:color w:val="404040" w:themeColor="text1" w:themeTint="BF"/>
    </w:rPr>
  </w:style>
  <w:style w:type="paragraph" w:styleId="ListParagraph">
    <w:name w:val="List Paragraph"/>
    <w:basedOn w:val="Normal"/>
    <w:uiPriority w:val="34"/>
    <w:qFormat/>
    <w:rsid w:val="009222F6"/>
    <w:pPr>
      <w:ind w:left="720"/>
      <w:contextualSpacing/>
    </w:pPr>
  </w:style>
  <w:style w:type="character" w:styleId="IntenseEmphasis">
    <w:name w:val="Intense Emphasis"/>
    <w:basedOn w:val="DefaultParagraphFont"/>
    <w:uiPriority w:val="21"/>
    <w:qFormat/>
    <w:rsid w:val="009222F6"/>
    <w:rPr>
      <w:i/>
      <w:iCs/>
      <w:color w:val="0F4761" w:themeColor="accent1" w:themeShade="BF"/>
    </w:rPr>
  </w:style>
  <w:style w:type="paragraph" w:styleId="IntenseQuote">
    <w:name w:val="Intense Quote"/>
    <w:basedOn w:val="Normal"/>
    <w:next w:val="Normal"/>
    <w:link w:val="IntenseQuoteChar"/>
    <w:uiPriority w:val="30"/>
    <w:qFormat/>
    <w:rsid w:val="009222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22F6"/>
    <w:rPr>
      <w:i/>
      <w:iCs/>
      <w:color w:val="0F4761" w:themeColor="accent1" w:themeShade="BF"/>
    </w:rPr>
  </w:style>
  <w:style w:type="character" w:styleId="IntenseReference">
    <w:name w:val="Intense Reference"/>
    <w:basedOn w:val="DefaultParagraphFont"/>
    <w:uiPriority w:val="32"/>
    <w:qFormat/>
    <w:rsid w:val="009222F6"/>
    <w:rPr>
      <w:b/>
      <w:bCs/>
      <w:smallCaps/>
      <w:color w:val="0F4761" w:themeColor="accent1" w:themeShade="BF"/>
      <w:spacing w:val="5"/>
    </w:rPr>
  </w:style>
  <w:style w:type="paragraph" w:styleId="NormalWeb">
    <w:name w:val="Normal (Web)"/>
    <w:basedOn w:val="Normal"/>
    <w:uiPriority w:val="99"/>
    <w:semiHidden/>
    <w:unhideWhenUsed/>
    <w:rsid w:val="009222F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2170</Words>
  <Characters>12373</Characters>
  <Application>Microsoft Office Word</Application>
  <DocSecurity>0</DocSecurity>
  <Lines>103</Lines>
  <Paragraphs>29</Paragraphs>
  <ScaleCrop>false</ScaleCrop>
  <Company/>
  <LinksUpToDate>false</LinksUpToDate>
  <CharactersWithSpaces>14514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 Asche</dc:creator>
  <cp:keywords/>
  <dc:description/>
  <cp:lastModifiedBy>Kelly Asche</cp:lastModifiedBy>
  <cp:revision>1</cp:revision>
  <dcterms:created xsi:type="dcterms:W3CDTF">2026-01-19T15:40:00Z</dcterms:created>
  <dcterms:modified xsi:type="dcterms:W3CDTF">2026-01-19T15:41:00Z</dcterms:modified>
</cp:coreProperties>
</file>