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"/>
        <w:ind w:left="0" w:right="0"/>
      </w:pPr>
    </w:p>
    <w:p>
      <w:pPr>
        <w:autoSpaceDN w:val="0"/>
        <w:autoSpaceDE w:val="0"/>
        <w:widowControl/>
        <w:spacing w:line="262" w:lineRule="exact" w:before="550" w:after="0"/>
        <w:ind w:left="0" w:right="0" w:firstLine="0"/>
        <w:jc w:val="center"/>
      </w:pPr>
      <w:r>
        <w:rPr>
          <w:rFonts w:ascii="XCharter" w:hAnsi="XCharter" w:eastAsia="XCharter"/>
          <w:b w:val="0"/>
          <w:i w:val="0"/>
          <w:color w:val="000000"/>
          <w:sz w:val="50"/>
        </w:rPr>
        <w:hyperlink r:id="rId9" w:history="1">
          <w:r>
            <w:rPr>
              <w:rStyle w:val="Hyperlink"/>
            </w:rPr>
            <w:t>KELLY KE</w:t>
          </w:r>
        </w:hyperlink>
      </w:r>
      <w:r>
        <w:rPr>
          <w:rFonts w:ascii="XCharter" w:hAnsi="XCharter" w:eastAsia="XCharter"/>
          <w:b w:val="0"/>
          <w:i w:val="0"/>
          <w:color w:val="000000"/>
          <w:sz w:val="50"/>
        </w:rPr>
        <w:t>M</w:t>
      </w:r>
      <w:r>
        <w:rPr>
          <w:rFonts w:ascii="XCharter" w:hAnsi="XCharter" w:eastAsia="XCharter"/>
          <w:b w:val="0"/>
          <w:i w:val="0"/>
          <w:color w:val="000000"/>
          <w:sz w:val="50"/>
        </w:rPr>
        <w:hyperlink r:id="rId10" w:history="1">
          <w:r>
            <w:rPr>
              <w:rStyle w:val="Hyperlink"/>
            </w:rPr>
            <w:t xml:space="preserve">NITZ </w:t>
          </w:r>
        </w:hyperlink>
      </w:r>
      <w:r>
        <w:br/>
      </w:r>
      <w:r>
        <w:rPr>
          <w:rFonts w:ascii="XCharter" w:hAnsi="XCharter" w:eastAsia="XCharter"/>
          <w:b w:val="0"/>
          <w:i w:val="0"/>
          <w:color w:val="000000"/>
          <w:sz w:val="24"/>
        </w:rPr>
        <w:t xml:space="preserve">Wichita, KS | (316) 648–6290 | </w:t>
      </w:r>
      <w:r>
        <w:rPr>
          <w:rFonts w:ascii="XCharter" w:hAnsi="XCharter" w:eastAsia="XCharter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kellygkemnitz@gmail.com</w:t>
          </w:r>
        </w:hyperlink>
      </w:r>
      <w:r>
        <w:rPr>
          <w:rFonts w:ascii="XCharter" w:hAnsi="XCharter" w:eastAsia="XCharter"/>
          <w:b w:val="0"/>
          <w:i w:val="0"/>
          <w:color w:val="000000"/>
          <w:sz w:val="24"/>
        </w:rPr>
        <w:t xml:space="preserve"> | </w:t>
      </w:r>
      <w:r>
        <w:rPr>
          <w:rFonts w:ascii="XCharter" w:hAnsi="XCharter" w:eastAsia="XCharter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linkedin.com/in/kellykemnitz</w:t>
          </w:r>
        </w:hyperlink>
      </w:r>
      <w:r>
        <w:rPr>
          <w:rFonts w:ascii="XCharter" w:hAnsi="XCharter" w:eastAsia="XCharter"/>
          <w:b w:val="0"/>
          <w:i w:val="0"/>
          <w:color w:val="000000"/>
          <w:sz w:val="24"/>
        </w:rPr>
        <w:t xml:space="preserve"> | </w:t>
      </w:r>
      <w:r>
        <w:rPr>
          <w:rFonts w:ascii="XCharter" w:hAnsi="XCharter" w:eastAsia="XCharter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kellykemnitz.com</w:t>
          </w:r>
        </w:hyperlink>
      </w:r>
    </w:p>
    <w:p>
      <w:pPr>
        <w:autoSpaceDN w:val="0"/>
        <w:autoSpaceDE w:val="0"/>
        <w:widowControl/>
        <w:spacing w:line="396" w:lineRule="exact" w:before="54" w:after="10"/>
        <w:ind w:left="422" w:right="0" w:firstLine="0"/>
        <w:jc w:val="left"/>
      </w:pPr>
      <w:r>
        <w:rPr>
          <w:rFonts w:ascii="XCharter" w:hAnsi="XCharter" w:eastAsia="XCharter"/>
          <w:b/>
          <w:i w:val="0"/>
          <w:color w:val="000000"/>
          <w:sz w:val="24"/>
        </w:rPr>
        <w:t>Experience</w:t>
      </w:r>
    </w:p>
    <w:p>
      <w:pPr>
        <w:sectPr>
          <w:pgSz w:w="12240" w:h="15840"/>
          <w:pgMar w:top="228" w:right="278" w:bottom="952" w:left="2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0" w:lineRule="exact" w:before="70" w:after="0"/>
        <w:ind w:left="422" w:right="2448" w:firstLine="0"/>
        <w:jc w:val="left"/>
      </w:pPr>
      <w:r>
        <w:rPr>
          <w:rFonts w:ascii="XCharter" w:hAnsi="XCharter" w:eastAsia="XCharter"/>
          <w:b/>
          <w:i w:val="0"/>
          <w:color w:val="000000"/>
          <w:sz w:val="22"/>
        </w:rPr>
        <w:t>NetApp</w:t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 – Wichita, KS </w:t>
      </w:r>
      <w:r>
        <w:br/>
      </w:r>
      <w:r>
        <w:rPr>
          <w:rFonts w:ascii="XCharter" w:hAnsi="XCharter" w:eastAsia="XCharter"/>
          <w:b/>
          <w:i w:val="0"/>
          <w:color w:val="000000"/>
          <w:sz w:val="22"/>
        </w:rPr>
        <w:t>Quality Assurance Engineer III</w:t>
      </w:r>
    </w:p>
    <w:p>
      <w:pPr>
        <w:sectPr>
          <w:type w:val="continuous"/>
          <w:pgSz w:w="12240" w:h="15840"/>
          <w:pgMar w:top="228" w:right="278" w:bottom="952" w:left="298" w:header="720" w:footer="720" w:gutter="0"/>
          <w:cols w:num="2" w:equalWidth="0">
            <w:col w:w="6090" w:space="0"/>
            <w:col w:w="5574" w:space="0"/>
          </w:cols>
          <w:docGrid w:linePitch="360"/>
        </w:sectPr>
      </w:pPr>
    </w:p>
    <w:p>
      <w:pPr>
        <w:autoSpaceDN w:val="0"/>
        <w:autoSpaceDE w:val="0"/>
        <w:widowControl/>
        <w:spacing w:line="360" w:lineRule="exact" w:before="0" w:after="10"/>
        <w:ind w:left="0" w:right="442" w:firstLine="0"/>
        <w:jc w:val="right"/>
      </w:pPr>
      <w:r>
        <w:rPr>
          <w:rFonts w:ascii="XCharter" w:hAnsi="XCharter" w:eastAsia="XCharter"/>
          <w:b/>
          <w:i w:val="0"/>
          <w:color w:val="000000"/>
          <w:sz w:val="22"/>
        </w:rPr>
        <w:t>April 2016 – August 2024</w:t>
      </w:r>
    </w:p>
    <w:p>
      <w:pPr>
        <w:sectPr>
          <w:type w:val="nextColumn"/>
          <w:pgSz w:w="12240" w:h="15840"/>
          <w:pgMar w:top="228" w:right="278" w:bottom="952" w:left="298" w:header="720" w:footer="720" w:gutter="0"/>
          <w:cols w:num="2" w:equalWidth="0">
            <w:col w:w="6090" w:space="0"/>
            <w:col w:w="5574" w:space="0"/>
          </w:cols>
          <w:docGrid w:linePitch="360"/>
        </w:sectPr>
      </w:pPr>
    </w:p>
    <w:p>
      <w:pPr>
        <w:autoSpaceDN w:val="0"/>
        <w:tabs>
          <w:tab w:pos="662" w:val="left"/>
        </w:tabs>
        <w:autoSpaceDE w:val="0"/>
        <w:widowControl/>
        <w:spacing w:line="184" w:lineRule="exact" w:before="272" w:after="0"/>
        <w:ind w:left="452" w:right="432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 As Interoperability team lead, drove continuous process improvement, served as a technical resource across the </w:t>
      </w:r>
      <w:r>
        <w:tab/>
      </w:r>
      <w:r>
        <w:rPr>
          <w:rFonts w:ascii="XCharter" w:hAnsi="XCharter" w:eastAsia="XCharter"/>
          <w:b w:val="0"/>
          <w:i w:val="0"/>
          <w:color w:val="000000"/>
          <w:sz w:val="22"/>
        </w:rPr>
        <w:t>testing organization, and mentored up to 10 junior engineers and student contractors concurrently.</w:t>
      </w:r>
    </w:p>
    <w:p>
      <w:pPr>
        <w:autoSpaceDN w:val="0"/>
        <w:tabs>
          <w:tab w:pos="662" w:val="left"/>
        </w:tabs>
        <w:autoSpaceDE w:val="0"/>
        <w:widowControl/>
        <w:spacing w:line="184" w:lineRule="exact" w:before="272" w:after="0"/>
        <w:ind w:left="452" w:right="864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 Reduced capital expenditures by 60% by converting iSCSI test configurations to a VMware-powered virtual </w:t>
      </w:r>
      <w:r>
        <w:tab/>
      </w:r>
      <w:r>
        <w:rPr>
          <w:rFonts w:ascii="XCharter" w:hAnsi="XCharter" w:eastAsia="XCharter"/>
          <w:b w:val="0"/>
          <w:i w:val="0"/>
          <w:color w:val="000000"/>
          <w:sz w:val="22"/>
        </w:rPr>
        <w:t>infrastructure.</w:t>
      </w:r>
    </w:p>
    <w:p>
      <w:pPr>
        <w:autoSpaceDN w:val="0"/>
        <w:tabs>
          <w:tab w:pos="662" w:val="left"/>
        </w:tabs>
        <w:autoSpaceDE w:val="0"/>
        <w:widowControl/>
        <w:spacing w:line="182" w:lineRule="exact" w:before="274" w:after="0"/>
        <w:ind w:left="452" w:right="72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 Led the adoption of Agile practices within the team, implementing 20-day sprint cycle and daily standups to </w:t>
      </w:r>
      <w:r>
        <w:tab/>
      </w:r>
      <w:r>
        <w:rPr>
          <w:rFonts w:ascii="XCharter" w:hAnsi="XCharter" w:eastAsia="XCharter"/>
          <w:b w:val="0"/>
          <w:i w:val="0"/>
          <w:color w:val="000000"/>
          <w:sz w:val="22"/>
        </w:rPr>
        <w:t>drive increased productivity and efficiency.</w:t>
      </w:r>
    </w:p>
    <w:p>
      <w:pPr>
        <w:autoSpaceDN w:val="0"/>
        <w:tabs>
          <w:tab w:pos="662" w:val="left"/>
        </w:tabs>
        <w:autoSpaceDE w:val="0"/>
        <w:widowControl/>
        <w:spacing w:line="182" w:lineRule="exact" w:before="274" w:after="0"/>
        <w:ind w:left="452" w:right="576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 Designed, implemented, and documented a thorough test strategy to ensure seamless compatibility between </w:t>
      </w:r>
      <w:r>
        <w:tab/>
      </w:r>
      <w:r>
        <w:rPr>
          <w:rFonts w:ascii="XCharter" w:hAnsi="XCharter" w:eastAsia="XCharter"/>
          <w:b w:val="0"/>
          <w:i w:val="0"/>
          <w:color w:val="000000"/>
          <w:sz w:val="22"/>
        </w:rPr>
        <w:t>VMware vSphere ESXi and NVMe over Fabrics (NVMe-oF) storage solutions.</w:t>
      </w:r>
    </w:p>
    <w:p>
      <w:pPr>
        <w:autoSpaceDN w:val="0"/>
        <w:tabs>
          <w:tab w:pos="662" w:val="left"/>
        </w:tabs>
        <w:autoSpaceDE w:val="0"/>
        <w:widowControl/>
        <w:spacing w:line="182" w:lineRule="exact" w:before="274" w:after="0"/>
        <w:ind w:left="452" w:right="576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 Resolved issues and provided expert guidance by efficiently managing escalations from customer support and </w:t>
      </w:r>
      <w:r>
        <w:tab/>
      </w:r>
      <w:r>
        <w:rPr>
          <w:rFonts w:ascii="XCharter" w:hAnsi="XCharter" w:eastAsia="XCharter"/>
          <w:b w:val="0"/>
          <w:i w:val="0"/>
          <w:color w:val="000000"/>
          <w:sz w:val="22"/>
        </w:rPr>
        <w:t>technical marketing teams.</w:t>
      </w:r>
    </w:p>
    <w:p>
      <w:pPr>
        <w:autoSpaceDN w:val="0"/>
        <w:tabs>
          <w:tab w:pos="662" w:val="left"/>
        </w:tabs>
        <w:autoSpaceDE w:val="0"/>
        <w:widowControl/>
        <w:spacing w:line="182" w:lineRule="exact" w:before="274" w:after="0"/>
        <w:ind w:left="452" w:right="72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 Acted as team representative in defect standup meetings, ensuring overall release health and advocated for </w:t>
      </w:r>
      <w:r>
        <w:tab/>
      </w:r>
      <w:r>
        <w:rPr>
          <w:rFonts w:ascii="XCharter" w:hAnsi="XCharter" w:eastAsia="XCharter"/>
          <w:b w:val="0"/>
          <w:i w:val="0"/>
          <w:color w:val="000000"/>
          <w:sz w:val="22"/>
        </w:rPr>
        <w:t>potential stop-ship issues.</w:t>
      </w:r>
    </w:p>
    <w:p>
      <w:pPr>
        <w:autoSpaceDN w:val="0"/>
        <w:tabs>
          <w:tab w:pos="662" w:val="left"/>
        </w:tabs>
        <w:autoSpaceDE w:val="0"/>
        <w:widowControl/>
        <w:spacing w:line="182" w:lineRule="exact" w:before="274" w:after="0"/>
        <w:ind w:left="452" w:right="432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 Fostered strong partnerships with Original Equipment Manufacturers (OEMs) to coordinate qualification efforts </w:t>
      </w:r>
      <w:r>
        <w:tab/>
      </w:r>
      <w:r>
        <w:rPr>
          <w:rFonts w:ascii="XCharter" w:hAnsi="XCharter" w:eastAsia="XCharter"/>
          <w:b w:val="0"/>
          <w:i w:val="0"/>
          <w:color w:val="000000"/>
          <w:sz w:val="22"/>
        </w:rPr>
        <w:t>and develop tailored test plans that aligned with their product release schedules.</w:t>
      </w:r>
    </w:p>
    <w:p>
      <w:pPr>
        <w:autoSpaceDN w:val="0"/>
        <w:tabs>
          <w:tab w:pos="8546" w:val="left"/>
        </w:tabs>
        <w:autoSpaceDE w:val="0"/>
        <w:widowControl/>
        <w:spacing w:line="362" w:lineRule="exact" w:before="152" w:after="0"/>
        <w:ind w:left="422" w:right="0" w:firstLine="0"/>
        <w:jc w:val="left"/>
      </w:pPr>
      <w:r>
        <w:rPr>
          <w:rFonts w:ascii="XCharter" w:hAnsi="XCharter" w:eastAsia="XCharter"/>
          <w:b/>
          <w:i w:val="0"/>
          <w:color w:val="000000"/>
          <w:sz w:val="22"/>
        </w:rPr>
        <w:t xml:space="preserve">Quality Assurance Engineer II </w:t>
      </w:r>
      <w:r>
        <w:tab/>
      </w:r>
      <w:r>
        <w:rPr>
          <w:rFonts w:ascii="XCharter" w:hAnsi="XCharter" w:eastAsia="XCharter"/>
          <w:b/>
          <w:i w:val="0"/>
          <w:color w:val="000000"/>
          <w:sz w:val="22"/>
        </w:rPr>
        <w:t>October 2014 – April 2016</w:t>
      </w:r>
    </w:p>
    <w:p>
      <w:pPr>
        <w:autoSpaceDN w:val="0"/>
        <w:tabs>
          <w:tab w:pos="662" w:val="left"/>
        </w:tabs>
        <w:autoSpaceDE w:val="0"/>
        <w:widowControl/>
        <w:spacing w:line="182" w:lineRule="exact" w:before="284" w:after="0"/>
        <w:ind w:left="452" w:right="432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 Achieved certification for over 1200 distinct VMware solutions to be used with block storage product offerings, </w:t>
      </w:r>
      <w:r>
        <w:tab/>
      </w:r>
      <w:r>
        <w:rPr>
          <w:rFonts w:ascii="XCharter" w:hAnsi="XCharter" w:eastAsia="XCharter"/>
          <w:b w:val="0"/>
          <w:i w:val="0"/>
          <w:color w:val="000000"/>
          <w:sz w:val="22"/>
        </w:rPr>
        <w:t>validating their compatibility and performance.</w:t>
      </w:r>
    </w:p>
    <w:p>
      <w:pPr>
        <w:autoSpaceDN w:val="0"/>
        <w:tabs>
          <w:tab w:pos="662" w:val="left"/>
        </w:tabs>
        <w:autoSpaceDE w:val="0"/>
        <w:widowControl/>
        <w:spacing w:line="184" w:lineRule="exact" w:before="272" w:after="0"/>
        <w:ind w:left="452" w:right="72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 Streamlined VMware deployment times in lab environments by 75% through the development of PowerCLI </w:t>
      </w:r>
      <w:r>
        <w:tab/>
      </w:r>
      <w:r>
        <w:rPr>
          <w:rFonts w:ascii="XCharter" w:hAnsi="XCharter" w:eastAsia="XCharter"/>
          <w:b w:val="0"/>
          <w:i w:val="0"/>
          <w:color w:val="000000"/>
          <w:sz w:val="22"/>
        </w:rPr>
        <w:t>scripts and integration of provisioning software Cobbler.</w:t>
      </w:r>
    </w:p>
    <w:p>
      <w:pPr>
        <w:autoSpaceDN w:val="0"/>
        <w:tabs>
          <w:tab w:pos="662" w:val="left"/>
        </w:tabs>
        <w:autoSpaceDE w:val="0"/>
        <w:widowControl/>
        <w:spacing w:line="184" w:lineRule="exact" w:before="272" w:after="0"/>
        <w:ind w:left="452" w:right="1008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 Reduced lab footprint by 40% through the consolidation of hardware components in test configurations, </w:t>
      </w:r>
      <w:r>
        <w:tab/>
      </w:r>
      <w:r>
        <w:rPr>
          <w:rFonts w:ascii="XCharter" w:hAnsi="XCharter" w:eastAsia="XCharter"/>
          <w:b w:val="0"/>
          <w:i w:val="0"/>
          <w:color w:val="000000"/>
          <w:sz w:val="22"/>
        </w:rPr>
        <w:t>optimizing resource utilization and maximizing test coverage.</w:t>
      </w:r>
    </w:p>
    <w:p>
      <w:pPr>
        <w:autoSpaceDN w:val="0"/>
        <w:tabs>
          <w:tab w:pos="662" w:val="left"/>
        </w:tabs>
        <w:autoSpaceDE w:val="0"/>
        <w:widowControl/>
        <w:spacing w:line="182" w:lineRule="exact" w:before="274" w:after="0"/>
        <w:ind w:left="452" w:right="432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 Built and managed a centralized VMware vCenter infrastructure that was shared effectively across development </w:t>
      </w:r>
      <w:r>
        <w:tab/>
      </w:r>
      <w:r>
        <w:rPr>
          <w:rFonts w:ascii="XCharter" w:hAnsi="XCharter" w:eastAsia="XCharter"/>
          <w:b w:val="0"/>
          <w:i w:val="0"/>
          <w:color w:val="000000"/>
          <w:sz w:val="22"/>
        </w:rPr>
        <w:t>and quality assurance teams.</w:t>
      </w:r>
    </w:p>
    <w:p>
      <w:pPr>
        <w:autoSpaceDN w:val="0"/>
        <w:tabs>
          <w:tab w:pos="662" w:val="left"/>
        </w:tabs>
        <w:autoSpaceDE w:val="0"/>
        <w:widowControl/>
        <w:spacing w:line="182" w:lineRule="exact" w:before="274" w:after="0"/>
        <w:ind w:left="452" w:right="432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 Orchestrated a strategic partnership with VMware and engaged bi-weekly to fast-track defect resolution, discuss </w:t>
      </w:r>
      <w:r>
        <w:tab/>
      </w:r>
      <w:r>
        <w:rPr>
          <w:rFonts w:ascii="XCharter" w:hAnsi="XCharter" w:eastAsia="XCharter"/>
          <w:b w:val="0"/>
          <w:i w:val="0"/>
          <w:color w:val="000000"/>
          <w:sz w:val="22"/>
        </w:rPr>
        <w:t>roadmap milestones, and secure early access to VMware builds, enhancing the product delivery lifecycle.</w:t>
      </w:r>
    </w:p>
    <w:p>
      <w:pPr>
        <w:autoSpaceDN w:val="0"/>
        <w:tabs>
          <w:tab w:pos="8244" w:val="left"/>
        </w:tabs>
        <w:autoSpaceDE w:val="0"/>
        <w:widowControl/>
        <w:spacing w:line="360" w:lineRule="exact" w:before="154" w:after="0"/>
        <w:ind w:left="422" w:right="0" w:firstLine="0"/>
        <w:jc w:val="left"/>
      </w:pPr>
      <w:r>
        <w:rPr>
          <w:rFonts w:ascii="XCharter" w:hAnsi="XCharter" w:eastAsia="XCharter"/>
          <w:b/>
          <w:i w:val="0"/>
          <w:color w:val="000000"/>
          <w:sz w:val="22"/>
        </w:rPr>
        <w:t xml:space="preserve">Quality Assurance Engineer I/Student Contractor </w:t>
      </w:r>
      <w:r>
        <w:tab/>
      </w:r>
      <w:r>
        <w:rPr>
          <w:rFonts w:ascii="XCharter" w:hAnsi="XCharter" w:eastAsia="XCharter"/>
          <w:b/>
          <w:i w:val="0"/>
          <w:color w:val="000000"/>
          <w:sz w:val="22"/>
        </w:rPr>
        <w:t>January 2010 – October 2014</w:t>
      </w:r>
    </w:p>
    <w:p>
      <w:pPr>
        <w:autoSpaceDN w:val="0"/>
        <w:tabs>
          <w:tab w:pos="662" w:val="left"/>
        </w:tabs>
        <w:autoSpaceDE w:val="0"/>
        <w:widowControl/>
        <w:spacing w:line="182" w:lineRule="exact" w:before="284" w:after="0"/>
        <w:ind w:left="452" w:right="576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 Implemented and executed comprehensive test strategy for storage failover driver and block storage product, </w:t>
      </w:r>
      <w:r>
        <w:tab/>
      </w:r>
      <w:r>
        <w:rPr>
          <w:rFonts w:ascii="XCharter" w:hAnsi="XCharter" w:eastAsia="XCharter"/>
          <w:b w:val="0"/>
          <w:i w:val="0"/>
          <w:color w:val="000000"/>
          <w:sz w:val="22"/>
        </w:rPr>
        <w:t>resulting in over 50 unique solutions certified for Windows Server Catalog.</w:t>
      </w:r>
    </w:p>
    <w:p>
      <w:pPr>
        <w:autoSpaceDN w:val="0"/>
        <w:tabs>
          <w:tab w:pos="662" w:val="left"/>
        </w:tabs>
        <w:autoSpaceDE w:val="0"/>
        <w:widowControl/>
        <w:spacing w:line="182" w:lineRule="exact" w:before="274" w:after="0"/>
        <w:ind w:left="452" w:right="576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 Developed documentation for Windows Server solutions, enhancing the setup and configuration processes for </w:t>
      </w:r>
      <w:r>
        <w:tab/>
      </w:r>
      <w:r>
        <w:rPr>
          <w:rFonts w:ascii="XCharter" w:hAnsi="XCharter" w:eastAsia="XCharter"/>
          <w:b w:val="0"/>
          <w:i w:val="0"/>
          <w:color w:val="000000"/>
          <w:sz w:val="22"/>
        </w:rPr>
        <w:t>internal and external customers.</w:t>
      </w:r>
    </w:p>
    <w:p>
      <w:pPr>
        <w:autoSpaceDN w:val="0"/>
        <w:autoSpaceDE w:val="0"/>
        <w:widowControl/>
        <w:spacing w:line="456" w:lineRule="exact" w:before="0" w:after="0"/>
        <w:ind w:left="452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 Identified and validated use cases for Hyper-V Virtual Fibre Channel, enabling enhanced storage scalability.</w:t>
      </w:r>
    </w:p>
    <w:p>
      <w:pPr>
        <w:autoSpaceDN w:val="0"/>
        <w:autoSpaceDE w:val="0"/>
        <w:widowControl/>
        <w:spacing w:line="396" w:lineRule="exact" w:before="84" w:after="12"/>
        <w:ind w:left="422" w:right="0" w:firstLine="0"/>
        <w:jc w:val="left"/>
      </w:pPr>
      <w:r>
        <w:rPr>
          <w:rFonts w:ascii="XCharter" w:hAnsi="XCharter" w:eastAsia="XCharter"/>
          <w:b/>
          <w:i w:val="0"/>
          <w:color w:val="000000"/>
          <w:sz w:val="24"/>
        </w:rPr>
        <w:t>Education</w:t>
      </w:r>
    </w:p>
    <w:p>
      <w:pPr>
        <w:sectPr>
          <w:type w:val="continuous"/>
          <w:pgSz w:w="12240" w:h="15840"/>
          <w:pgMar w:top="228" w:right="278" w:bottom="952" w:left="2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0" w:lineRule="exact" w:before="90" w:after="0"/>
        <w:ind w:left="422" w:right="2160" w:firstLine="0"/>
        <w:jc w:val="left"/>
      </w:pPr>
      <w:r>
        <w:rPr>
          <w:rFonts w:ascii="XCharter" w:hAnsi="XCharter" w:eastAsia="XCharter"/>
          <w:b/>
          <w:i w:val="0"/>
          <w:color w:val="000000"/>
          <w:sz w:val="22"/>
        </w:rPr>
        <w:hyperlink r:id="rId12" w:history="1">
          <w:r>
            <w:rPr>
              <w:rStyle w:val="Hyperlink"/>
            </w:rPr>
            <w:t xml:space="preserve">Wichita State University </w:t>
          </w:r>
        </w:hyperlink>
      </w:r>
      <w:r>
        <w:br/>
      </w:r>
      <w:r>
        <w:rPr>
          <w:rFonts w:ascii="XCharter" w:hAnsi="XCharter" w:eastAsia="XCharter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>Bachelor of Science in Co</w:t>
          </w:r>
        </w:hyperlink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mputer Science </w:t>
      </w:r>
      <w:r>
        <w:rPr>
          <w:rFonts w:ascii="XCharter" w:hAnsi="XCharter" w:eastAsia="XCharter"/>
          <w:b w:val="0"/>
          <w:i w:val="0"/>
          <w:color w:val="000000"/>
          <w:sz w:val="22"/>
        </w:rPr>
        <w:t>Minor in Mathematics</w:t>
      </w:r>
    </w:p>
    <w:p>
      <w:pPr>
        <w:sectPr>
          <w:type w:val="continuous"/>
          <w:pgSz w:w="12240" w:h="15840"/>
          <w:pgMar w:top="228" w:right="278" w:bottom="952" w:left="298" w:header="720" w:footer="720" w:gutter="0"/>
          <w:cols w:num="2" w:equalWidth="0">
            <w:col w:w="6512" w:space="0"/>
            <w:col w:w="5152" w:space="0"/>
          </w:cols>
          <w:docGrid w:linePitch="360"/>
        </w:sectPr>
      </w:pPr>
    </w:p>
    <w:p>
      <w:pPr>
        <w:autoSpaceDN w:val="0"/>
        <w:autoSpaceDE w:val="0"/>
        <w:widowControl/>
        <w:spacing w:line="360" w:lineRule="exact" w:before="0" w:after="0"/>
        <w:ind w:left="0" w:right="442" w:firstLine="0"/>
        <w:jc w:val="right"/>
      </w:pPr>
      <w:r>
        <w:rPr>
          <w:rFonts w:ascii="XCharter" w:hAnsi="XCharter" w:eastAsia="XCharter"/>
          <w:b/>
          <w:i w:val="0"/>
          <w:color w:val="000000"/>
          <w:sz w:val="22"/>
        </w:rPr>
        <w:t>August 2008 – May 2012</w:t>
      </w:r>
    </w:p>
    <w:p>
      <w:pPr>
        <w:sectPr>
          <w:type w:val="nextColumn"/>
          <w:pgSz w:w="12240" w:h="15840"/>
          <w:pgMar w:top="228" w:right="278" w:bottom="952" w:left="298" w:header="720" w:footer="720" w:gutter="0"/>
          <w:cols w:num="2" w:equalWidth="0">
            <w:col w:w="6512" w:space="0"/>
            <w:col w:w="51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94" w:lineRule="exact" w:before="0" w:after="0"/>
        <w:ind w:left="4" w:right="0" w:firstLine="0"/>
        <w:jc w:val="left"/>
      </w:pPr>
      <w:r>
        <w:rPr>
          <w:rFonts w:ascii="XCharter" w:hAnsi="XCharter" w:eastAsia="XCharter"/>
          <w:b/>
          <w:i w:val="0"/>
          <w:color w:val="000000"/>
          <w:sz w:val="24"/>
        </w:rPr>
        <w:t>Skills</w:t>
      </w:r>
    </w:p>
    <w:p>
      <w:pPr>
        <w:autoSpaceDN w:val="0"/>
        <w:autoSpaceDE w:val="0"/>
        <w:widowControl/>
        <w:spacing w:line="272" w:lineRule="exact" w:before="106" w:after="0"/>
        <w:ind w:left="4" w:right="288" w:firstLine="0"/>
        <w:jc w:val="left"/>
      </w:pPr>
      <w:r>
        <w:rPr>
          <w:rFonts w:ascii="XCharter" w:hAnsi="XCharter" w:eastAsia="XCharter"/>
          <w:b/>
          <w:i w:val="0"/>
          <w:color w:val="000000"/>
          <w:sz w:val="22"/>
        </w:rPr>
        <w:t>Developer Tools:</w:t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 venv, VS Code </w:t>
      </w:r>
      <w:r>
        <w:br/>
      </w:r>
      <w:r>
        <w:rPr>
          <w:rFonts w:ascii="XCharter" w:hAnsi="XCharter" w:eastAsia="XCharter"/>
          <w:b/>
          <w:i w:val="0"/>
          <w:color w:val="000000"/>
          <w:sz w:val="22"/>
        </w:rPr>
        <w:t>Frameworks:</w:t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 Ansible, Dash, Docker, Flask, Jupyter Notebooks </w:t>
      </w:r>
      <w:r>
        <w:br/>
      </w:r>
      <w:r>
        <w:rPr>
          <w:rFonts w:ascii="XCharter" w:hAnsi="XCharter" w:eastAsia="XCharter"/>
          <w:b/>
          <w:i w:val="0"/>
          <w:color w:val="000000"/>
          <w:sz w:val="22"/>
        </w:rPr>
        <w:t>Languages:</w:t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 Python, VMware PowerCLI, PowerShell, Bash </w:t>
      </w:r>
      <w:r>
        <w:br/>
      </w:r>
      <w:r>
        <w:rPr>
          <w:rFonts w:ascii="XCharter" w:hAnsi="XCharter" w:eastAsia="XCharter"/>
          <w:b/>
          <w:i w:val="0"/>
          <w:color w:val="000000"/>
          <w:sz w:val="22"/>
        </w:rPr>
        <w:t>Libraries:</w:t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 Pandas, Plotly </w:t>
      </w:r>
      <w:r>
        <w:br/>
      </w:r>
      <w:r>
        <w:rPr>
          <w:rFonts w:ascii="XCharter" w:hAnsi="XCharter" w:eastAsia="XCharter"/>
          <w:b/>
          <w:i w:val="0"/>
          <w:color w:val="000000"/>
          <w:sz w:val="22"/>
        </w:rPr>
        <w:t>Networking:</w:t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 Cisco IOS, Cisco NX-OS, NVIDIA Mellanox MLNX-OS </w:t>
      </w:r>
      <w:r>
        <w:br/>
      </w:r>
      <w:r>
        <w:rPr>
          <w:rFonts w:ascii="XCharter" w:hAnsi="XCharter" w:eastAsia="XCharter"/>
          <w:b/>
          <w:i w:val="0"/>
          <w:color w:val="000000"/>
          <w:sz w:val="22"/>
        </w:rPr>
        <w:t>Operating Systems:</w:t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 VMware vSphere ESXi, Microsoft Windows Server, Red Hat Enterprise Linux, SUSE Linux </w:t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Enterprise Server, Oracle Linux, Ubuntu </w:t>
      </w:r>
      <w:r>
        <w:br/>
      </w:r>
      <w:r>
        <w:rPr>
          <w:rFonts w:ascii="XCharter" w:hAnsi="XCharter" w:eastAsia="XCharter"/>
          <w:b/>
          <w:i w:val="0"/>
          <w:color w:val="000000"/>
          <w:sz w:val="22"/>
        </w:rPr>
        <w:t>Project Management Tools:</w:t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 Jira, Confluence </w:t>
      </w:r>
      <w:r>
        <w:br/>
      </w:r>
      <w:r>
        <w:rPr>
          <w:rFonts w:ascii="XCharter" w:hAnsi="XCharter" w:eastAsia="XCharter"/>
          <w:b/>
          <w:i w:val="0"/>
          <w:color w:val="000000"/>
          <w:sz w:val="22"/>
        </w:rPr>
        <w:t>Storage Protocols:</w:t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 Fibre Channel, iSCSI, NFS, NVMe over Fabrics (NVMe-oF), Serial Attached SCSI (SAS) </w:t>
      </w:r>
      <w:r>
        <w:rPr>
          <w:rFonts w:ascii="XCharter" w:hAnsi="XCharter" w:eastAsia="XCharter"/>
          <w:b/>
          <w:i w:val="0"/>
          <w:color w:val="000000"/>
          <w:sz w:val="22"/>
        </w:rPr>
        <w:t>Version Control:</w:t>
      </w:r>
      <w:r>
        <w:rPr>
          <w:rFonts w:ascii="XCharter" w:hAnsi="XCharter" w:eastAsia="XCharter"/>
          <w:b w:val="0"/>
          <w:i w:val="0"/>
          <w:color w:val="000000"/>
          <w:sz w:val="22"/>
        </w:rPr>
        <w:t xml:space="preserve"> BitBucket, Git, GitHub, GitLab, Perforce</w:t>
      </w:r>
    </w:p>
    <w:sectPr w:rsidR="00FC693F" w:rsidRPr="0006063C" w:rsidSect="00034616">
      <w:pgSz w:w="12240" w:h="15840"/>
      <w:pgMar w:top="324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kellygkemnitz@gmail.com" TargetMode="External"/><Relationship Id="rId10" Type="http://schemas.openxmlformats.org/officeDocument/2006/relationships/hyperlink" Target="https://www.linkedin.com/in/kellykemnitz/" TargetMode="External"/><Relationship Id="rId11" Type="http://schemas.openxmlformats.org/officeDocument/2006/relationships/hyperlink" Target="http://www.kellykemnitz.com" TargetMode="External"/><Relationship Id="rId12" Type="http://schemas.openxmlformats.org/officeDocument/2006/relationships/hyperlink" Target="https://www.wichit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