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CnG Golden Market Affordability: Mockup Testing/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Research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Report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57150</wp:posOffset>
            </wp:positionV>
            <wp:extent cx="538163" cy="316064"/>
            <wp:effectExtent b="0" l="0" r="0" t="0"/>
            <wp:wrapSquare wrapText="bothSides" distB="57150" distT="57150" distL="57150" distR="5715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3" cy="3160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June 2022 |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0000ee"/>
            <w:sz w:val="20"/>
            <w:szCs w:val="20"/>
            <w:u w:val="single"/>
            <w:rtl w:val="0"/>
          </w:rPr>
          <w:t xml:space="preserve">Kelly Peterson</w:t>
        </w:r>
      </w:hyperlink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rFonts w:ascii="Proxima Nova" w:cs="Proxima Nova" w:eastAsia="Proxima Nova" w:hAnsi="Proxima Nova"/>
            <w:color w:val="0000ee"/>
            <w:sz w:val="20"/>
            <w:szCs w:val="20"/>
            <w:u w:val="single"/>
            <w:rtl w:val="0"/>
          </w:rPr>
          <w:t xml:space="preserve">Nithin Alexander</w:t>
        </w:r>
      </w:hyperlink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rFonts w:ascii="Proxima Nova" w:cs="Proxima Nova" w:eastAsia="Proxima Nova" w:hAnsi="Proxima Nova"/>
            <w:color w:val="0000ee"/>
            <w:sz w:val="20"/>
            <w:szCs w:val="20"/>
            <w:u w:val="single"/>
            <w:rtl w:val="0"/>
          </w:rPr>
          <w:t xml:space="preserve">Isabella Anastassoff</w:t>
        </w:r>
      </w:hyperlink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  <w:hyperlink r:id="rId10">
        <w:r w:rsidDel="00000000" w:rsidR="00000000" w:rsidRPr="00000000">
          <w:rPr>
            <w:rFonts w:ascii="Proxima Nova" w:cs="Proxima Nova" w:eastAsia="Proxima Nova" w:hAnsi="Proxima Nova"/>
            <w:color w:val="0000ee"/>
            <w:sz w:val="20"/>
            <w:szCs w:val="20"/>
            <w:u w:val="single"/>
            <w:rtl w:val="0"/>
          </w:rPr>
          <w:t xml:space="preserve">Yunyu Zhou</w:t>
        </w:r>
      </w:hyperlink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Proxima Nova" w:cs="Proxima Nova" w:eastAsia="Proxima Nova" w:hAnsi="Proxima Nova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line="240" w:lineRule="auto"/>
        <w:rPr/>
      </w:pPr>
      <w:bookmarkStart w:colFirst="0" w:colLast="0" w:name="_dh8508vtcati" w:id="0"/>
      <w:bookmarkEnd w:id="0"/>
      <w:r w:rsidDel="00000000" w:rsidR="00000000" w:rsidRPr="00000000">
        <w:rPr>
          <w:color w:val="ff0000"/>
          <w:rtl w:val="0"/>
        </w:rPr>
        <w:t xml:space="preserve">| </w:t>
      </w:r>
      <w:r w:rsidDel="00000000" w:rsidR="00000000" w:rsidRPr="00000000">
        <w:rPr>
          <w:rtl w:val="0"/>
        </w:rPr>
        <w:t xml:space="preserve">TLDR: 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lin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Cx may not realize the fee tests until they checkout due to ad fatigue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lin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Cx understand and like flat fees; they feel 9.99 is too high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Cx are confused by the inverse fees mockup and the value point is not clear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0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Cx did not pick up on inflation in the cart shown, they like seeing $0 service and delivery fees</w:t>
      </w:r>
    </w:p>
    <w:p w:rsidR="00000000" w:rsidDel="00000000" w:rsidP="00000000" w:rsidRDefault="00000000" w:rsidRPr="00000000" w14:paraId="00000009">
      <w:pPr>
        <w:pStyle w:val="Heading1"/>
        <w:spacing w:after="200" w:line="240" w:lineRule="auto"/>
        <w:rPr/>
      </w:pPr>
      <w:bookmarkStart w:colFirst="0" w:colLast="0" w:name="_gz52359cj9gv" w:id="1"/>
      <w:bookmarkEnd w:id="1"/>
      <w:r w:rsidDel="00000000" w:rsidR="00000000" w:rsidRPr="00000000">
        <w:rPr>
          <w:color w:val="ff0000"/>
          <w:rtl w:val="0"/>
        </w:rPr>
        <w:t xml:space="preserve">| </w:t>
      </w:r>
      <w:r w:rsidDel="00000000" w:rsidR="00000000" w:rsidRPr="00000000">
        <w:rPr>
          <w:rtl w:val="0"/>
        </w:rPr>
        <w:t xml:space="preserve">Goals of this Research: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8"/>
        </w:numPr>
        <w:spacing w:after="0" w:afterAutospacing="0"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Identify any questions or areas of confusion Cx have on the affordability experiments set to run this month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8"/>
        </w:numPr>
        <w:spacing w:after="0" w:afterAutospacing="0"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Get a pulse on discoverability and if the offerings stand out to Cx on grocery homepage and store pages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8"/>
        </w:numPr>
        <w:spacing w:after="200"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Collect high level Cx feedback on the offerings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00" w:line="240" w:lineRule="auto"/>
        <w:rPr/>
      </w:pPr>
      <w:bookmarkStart w:colFirst="0" w:colLast="0" w:name="_iuznx2jng3gn" w:id="2"/>
      <w:bookmarkEnd w:id="2"/>
      <w:r w:rsidDel="00000000" w:rsidR="00000000" w:rsidRPr="00000000">
        <w:rPr>
          <w:color w:val="ff0000"/>
          <w:rtl w:val="0"/>
        </w:rPr>
        <w:t xml:space="preserve">| 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spacing w:after="200"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hyperlink r:id="rId11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https://www.figma.com/proto/XdngzgfP1iTGaZ3edvwmFC/22Q2-Golden-Market-Affordability?page-id=332%3A87820&amp;node-id=332%3A88347&amp;viewport=1058%2C-157%2C0.14&amp;scaling=scale-down&amp;starting-point-node-id=332%3A116165&amp;show-proto-sidebar=1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Sample details: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Total of N=8 Cx who do not currently have DashPass 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line="24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N=4 have purchased grocery before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line="24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N=4 have not purchased grocery but were aware that DoorDash offered groceries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00"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Cx completed 20 min conversation where they were shown 2 mock ups to react to</w:t>
      </w:r>
    </w:p>
    <w:p w:rsidR="00000000" w:rsidDel="00000000" w:rsidP="00000000" w:rsidRDefault="00000000" w:rsidRPr="00000000" w14:paraId="00000016">
      <w:pPr>
        <w:spacing w:after="2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00" w:line="240" w:lineRule="auto"/>
        <w:rPr/>
      </w:pPr>
      <w:bookmarkStart w:colFirst="0" w:colLast="0" w:name="_4robra829w5r" w:id="3"/>
      <w:bookmarkEnd w:id="3"/>
      <w:r w:rsidDel="00000000" w:rsidR="00000000" w:rsidRPr="00000000">
        <w:rPr>
          <w:color w:val="ff0000"/>
          <w:rtl w:val="0"/>
        </w:rPr>
        <w:t xml:space="preserve">| </w:t>
      </w:r>
      <w:r w:rsidDel="00000000" w:rsidR="00000000" w:rsidRPr="00000000">
        <w:rPr>
          <w:rtl w:val="0"/>
        </w:rPr>
        <w:t xml:space="preserve">Insights:</w:t>
      </w:r>
    </w:p>
    <w:p w:rsidR="00000000" w:rsidDel="00000000" w:rsidP="00000000" w:rsidRDefault="00000000" w:rsidRPr="00000000" w14:paraId="00000018">
      <w:pPr>
        <w:spacing w:after="200" w:line="24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Discovery: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Cx experienced “ad fatigue” and ignored the banner on the grocery homepage assuming it was a “typical DoorDash promotion”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only Cx that did not were those who said they open several apps to compare promotions before shopping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 out of 8 Cx noticed the change in fees on the store tags on the grocery page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Cx felt it was super clear once they were in the chart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thought that offering was a short term promotion, not a new standard for grocery</w:t>
      </w:r>
    </w:p>
    <w:p w:rsidR="00000000" w:rsidDel="00000000" w:rsidP="00000000" w:rsidRDefault="00000000" w:rsidRPr="00000000" w14:paraId="0000001E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Flat fees: </w:t>
      </w:r>
    </w:p>
    <w:p w:rsidR="00000000" w:rsidDel="00000000" w:rsidP="00000000" w:rsidRDefault="00000000" w:rsidRPr="00000000" w14:paraId="00000020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</w:rPr>
        <w:drawing>
          <wp:inline distB="114300" distT="114300" distL="114300" distR="114300">
            <wp:extent cx="1212949" cy="15478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949" cy="154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idea of a flat fee is clear and popular, but $9.99 is viewed as too high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Some Cx said 5.99 or 6.99 would make them more comfortable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One respondent said that 9.99 only made sense if you had at least 5 items in your cart, or it was 10lbs or two shopping bags worth of food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Most Cx assumed tax was included in fees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knew that tip would still be required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 Cx questioned the items themselves and thought they were inflated (chicken &amp; salmon)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Most Cx shown flat fees said that they did not think it was worth it for the cart example provided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Some Cx indicated that they would rather see the 9.99 split across two fees, however, if it was a smaller amount it would be find to keep as one fee</w:t>
      </w:r>
    </w:p>
    <w:p w:rsidR="00000000" w:rsidDel="00000000" w:rsidP="00000000" w:rsidRDefault="00000000" w:rsidRPr="00000000" w14:paraId="0000002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Inverse fees: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1111832" cy="163353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1832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Cx shown this mock up were confused when reading it, some of the areas of confusion were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banner did not provide the starting part for fees so it didn’t make sense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They thought it was $2 off their total at checkout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They thought $2 was off the example fee in the pop up screen (e.g. under $30 would be $7.99 because it was originally $9.99 in fees)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They felt it was hard to read the examples in the order they were shown (highest subtotal to lowest subtotal felt backwards)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 respondents were probed on the number of examples shown, both felt that 2 would make more sense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general folks felt like the focus of $2 in savings wasn’t worth the price difference that we were asking of them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 Cx said that she would rather not see the example that did not have the discount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Some shoppers indicate they they shop for groceries sporadically so this would have a negative effect on their shopping experience</w:t>
      </w:r>
    </w:p>
    <w:p w:rsidR="00000000" w:rsidDel="00000000" w:rsidP="00000000" w:rsidRDefault="00000000" w:rsidRPr="00000000" w14:paraId="0000003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Inflation, no Fees:</w:t>
      </w:r>
    </w:p>
    <w:p w:rsidR="00000000" w:rsidDel="00000000" w:rsidP="00000000" w:rsidRDefault="00000000" w:rsidRPr="00000000" w14:paraId="00000038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</w:rPr>
        <w:drawing>
          <wp:inline distB="114300" distT="114300" distL="114300" distR="114300">
            <wp:extent cx="1261799" cy="16430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799" cy="16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None of the respondents interviewed picked up on inflation in the example checkout cart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Cx shown this mockup loved seeing $0 total fees, they said that they were likely to tip higher than they normally would because of this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They felt the total price felt right at the end of the day</w:t>
      </w:r>
    </w:p>
    <w:p w:rsidR="00000000" w:rsidDel="00000000" w:rsidP="00000000" w:rsidRDefault="00000000" w:rsidRPr="00000000" w14:paraId="0000003C">
      <w:pPr>
        <w:ind w:left="0" w:firstLine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Important caveats for Inflation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Cx did not shop for the items in their example cart and were not shown their preferred store/brand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There was no text anywhere explaining that prices were inflated</w:t>
      </w:r>
    </w:p>
    <w:p w:rsidR="00000000" w:rsidDel="00000000" w:rsidP="00000000" w:rsidRDefault="00000000" w:rsidRPr="00000000" w14:paraId="0000003F">
      <w:pPr>
        <w:spacing w:after="200"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200" w:line="240" w:lineRule="auto"/>
        <w:rPr/>
      </w:pPr>
      <w:bookmarkStart w:colFirst="0" w:colLast="0" w:name="_w2t74773o54m" w:id="4"/>
      <w:bookmarkEnd w:id="4"/>
      <w:r w:rsidDel="00000000" w:rsidR="00000000" w:rsidRPr="00000000">
        <w:rPr>
          <w:color w:val="ff0000"/>
          <w:rtl w:val="0"/>
        </w:rPr>
        <w:t xml:space="preserve">| </w:t>
      </w:r>
      <w:r w:rsidDel="00000000" w:rsidR="00000000" w:rsidRPr="00000000">
        <w:rPr>
          <w:rtl w:val="0"/>
        </w:rPr>
        <w:t xml:space="preserve">Recommendations: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Explore ability to reduce flat fees or consider testing “flat fees starting at XX”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Consider repositioning the inverse fees test as “savings identified” rather than $2 as Cx did not feel strongly about $2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line="24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Only show 2 examples for inverse fees test on the popup page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line="24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 strikethrough and bold to make it super clear what the discounts will be on the popup page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Additional testing recommended of inflation with language explaining that there is inflation to get Cx feedback (can be done async with experiment)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0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Continue Cx feedback loop during and post experiments</w:t>
      </w:r>
    </w:p>
    <w:p w:rsidR="00000000" w:rsidDel="00000000" w:rsidP="00000000" w:rsidRDefault="00000000" w:rsidRPr="00000000" w14:paraId="0000004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jc w:val="center"/>
      <w:rPr>
        <w:rFonts w:ascii="Proxima Nova" w:cs="Proxima Nova" w:eastAsia="Proxima Nova" w:hAnsi="Proxima Nova"/>
        <w:i w:val="1"/>
        <w:iCs w:val="1"/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="240" w:lineRule="auto"/>
    </w:pPr>
    <w:rPr>
      <w:rFonts w:ascii="Proxima Nova" w:cs="Proxima Nova" w:eastAsia="Proxima Nova" w:hAnsi="Proxima Nov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rFonts w:ascii="Proxima Nova" w:cs="Proxima Nova" w:eastAsia="Proxima Nova" w:hAnsi="Proxima Nova"/>
      <w:b w:val="1"/>
      <w:bCs w:val="1"/>
      <w:color w:val="ff00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="240" w:lineRule="auto"/>
    </w:pPr>
    <w:rPr>
      <w:rFonts w:ascii="Proxima Nova" w:cs="Proxima Nova" w:eastAsia="Proxima Nova" w:hAnsi="Proxima Nova"/>
      <w:b w:val="1"/>
      <w:bCs w:val="1"/>
      <w:color w:val="ff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igma.com/proto/XdngzgfP1iTGaZ3edvwmFC/22Q2-Golden-Market-Affordability?page-id=332%3A87820&amp;node-id=332%3A88347&amp;viewport=1058%2C-157%2C0.14&amp;scaling=scale-down&amp;starting-point-node-id=332%3A116165&amp;show-proto-sidebar=1" TargetMode="External"/><Relationship Id="rId10" Type="http://schemas.openxmlformats.org/officeDocument/2006/relationships/hyperlink" Target="mailto:yunyu.zhou@doordash.com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isabella.anastassoff@doordash.com" TargetMode="External"/><Relationship Id="rId15" Type="http://schemas.openxmlformats.org/officeDocument/2006/relationships/footer" Target="foot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kelly.peterson@doordash.com" TargetMode="External"/><Relationship Id="rId8" Type="http://schemas.openxmlformats.org/officeDocument/2006/relationships/hyperlink" Target="mailto:nithin.alexander@doordash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