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Understanding PAD &amp; Keeping Nearby Fresh: Report </w:t>
      </w:r>
      <w:r w:rsidDel="00000000" w:rsidR="00000000" w:rsidRPr="00000000">
        <w:rPr>
          <w:rFonts w:ascii="Proxima Nova" w:cs="Proxima Nova" w:eastAsia="Proxima Nova" w:hAnsi="Proxima Nova"/>
          <w:b w:val="1"/>
          <w:bCs w:val="1"/>
          <w:sz w:val="28"/>
          <w:szCs w:val="28"/>
          <w:rtl w:val="0"/>
        </w:rPr>
        <w:t xml:space="preserve">(acp-confidential-cadoc)</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0"/>
          <w:szCs w:val="20"/>
          <w:rtl w:val="0"/>
        </w:rPr>
        <w:t xml:space="preserve">December 2022 |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t>
      </w:r>
      <w:hyperlink r:id="rId9">
        <w:r w:rsidDel="00000000" w:rsidR="00000000" w:rsidRPr="00000000">
          <w:rPr>
            <w:rFonts w:ascii="Proxima Nova" w:cs="Proxima Nova" w:eastAsia="Proxima Nova" w:hAnsi="Proxima Nova"/>
            <w:color w:val="0000ee"/>
            <w:sz w:val="20"/>
            <w:szCs w:val="20"/>
            <w:u w:val="single"/>
            <w:rtl w:val="0"/>
          </w:rPr>
          <w:t xml:space="preserve">Kevin Fu</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0000ee"/>
            <w:sz w:val="20"/>
            <w:szCs w:val="20"/>
            <w:u w:val="single"/>
            <w:rtl w:val="0"/>
          </w:rPr>
          <w:t xml:space="preserve">Meghan Desai</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0000ee"/>
            <w:sz w:val="20"/>
            <w:szCs w:val="20"/>
            <w:u w:val="single"/>
            <w:rtl w:val="0"/>
          </w:rPr>
          <w:t xml:space="preserve">Ishaan Kansal</w:t>
        </w:r>
      </w:hyperlink>
      <w:r w:rsidDel="00000000" w:rsidR="00000000" w:rsidRPr="00000000">
        <w:rPr>
          <w:rFonts w:ascii="Proxima Nova" w:cs="Proxima Nova" w:eastAsia="Proxima Nova" w:hAnsi="Proxima Nova"/>
          <w:sz w:val="20"/>
          <w:szCs w:val="20"/>
          <w:rtl w:val="0"/>
        </w:rPr>
        <w:t xml:space="preserve">  </w:t>
      </w:r>
      <w:hyperlink r:id="rId12">
        <w:r w:rsidDel="00000000" w:rsidR="00000000" w:rsidRPr="00000000">
          <w:rPr>
            <w:rFonts w:ascii="Proxima Nova" w:cs="Proxima Nova" w:eastAsia="Proxima Nova" w:hAnsi="Proxima Nova"/>
            <w:color w:val="0000ee"/>
            <w:sz w:val="20"/>
            <w:szCs w:val="20"/>
            <w:u w:val="single"/>
            <w:rtl w:val="0"/>
          </w:rPr>
          <w:t xml:space="preserve">Jordan Caines</w:t>
        </w:r>
      </w:hyperlink>
      <w:r w:rsidDel="00000000" w:rsidR="00000000" w:rsidRPr="00000000">
        <w:rPr>
          <w:rFonts w:ascii="Proxima Nova" w:cs="Proxima Nova" w:eastAsia="Proxima Nova" w:hAnsi="Proxima Nova"/>
          <w:sz w:val="20"/>
          <w:szCs w:val="20"/>
          <w:rtl w:val="0"/>
        </w:rPr>
        <w:t xml:space="preserve"> </w:t>
      </w:r>
      <w:hyperlink r:id="rId13">
        <w:r w:rsidDel="00000000" w:rsidR="00000000" w:rsidRPr="00000000">
          <w:rPr>
            <w:rFonts w:ascii="Proxima Nova" w:cs="Proxima Nova" w:eastAsia="Proxima Nova" w:hAnsi="Proxima Nova"/>
            <w:color w:val="0000ee"/>
            <w:sz w:val="20"/>
            <w:szCs w:val="20"/>
            <w:u w:val="single"/>
            <w:rtl w:val="0"/>
          </w:rPr>
          <w:t xml:space="preserve">Peter Sergel</w:t>
        </w:r>
      </w:hyperlink>
      <w:hyperlink r:id="rId14">
        <w:r w:rsidDel="00000000" w:rsidR="00000000" w:rsidRPr="00000000">
          <w:rPr>
            <w:rFonts w:ascii="Proxima Nova" w:cs="Proxima Nova" w:eastAsia="Proxima Nova" w:hAnsi="Proxima Nova"/>
            <w:color w:val="0000ee"/>
            <w:sz w:val="20"/>
            <w:szCs w:val="20"/>
            <w:u w:val="single"/>
            <w:rtl w:val="0"/>
          </w:rPr>
          <w:t xml:space="preserve">Julia Kripke</w:t>
        </w:r>
      </w:hyperlink>
      <w:r w:rsidDel="00000000" w:rsidR="00000000" w:rsidRPr="00000000">
        <w:rPr>
          <w:rFonts w:ascii="Proxima Nova" w:cs="Proxima Nova" w:eastAsia="Proxima Nova" w:hAnsi="Proxima Nova"/>
          <w:sz w:val="20"/>
          <w:szCs w:val="20"/>
          <w:rtl w:val="0"/>
        </w:rPr>
        <w:t xml:space="preserve"> </w:t>
      </w:r>
      <w:hyperlink r:id="rId15">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4">
      <w:pPr>
        <w:pStyle w:val="Title"/>
        <w:spacing w:after="200" w:line="240" w:lineRule="auto"/>
        <w:ind w:left="0" w:firstLine="0"/>
        <w:rPr>
          <w:color w:val="202124"/>
          <w:sz w:val="20"/>
          <w:szCs w:val="20"/>
        </w:rPr>
      </w:pPr>
      <w:bookmarkStart w:colFirst="0" w:colLast="0" w:name="_b6xoli4zddtx" w:id="0"/>
      <w:bookmarkEnd w:id="0"/>
      <w:r w:rsidDel="00000000" w:rsidR="00000000" w:rsidRPr="00000000">
        <w:rPr>
          <w:b w:val="1"/>
          <w:bCs w:val="1"/>
          <w:color w:val="ff0000"/>
          <w:sz w:val="24"/>
          <w:szCs w:val="24"/>
          <w:rtl w:val="0"/>
        </w:rPr>
        <w:t xml:space="preserve">| </w:t>
      </w:r>
      <w:r w:rsidDel="00000000" w:rsidR="00000000" w:rsidRPr="00000000">
        <w:rPr>
          <w:b w:val="1"/>
          <w:bCs w:val="1"/>
          <w:sz w:val="24"/>
          <w:szCs w:val="24"/>
          <w:rtl w:val="0"/>
        </w:rPr>
        <w:t xml:space="preserve">Business Context &amp; Research Questions: </w:t>
      </w:r>
      <w:r w:rsidDel="00000000" w:rsidR="00000000" w:rsidRPr="00000000">
        <w:rPr>
          <w:color w:val="202124"/>
          <w:sz w:val="20"/>
          <w:szCs w:val="20"/>
          <w:rtl w:val="0"/>
        </w:rPr>
        <w:t xml:space="preserve">There are ~100M Cx US-wide that place &lt;2 orders a month on DoorDash. These “Occasional Cx” represent a significant opportunity for growth for DD.  One of the major issues with DoorDash identified is </w:t>
      </w:r>
      <w:hyperlink r:id="rId16">
        <w:r w:rsidDel="00000000" w:rsidR="00000000" w:rsidRPr="00000000">
          <w:rPr>
            <w:color w:val="1155cc"/>
            <w:sz w:val="20"/>
            <w:szCs w:val="20"/>
            <w:u w:val="single"/>
            <w:rtl w:val="0"/>
          </w:rPr>
          <w:t xml:space="preserve">affordability</w:t>
        </w:r>
      </w:hyperlink>
      <w:r w:rsidDel="00000000" w:rsidR="00000000" w:rsidRPr="00000000">
        <w:rPr>
          <w:color w:val="202124"/>
          <w:sz w:val="20"/>
          <w:szCs w:val="20"/>
          <w:rtl w:val="0"/>
        </w:rPr>
        <w:t xml:space="preserve">, which is also a challenge for other Cx segments.  Within the realm of affordability Cx noted high fees, and high total cost </w:t>
      </w:r>
      <w:r w:rsidDel="00000000" w:rsidR="00000000" w:rsidRPr="00000000">
        <w:rPr>
          <w:color w:val="202124"/>
          <w:sz w:val="20"/>
          <w:szCs w:val="20"/>
          <w:rtl w:val="0"/>
        </w:rPr>
        <w:t xml:space="preserve">at checkout</w:t>
      </w:r>
      <w:r w:rsidDel="00000000" w:rsidR="00000000" w:rsidRPr="00000000">
        <w:rPr>
          <w:color w:val="202124"/>
          <w:sz w:val="20"/>
          <w:szCs w:val="20"/>
          <w:rtl w:val="0"/>
        </w:rPr>
        <w:t xml:space="preserve"> as some of the greatest contributing factors.   </w:t>
      </w:r>
    </w:p>
    <w:p w:rsidR="00000000" w:rsidDel="00000000" w:rsidP="00000000" w:rsidRDefault="00000000" w:rsidRPr="00000000" w14:paraId="00000005">
      <w:pPr>
        <w:pStyle w:val="Title"/>
        <w:spacing w:after="200" w:line="240" w:lineRule="auto"/>
        <w:ind w:left="0" w:firstLine="0"/>
        <w:rPr>
          <w:color w:val="202124"/>
          <w:sz w:val="20"/>
          <w:szCs w:val="20"/>
        </w:rPr>
      </w:pPr>
      <w:bookmarkStart w:colFirst="0" w:colLast="0" w:name="_syz4ak3uy46f" w:id="1"/>
      <w:bookmarkEnd w:id="1"/>
      <w:r w:rsidDel="00000000" w:rsidR="00000000" w:rsidRPr="00000000">
        <w:rPr>
          <w:color w:val="202124"/>
          <w:sz w:val="20"/>
          <w:szCs w:val="20"/>
          <w:rtl w:val="0"/>
        </w:rPr>
        <w:t xml:space="preserve">If we are able to increase these users OF, we can not only grow DD GMV, we can make the DashPass value prop more compelling for these Cx and convert them into long term retained / DP users.  DoorDash first launched the EPIC test in Virginia Beach &amp; Austin to introduce the concept of “total fees” for “nearby restaurants” which have lower fees.  Now PAD tests are live which have “total fees” across all restaurants and distance based pricing associated with fees “Nearby” restaurants have lower fees than “further away restaurants”.  </w:t>
      </w:r>
    </w:p>
    <w:p w:rsidR="00000000" w:rsidDel="00000000" w:rsidP="00000000" w:rsidRDefault="00000000" w:rsidRPr="00000000" w14:paraId="00000006">
      <w:pPr>
        <w:rPr>
          <w:rFonts w:ascii="Proxima Nova" w:cs="Proxima Nova" w:eastAsia="Proxima Nova" w:hAnsi="Proxima Nova"/>
          <w:color w:val="ff0000"/>
        </w:rPr>
      </w:pPr>
      <w:r w:rsidDel="00000000" w:rsidR="00000000" w:rsidRPr="00000000">
        <w:rPr>
          <w:rFonts w:ascii="Proxima Nova" w:cs="Proxima Nova" w:eastAsia="Proxima Nova" w:hAnsi="Proxima Nova"/>
          <w:sz w:val="20"/>
          <w:szCs w:val="20"/>
          <w:rtl w:val="0"/>
        </w:rPr>
        <w:t xml:space="preserve">The overall goal of this research is to help understand the Cx awareness and perceptions of affordability as a results of total fees and distance based pricing:</w:t>
      </w:r>
      <w:r w:rsidDel="00000000" w:rsidR="00000000" w:rsidRPr="00000000">
        <w:rPr>
          <w:rtl w:val="0"/>
        </w:rPr>
      </w:r>
    </w:p>
    <w:p w:rsidR="00000000" w:rsidDel="00000000" w:rsidP="00000000" w:rsidRDefault="00000000" w:rsidRPr="00000000" w14:paraId="00000007">
      <w:pPr>
        <w:numPr>
          <w:ilvl w:val="0"/>
          <w:numId w:val="3"/>
        </w:numPr>
        <w:shd w:fill="ffffff" w:val="clea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Are Cx aware of total fees? Do they understand it? Do they think it’s fair?</w:t>
      </w:r>
    </w:p>
    <w:p w:rsidR="00000000" w:rsidDel="00000000" w:rsidP="00000000" w:rsidRDefault="00000000" w:rsidRPr="00000000" w14:paraId="00000008">
      <w:pPr>
        <w:numPr>
          <w:ilvl w:val="0"/>
          <w:numId w:val="3"/>
        </w:numPr>
        <w:shd w:fill="ffffff" w:val="clea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Do Cx understand distance based pricing or that nearby restaurants have lower fees?</w:t>
      </w:r>
    </w:p>
    <w:p w:rsidR="00000000" w:rsidDel="00000000" w:rsidP="00000000" w:rsidRDefault="00000000" w:rsidRPr="00000000" w14:paraId="00000009">
      <w:pPr>
        <w:numPr>
          <w:ilvl w:val="0"/>
          <w:numId w:val="3"/>
        </w:numPr>
        <w:shd w:fill="ffffff" w:val="clear"/>
        <w:spacing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How, if at all, did total fees change their ordering </w:t>
      </w:r>
      <w:r w:rsidDel="00000000" w:rsidR="00000000" w:rsidRPr="00000000">
        <w:rPr>
          <w:rFonts w:ascii="Proxima Nova" w:cs="Proxima Nova" w:eastAsia="Proxima Nova" w:hAnsi="Proxima Nova"/>
          <w:sz w:val="20"/>
          <w:szCs w:val="20"/>
          <w:rtl w:val="0"/>
        </w:rPr>
        <w:t xml:space="preserve">in the</w:t>
      </w:r>
      <w:r w:rsidDel="00000000" w:rsidR="00000000" w:rsidRPr="00000000">
        <w:rPr>
          <w:rFonts w:ascii="Proxima Nova" w:cs="Proxima Nova" w:eastAsia="Proxima Nova" w:hAnsi="Proxima Nova"/>
          <w:sz w:val="20"/>
          <w:szCs w:val="20"/>
          <w:rtl w:val="0"/>
        </w:rPr>
        <w:t xml:space="preserve"> moment?</w:t>
      </w:r>
    </w:p>
    <w:p w:rsidR="00000000" w:rsidDel="00000000" w:rsidP="00000000" w:rsidRDefault="00000000" w:rsidRPr="00000000" w14:paraId="0000000A">
      <w:pPr>
        <w:numPr>
          <w:ilvl w:val="0"/>
          <w:numId w:val="3"/>
        </w:numPr>
        <w:shd w:fill="ffffff" w:val="clea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do they expect total fees to change their long term DoorDash behaviors?</w:t>
      </w:r>
    </w:p>
    <w:p w:rsidR="00000000" w:rsidDel="00000000" w:rsidP="00000000" w:rsidRDefault="00000000" w:rsidRPr="00000000" w14:paraId="0000000B">
      <w:pPr>
        <w:numPr>
          <w:ilvl w:val="0"/>
          <w:numId w:val="3"/>
        </w:numPr>
        <w:shd w:fill="ffffff" w:val="clea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do Cx feel about their nearby selection?  Is anything missing?</w:t>
      </w:r>
    </w:p>
    <w:p w:rsidR="00000000" w:rsidDel="00000000" w:rsidP="00000000" w:rsidRDefault="00000000" w:rsidRPr="00000000" w14:paraId="0000000C">
      <w:pPr>
        <w:numPr>
          <w:ilvl w:val="0"/>
          <w:numId w:val="3"/>
        </w:numPr>
        <w:shd w:fill="ffffff" w:val="clea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 negative impact might the total fee have on order frequency and/or perceived value?</w:t>
      </w:r>
      <w:r w:rsidDel="00000000" w:rsidR="00000000" w:rsidRPr="00000000">
        <w:rPr>
          <w:rtl w:val="0"/>
        </w:rPr>
      </w:r>
    </w:p>
    <w:p w:rsidR="00000000" w:rsidDel="00000000" w:rsidP="00000000" w:rsidRDefault="00000000" w:rsidRPr="00000000" w14:paraId="0000000D">
      <w:pPr>
        <w:rPr>
          <w:color w:val="ff0000"/>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Designs for reference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rtl w:val="0"/>
        </w:rPr>
        <w:t xml:space="preserve"> </w:t>
      </w:r>
      <w:hyperlink r:id="rId17">
        <w:r w:rsidDel="00000000" w:rsidR="00000000" w:rsidRPr="00000000">
          <w:rPr>
            <w:rFonts w:ascii="Proxima Nova" w:cs="Proxima Nova" w:eastAsia="Proxima Nova" w:hAnsi="Proxima Nova"/>
            <w:color w:val="1155cc"/>
            <w:u w:val="single"/>
            <w:rtl w:val="0"/>
          </w:rPr>
          <w:t xml:space="preserve">FIGMA</w:t>
        </w:r>
      </w:hyperlink>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0">
      <w:pPr>
        <w:pStyle w:val="Title"/>
        <w:spacing w:after="200" w:line="240" w:lineRule="auto"/>
        <w:ind w:left="0" w:firstLine="0"/>
        <w:rPr>
          <w:b w:val="1"/>
          <w:bCs w:val="1"/>
          <w:sz w:val="24"/>
          <w:szCs w:val="24"/>
        </w:rPr>
      </w:pPr>
      <w:bookmarkStart w:colFirst="0" w:colLast="0" w:name="_hm6lnbi9t8jb" w:id="2"/>
      <w:bookmarkEnd w:id="2"/>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Research Approach &amp; Sample:</w:t>
      </w:r>
    </w:p>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fielded a 10 min survey online with N=1032 Cx who were exposed to PADv1 treatment within PAD test markets.  Fielding allowed for natural fallout of converted vs. non-convert as well as DashPass status.</w:t>
      </w:r>
    </w:p>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N=1031 total respondents</w:t>
      </w:r>
    </w:p>
    <w:p w:rsidR="00000000" w:rsidDel="00000000" w:rsidP="00000000" w:rsidRDefault="00000000" w:rsidRPr="00000000" w14:paraId="00000014">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n=914 converted vs. n=118 non-converted on most recent order</w:t>
      </w:r>
    </w:p>
    <w:p w:rsidR="00000000" w:rsidDel="00000000" w:rsidP="00000000" w:rsidRDefault="00000000" w:rsidRPr="00000000" w14:paraId="00000015">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n=708 DashPass Cx vs. N=324 non-DashPass</w:t>
      </w:r>
    </w:p>
    <w:p w:rsidR="00000000" w:rsidDel="00000000" w:rsidP="00000000" w:rsidRDefault="00000000" w:rsidRPr="00000000" w14:paraId="000000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Additionally we spoke with N=5 Cx to follow up on their responses.  This included both converted, non converted, DashPass and Classic Cx.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spacing w:after="200" w:lineRule="auto"/>
        <w:ind w:left="0" w:firstLine="0"/>
        <w:rPr>
          <w:b w:val="1"/>
          <w:bCs w:val="1"/>
          <w:sz w:val="24"/>
          <w:szCs w:val="24"/>
        </w:rPr>
      </w:pPr>
      <w:bookmarkStart w:colFirst="0" w:colLast="0" w:name="_2sgetcu390j2" w:id="3"/>
      <w:bookmarkEnd w:id="3"/>
      <w:r w:rsidDel="00000000" w:rsidR="00000000" w:rsidRPr="00000000">
        <w:rPr>
          <w:color w:val="ff0000"/>
          <w:sz w:val="24"/>
          <w:szCs w:val="24"/>
          <w:rtl w:val="0"/>
        </w:rPr>
        <w:t xml:space="preserve">| </w:t>
      </w:r>
      <w:r w:rsidDel="00000000" w:rsidR="00000000" w:rsidRPr="00000000">
        <w:rPr>
          <w:b w:val="1"/>
          <w:bCs w:val="1"/>
          <w:sz w:val="24"/>
          <w:szCs w:val="24"/>
          <w:rtl w:val="0"/>
        </w:rPr>
        <w:t xml:space="preserve">TLDR Insights</w:t>
      </w:r>
    </w:p>
    <w:p w:rsidR="00000000" w:rsidDel="00000000" w:rsidP="00000000" w:rsidRDefault="00000000" w:rsidRPr="00000000" w14:paraId="0000001A">
      <w:pPr>
        <w:numPr>
          <w:ilvl w:val="0"/>
          <w:numId w:val="9"/>
        </w:numPr>
        <w:spacing w:after="20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While Cx are aware of total fees, they are confused how they work, this is particularly DashPass Cx</w:t>
      </w:r>
    </w:p>
    <w:p w:rsidR="00000000" w:rsidDel="00000000" w:rsidP="00000000" w:rsidRDefault="00000000" w:rsidRPr="00000000" w14:paraId="0000001B">
      <w:pPr>
        <w:numPr>
          <w:ilvl w:val="1"/>
          <w:numId w:val="9"/>
        </w:numPr>
        <w:spacing w:after="20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 qualitative interviews, Cx who “take the time” to “look into it” had more positive sentiment around total fees </w:t>
      </w:r>
    </w:p>
    <w:p w:rsidR="00000000" w:rsidDel="00000000" w:rsidP="00000000" w:rsidRDefault="00000000" w:rsidRPr="00000000" w14:paraId="0000001C">
      <w:pPr>
        <w:numPr>
          <w:ilvl w:val="0"/>
          <w:numId w:val="9"/>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introduction of total fees AND distance based pricing at the same time has left some Cx confused of what is actually included, especially when some of their favorite further away restaurant fees have gone up</w:t>
      </w:r>
    </w:p>
    <w:p w:rsidR="00000000" w:rsidDel="00000000" w:rsidP="00000000" w:rsidRDefault="00000000" w:rsidRPr="00000000" w14:paraId="0000001D">
      <w:pPr>
        <w:numPr>
          <w:ilvl w:val="1"/>
          <w:numId w:val="9"/>
        </w:numPr>
        <w:spacing w:after="200" w:before="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These Cx tend to think that we are “hiding new fees” or using total fees to “increase prices”</w:t>
      </w:r>
    </w:p>
    <w:p w:rsidR="00000000" w:rsidDel="00000000" w:rsidP="00000000" w:rsidRDefault="00000000" w:rsidRPr="00000000" w14:paraId="0000001E">
      <w:pPr>
        <w:numPr>
          <w:ilvl w:val="0"/>
          <w:numId w:val="9"/>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Awareness that nearby=low total fees is limited</w:t>
      </w:r>
    </w:p>
    <w:p w:rsidR="00000000" w:rsidDel="00000000" w:rsidP="00000000" w:rsidRDefault="00000000" w:rsidRPr="00000000" w14:paraId="0000001F">
      <w:pPr>
        <w:numPr>
          <w:ilvl w:val="0"/>
          <w:numId w:val="9"/>
        </w:numPr>
        <w:spacing w:after="20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High item prices continues to be a top driver of non-conversion along with higher perceived fees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Title"/>
        <w:spacing w:after="200" w:lineRule="auto"/>
        <w:ind w:left="0" w:firstLine="0"/>
        <w:rPr>
          <w:b w:val="1"/>
          <w:bCs w:val="1"/>
          <w:sz w:val="24"/>
          <w:szCs w:val="24"/>
        </w:rPr>
      </w:pPr>
      <w:bookmarkStart w:colFirst="0" w:colLast="0" w:name="_ubh2k83jsf6v" w:id="4"/>
      <w:bookmarkEnd w:id="4"/>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Recommendations</w:t>
      </w:r>
    </w:p>
    <w:p w:rsidR="00000000" w:rsidDel="00000000" w:rsidP="00000000" w:rsidRDefault="00000000" w:rsidRPr="00000000" w14:paraId="00000022">
      <w:pPr>
        <w:numPr>
          <w:ilvl w:val="0"/>
          <w:numId w:val="8"/>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Further in-app education is required around total fees</w:t>
      </w:r>
    </w:p>
    <w:p w:rsidR="00000000" w:rsidDel="00000000" w:rsidP="00000000" w:rsidRDefault="00000000" w:rsidRPr="00000000" w14:paraId="00000023">
      <w:pPr>
        <w:numPr>
          <w:ilvl w:val="1"/>
          <w:numId w:val="8"/>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Include a post-order summary of what your fees would have been previously</w:t>
      </w:r>
    </w:p>
    <w:p w:rsidR="00000000" w:rsidDel="00000000" w:rsidP="00000000" w:rsidRDefault="00000000" w:rsidRPr="00000000" w14:paraId="00000024">
      <w:pPr>
        <w:numPr>
          <w:ilvl w:val="1"/>
          <w:numId w:val="8"/>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Bold/color/highlight text that states that it includes both delivery &amp; service fees</w:t>
      </w:r>
    </w:p>
    <w:p w:rsidR="00000000" w:rsidDel="00000000" w:rsidP="00000000" w:rsidRDefault="00000000" w:rsidRPr="00000000" w14:paraId="00000025">
      <w:pPr>
        <w:numPr>
          <w:ilvl w:val="1"/>
          <w:numId w:val="8"/>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Test new language around the upfront transparency that total fees provides</w:t>
      </w:r>
    </w:p>
    <w:p w:rsidR="00000000" w:rsidDel="00000000" w:rsidP="00000000" w:rsidRDefault="00000000" w:rsidRPr="00000000" w14:paraId="00000026">
      <w:pPr>
        <w:numPr>
          <w:ilvl w:val="0"/>
          <w:numId w:val="8"/>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Need to make the “why” more clear for distance based elements</w:t>
      </w:r>
    </w:p>
    <w:p w:rsidR="00000000" w:rsidDel="00000000" w:rsidP="00000000" w:rsidRDefault="00000000" w:rsidRPr="00000000" w14:paraId="00000027">
      <w:pPr>
        <w:numPr>
          <w:ilvl w:val="1"/>
          <w:numId w:val="8"/>
        </w:numPr>
        <w:spacing w:after="200" w:before="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Additional education is required around why for Cx who regularly order from Rx that will now fall into further away to avoid them deciding to just order directly</w:t>
      </w:r>
    </w:p>
    <w:p w:rsidR="00000000" w:rsidDel="00000000" w:rsidP="00000000" w:rsidRDefault="00000000" w:rsidRPr="00000000" w14:paraId="00000028">
      <w:pPr>
        <w:numPr>
          <w:ilvl w:val="0"/>
          <w:numId w:val="8"/>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Provide additional education around exclusion of tax &amp; tip so Cx do not feel surprised at checkout</w:t>
      </w:r>
    </w:p>
    <w:p w:rsidR="00000000" w:rsidDel="00000000" w:rsidP="00000000" w:rsidRDefault="00000000" w:rsidRPr="00000000" w14:paraId="00000029">
      <w:pPr>
        <w:numPr>
          <w:ilvl w:val="0"/>
          <w:numId w:val="8"/>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Show “example orders” that help illustrate how the total fee is the same or better for a typical DoorDash order (include things like an Rx name, items ordered, what fees were &amp; what fees are)</w:t>
      </w:r>
    </w:p>
    <w:p w:rsidR="00000000" w:rsidDel="00000000" w:rsidP="00000000" w:rsidRDefault="00000000" w:rsidRPr="00000000" w14:paraId="0000002A">
      <w:pPr>
        <w:numPr>
          <w:ilvl w:val="0"/>
          <w:numId w:val="8"/>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Consider excluding Cx from future tests that “frequent flyers”, one’s that use DoorDash for travel and are frequently changes addresses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spacing w:after="200" w:lineRule="auto"/>
        <w:ind w:left="0" w:firstLine="0"/>
        <w:rPr>
          <w:b w:val="1"/>
          <w:bCs w:val="1"/>
          <w:sz w:val="24"/>
          <w:szCs w:val="24"/>
        </w:rPr>
      </w:pPr>
      <w:bookmarkStart w:colFirst="0" w:colLast="0" w:name="_e2fdpmz6lu5n" w:id="5"/>
      <w:bookmarkEnd w:id="5"/>
      <w:r w:rsidDel="00000000" w:rsidR="00000000" w:rsidRPr="00000000">
        <w:rPr>
          <w:color w:val="ff0000"/>
          <w:sz w:val="24"/>
          <w:szCs w:val="24"/>
          <w:rtl w:val="0"/>
        </w:rPr>
        <w:t xml:space="preserve">| </w:t>
      </w:r>
      <w:r w:rsidDel="00000000" w:rsidR="00000000" w:rsidRPr="00000000">
        <w:rPr>
          <w:b w:val="1"/>
          <w:bCs w:val="1"/>
          <w:sz w:val="24"/>
          <w:szCs w:val="24"/>
          <w:rtl w:val="0"/>
        </w:rPr>
        <w:t xml:space="preserve">Detailed Insights</w:t>
      </w:r>
    </w:p>
    <w:p w:rsidR="00000000" w:rsidDel="00000000" w:rsidP="00000000" w:rsidRDefault="00000000" w:rsidRPr="00000000" w14:paraId="0000002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Overall awareness of “total fees” is fairly high with a significant higher level of awareness for Converted vs. Unconverted Cx.   Non-converted Cx that were unaware of total fees were likely to call out</w:t>
      </w:r>
    </w:p>
    <w:p w:rsidR="00000000" w:rsidDel="00000000" w:rsidP="00000000" w:rsidRDefault="00000000" w:rsidRPr="00000000" w14:paraId="0000002E">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Nothing is new </w:t>
      </w:r>
    </w:p>
    <w:p w:rsidR="00000000" w:rsidDel="00000000" w:rsidP="00000000" w:rsidRDefault="00000000" w:rsidRPr="00000000" w14:paraId="0000002F">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Higher menu prices or </w:t>
      </w:r>
    </w:p>
    <w:p w:rsidR="00000000" w:rsidDel="00000000" w:rsidP="00000000" w:rsidRDefault="00000000" w:rsidRPr="00000000" w14:paraId="00000030">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Higher service fees when asked if there was anything new regarding the cost of DoorDash</w:t>
      </w:r>
    </w:p>
    <w:p w:rsidR="00000000" w:rsidDel="00000000" w:rsidP="00000000" w:rsidRDefault="00000000" w:rsidRPr="00000000" w14:paraId="0000003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also a notable difference in awareness among DashPass and non-DashPass Cx. </w:t>
      </w:r>
    </w:p>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95988" cy="2156890"/>
            <wp:effectExtent b="0" l="0" r="0" t="0"/>
            <wp:docPr descr="Aware of Total Fee (Aided &amp; Unaided)" id="1" name="image2.png"/>
            <a:graphic>
              <a:graphicData uri="http://schemas.openxmlformats.org/drawingml/2006/picture">
                <pic:pic>
                  <pic:nvPicPr>
                    <pic:cNvPr descr="Aware of Total Fee (Aided &amp; Unaided)" id="0" name="image2.png"/>
                    <pic:cNvPicPr preferRelativeResize="0"/>
                  </pic:nvPicPr>
                  <pic:blipFill>
                    <a:blip r:embed="rId18"/>
                    <a:srcRect b="0" l="0" r="0" t="0"/>
                    <a:stretch>
                      <a:fillRect/>
                    </a:stretch>
                  </pic:blipFill>
                  <pic:spPr>
                    <a:xfrm>
                      <a:off x="0" y="0"/>
                      <a:ext cx="5995988" cy="21568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rPr>
      </w:pPr>
      <w:r w:rsidDel="00000000" w:rsidR="00000000" w:rsidRPr="00000000">
        <w:rPr>
          <w:rtl w:val="0"/>
        </w:rPr>
        <w:t xml:space="preserve">T</w:t>
      </w:r>
      <w:r w:rsidDel="00000000" w:rsidR="00000000" w:rsidRPr="00000000">
        <w:rPr>
          <w:rFonts w:ascii="Proxima Nova" w:cs="Proxima Nova" w:eastAsia="Proxima Nova" w:hAnsi="Proxima Nova"/>
          <w:rtl w:val="0"/>
        </w:rPr>
        <w:t xml:space="preserve">he vast majority of Cx have a range they expect to fall within when ordering from DoorDash.  Cx who knew exactly how much they would spend on the order were significantly more likely to be aware of total fees (78% vs. 69%) because a change was more easily recognized</w:t>
      </w:r>
      <w:commentRangeStart w:id="0"/>
      <w:commentRangeStart w:id="1"/>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52% of converted Cx felt they spent more than they originally planned.</w:t>
      </w:r>
      <w:r w:rsidDel="00000000" w:rsidR="00000000" w:rsidRPr="00000000">
        <w:rPr>
          <w:rFonts w:ascii="Proxima Nova" w:cs="Proxima Nova" w:eastAsia="Proxima Nova" w:hAnsi="Proxima Nova"/>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4661899" cy="2881313"/>
            <wp:effectExtent b="0" l="0" r="0" t="0"/>
            <wp:docPr descr="Spend Expectations" id="8" name="image4.png"/>
            <a:graphic>
              <a:graphicData uri="http://schemas.openxmlformats.org/drawingml/2006/picture">
                <pic:pic>
                  <pic:nvPicPr>
                    <pic:cNvPr descr="Spend Expectations" id="0" name="image4.png"/>
                    <pic:cNvPicPr preferRelativeResize="0"/>
                  </pic:nvPicPr>
                  <pic:blipFill>
                    <a:blip r:embed="rId19"/>
                    <a:srcRect b="0" l="0" r="0" t="0"/>
                    <a:stretch>
                      <a:fillRect/>
                    </a:stretch>
                  </pic:blipFill>
                  <pic:spPr>
                    <a:xfrm>
                      <a:off x="0" y="0"/>
                      <a:ext cx="4661899"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424363" cy="2913977"/>
            <wp:effectExtent b="0" l="0" r="0" t="0"/>
            <wp:docPr descr="Perceived Fairness of &quot;Total Fees&quot;" id="3" name="image5.png"/>
            <a:graphic>
              <a:graphicData uri="http://schemas.openxmlformats.org/drawingml/2006/picture">
                <pic:pic>
                  <pic:nvPicPr>
                    <pic:cNvPr descr="Perceived Fairness of &quot;Total Fees&quot;" id="0" name="image5.png"/>
                    <pic:cNvPicPr preferRelativeResize="0"/>
                  </pic:nvPicPr>
                  <pic:blipFill>
                    <a:blip r:embed="rId20"/>
                    <a:srcRect b="0" l="0" r="0" t="0"/>
                    <a:stretch>
                      <a:fillRect/>
                    </a:stretch>
                  </pic:blipFill>
                  <pic:spPr>
                    <a:xfrm>
                      <a:off x="0" y="0"/>
                      <a:ext cx="4424363" cy="291397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Interestingly, there is little difference in perceived fairness of the “total fee” between Converted status or DashPass status.  Generally Cx are on the fence about how they feel about the fee in terms of fairness.  </w:t>
      </w:r>
      <w:r w:rsidDel="00000000" w:rsidR="00000000" w:rsidRPr="00000000">
        <w:rPr>
          <w:rFonts w:ascii="Proxima Nova" w:cs="Proxima Nova" w:eastAsia="Proxima Nova" w:hAnsi="Proxima Nova"/>
          <w:b w:val="1"/>
          <w:bCs w:val="1"/>
          <w:rtl w:val="0"/>
        </w:rPr>
        <w:t xml:space="preserve">Additionally there was no significant difference in perceived fairness among those that were single individual vs. multi-individual households, indicating Cx have not identified the value for larger subtotal orders. </w:t>
      </w:r>
      <w:r w:rsidDel="00000000" w:rsidR="00000000" w:rsidRPr="00000000">
        <w:rPr>
          <w:rFonts w:ascii="Proxima Nova" w:cs="Proxima Nova" w:eastAsia="Proxima Nova" w:hAnsi="Proxima Nova"/>
          <w:rtl w:val="0"/>
        </w:rPr>
        <w:t xml:space="preserve">These results align with the overall Cx sentiment around “total fees” with one key difference, those who have DashPass view “Total Fees” significantly more negatively than those that do not have DashPass.   Cx who were most confused about total fees in qualitative interviews were those that traveled and had different experiences around fees in the app recently.  It is unclear it was linked to their geography and therefore they felt everything was constantly changing and that we were not being clear.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760682" cy="2328863"/>
            <wp:effectExtent b="0" l="0" r="0" t="0"/>
            <wp:docPr descr="Sentiment around &quot;Total Fees&quot;" id="6" name="image6.png"/>
            <a:graphic>
              <a:graphicData uri="http://schemas.openxmlformats.org/drawingml/2006/picture">
                <pic:pic>
                  <pic:nvPicPr>
                    <pic:cNvPr descr="Sentiment around &quot;Total Fees&quot;" id="0" name="image6.png"/>
                    <pic:cNvPicPr preferRelativeResize="0"/>
                  </pic:nvPicPr>
                  <pic:blipFill>
                    <a:blip r:embed="rId21"/>
                    <a:srcRect b="0" l="0" r="0" t="0"/>
                    <a:stretch>
                      <a:fillRect/>
                    </a:stretch>
                  </pic:blipFill>
                  <pic:spPr>
                    <a:xfrm>
                      <a:off x="0" y="0"/>
                      <a:ext cx="3760682"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Negative Sentiment is driven by:</w:t>
      </w:r>
    </w:p>
    <w:p w:rsidR="00000000" w:rsidDel="00000000" w:rsidP="00000000" w:rsidRDefault="00000000" w:rsidRPr="00000000" w14:paraId="0000003F">
      <w:pPr>
        <w:numPr>
          <w:ilvl w:val="0"/>
          <w:numId w:val="1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Cx thinking they no longer have free delivery/we introduced a new fee to hide that they now pay for delivery</w:t>
      </w:r>
    </w:p>
    <w:p w:rsidR="00000000" w:rsidDel="00000000" w:rsidP="00000000" w:rsidRDefault="00000000" w:rsidRPr="00000000" w14:paraId="00000040">
      <w:pPr>
        <w:numPr>
          <w:ilvl w:val="0"/>
          <w:numId w:val="1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think this is an additive fee (on top of delivery and/or service fee) </w:t>
      </w:r>
    </w:p>
    <w:p w:rsidR="00000000" w:rsidDel="00000000" w:rsidP="00000000" w:rsidRDefault="00000000" w:rsidRPr="00000000" w14:paraId="00000041">
      <w:pPr>
        <w:numPr>
          <w:ilvl w:val="0"/>
          <w:numId w:val="1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are upset by the distance based element/ that some of their favorite restaurants now have higher fees because they are “further away”</w:t>
      </w:r>
    </w:p>
    <w:p w:rsidR="00000000" w:rsidDel="00000000" w:rsidP="00000000" w:rsidRDefault="00000000" w:rsidRPr="00000000" w14:paraId="00000042">
      <w:pPr>
        <w:numPr>
          <w:ilvl w:val="0"/>
          <w:numId w:val="1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are confused how it works, and therefore assume it will cost them more money</w:t>
      </w:r>
    </w:p>
    <w:p w:rsidR="00000000" w:rsidDel="00000000" w:rsidP="00000000" w:rsidRDefault="00000000" w:rsidRPr="00000000" w14:paraId="00000043">
      <w:pPr>
        <w:numPr>
          <w:ilvl w:val="0"/>
          <w:numId w:val="1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Cx were surprised tip was not included</w:t>
      </w:r>
    </w:p>
    <w:p w:rsidR="00000000" w:rsidDel="00000000" w:rsidP="00000000" w:rsidRDefault="00000000" w:rsidRPr="00000000" w14:paraId="00000044">
      <w:pPr>
        <w:numPr>
          <w:ilvl w:val="0"/>
          <w:numId w:val="1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thought “total fee” included the item subtotal and was upset that we would bucket everything at once </w:t>
      </w:r>
    </w:p>
    <w:p w:rsidR="00000000" w:rsidDel="00000000" w:rsidP="00000000" w:rsidRDefault="00000000" w:rsidRPr="00000000" w14:paraId="00000045">
      <w:pPr>
        <w:rPr>
          <w:rFonts w:ascii="Proxima Nova" w:cs="Proxima Nova" w:eastAsia="Proxima Nova" w:hAnsi="Proxima Nova"/>
          <w:b w:val="1"/>
          <w:bCs w:val="1"/>
          <w:i w:val="1"/>
          <w:iCs w:val="1"/>
          <w:sz w:val="20"/>
          <w:szCs w:val="20"/>
          <w:highlight w:val="white"/>
        </w:rPr>
      </w:pPr>
      <w:r w:rsidDel="00000000" w:rsidR="00000000" w:rsidRPr="00000000">
        <w:rPr>
          <w:rFonts w:ascii="Proxima Nova" w:cs="Proxima Nova" w:eastAsia="Proxima Nova" w:hAnsi="Proxima Nova"/>
          <w:b w:val="1"/>
          <w:bCs w:val="1"/>
          <w:i w:val="1"/>
          <w:iCs w:val="1"/>
          <w:sz w:val="20"/>
          <w:szCs w:val="20"/>
          <w:highlight w:val="white"/>
          <w:rtl w:val="0"/>
        </w:rPr>
        <w:t xml:space="preserve">In their own words…</w:t>
      </w:r>
    </w:p>
    <w:p w:rsidR="00000000" w:rsidDel="00000000" w:rsidP="00000000" w:rsidRDefault="00000000" w:rsidRPr="00000000" w14:paraId="00000046">
      <w:pPr>
        <w:numPr>
          <w:ilvl w:val="0"/>
          <w:numId w:val="7"/>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“That I subscribe to Dashpass so I shouldn’t have to pay any fees.”</w:t>
      </w:r>
    </w:p>
    <w:p w:rsidR="00000000" w:rsidDel="00000000" w:rsidP="00000000" w:rsidRDefault="00000000" w:rsidRPr="00000000" w14:paraId="00000047">
      <w:pPr>
        <w:numPr>
          <w:ilvl w:val="0"/>
          <w:numId w:val="7"/>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“It is even more confusing, and it seems that the Dashpass is less beneficial than previously. That may or may not be the case, but that is how it appears.”</w:t>
      </w:r>
    </w:p>
    <w:p w:rsidR="00000000" w:rsidDel="00000000" w:rsidP="00000000" w:rsidRDefault="00000000" w:rsidRPr="00000000" w14:paraId="00000048">
      <w:pPr>
        <w:numPr>
          <w:ilvl w:val="0"/>
          <w:numId w:val="7"/>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“Long distance fees should be a lil lower if we’re already paying for service fees and delivery fees. I would order from further places but paying $25-40 for one item is a bit much.”</w:t>
      </w:r>
    </w:p>
    <w:p w:rsidR="00000000" w:rsidDel="00000000" w:rsidP="00000000" w:rsidRDefault="00000000" w:rsidRPr="00000000" w14:paraId="00000049">
      <w:pPr>
        <w:numPr>
          <w:ilvl w:val="0"/>
          <w:numId w:val="7"/>
        </w:numPr>
        <w:ind w:left="720" w:hanging="360"/>
        <w:rPr>
          <w:rFonts w:ascii="Proxima Nova" w:cs="Proxima Nova" w:eastAsia="Proxima Nova" w:hAnsi="Proxima Nova"/>
          <w:i w:val="1"/>
          <w:iCs w:val="1"/>
          <w:sz w:val="20"/>
          <w:szCs w:val="20"/>
          <w:u w:val="none"/>
        </w:rPr>
      </w:pPr>
      <w:r w:rsidDel="00000000" w:rsidR="00000000" w:rsidRPr="00000000">
        <w:rPr>
          <w:rFonts w:ascii="Proxima Nova" w:cs="Proxima Nova" w:eastAsia="Proxima Nova" w:hAnsi="Proxima Nova"/>
          <w:i w:val="1"/>
          <w:iCs w:val="1"/>
          <w:sz w:val="20"/>
          <w:szCs w:val="20"/>
          <w:rtl w:val="0"/>
        </w:rPr>
        <w:t xml:space="preserve">“</w:t>
      </w:r>
      <w:r w:rsidDel="00000000" w:rsidR="00000000" w:rsidRPr="00000000">
        <w:rPr>
          <w:rFonts w:ascii="Proxima Nova" w:cs="Proxima Nova" w:eastAsia="Proxima Nova" w:hAnsi="Proxima Nova"/>
          <w:i w:val="1"/>
          <w:iCs w:val="1"/>
          <w:sz w:val="20"/>
          <w:szCs w:val="20"/>
          <w:highlight w:val="white"/>
          <w:rtl w:val="0"/>
        </w:rPr>
        <w:t xml:space="preserve">I didn’t realize it was a roll up fee , made me think it was a higher fee”</w:t>
      </w:r>
    </w:p>
    <w:p w:rsidR="00000000" w:rsidDel="00000000" w:rsidP="00000000" w:rsidRDefault="00000000" w:rsidRPr="00000000" w14:paraId="0000004A">
      <w:pPr>
        <w:numPr>
          <w:ilvl w:val="0"/>
          <w:numId w:val="7"/>
        </w:numPr>
        <w:ind w:left="720" w:hanging="360"/>
        <w:rPr>
          <w:rFonts w:ascii="Proxima Nova" w:cs="Proxima Nova" w:eastAsia="Proxima Nova" w:hAnsi="Proxima Nova"/>
          <w:i w:val="1"/>
          <w:iCs w:val="1"/>
          <w:sz w:val="20"/>
          <w:szCs w:val="20"/>
          <w:u w:val="none"/>
        </w:rPr>
      </w:pPr>
      <w:r w:rsidDel="00000000" w:rsidR="00000000" w:rsidRPr="00000000">
        <w:rPr>
          <w:rFonts w:ascii="Proxima Nova" w:cs="Proxima Nova" w:eastAsia="Proxima Nova" w:hAnsi="Proxima Nova"/>
          <w:i w:val="1"/>
          <w:iCs w:val="1"/>
          <w:sz w:val="20"/>
          <w:szCs w:val="20"/>
          <w:rtl w:val="0"/>
        </w:rPr>
        <w:t xml:space="preserve">“</w:t>
      </w:r>
      <w:r w:rsidDel="00000000" w:rsidR="00000000" w:rsidRPr="00000000">
        <w:rPr>
          <w:rFonts w:ascii="Proxima Nova" w:cs="Proxima Nova" w:eastAsia="Proxima Nova" w:hAnsi="Proxima Nova"/>
          <w:i w:val="1"/>
          <w:iCs w:val="1"/>
          <w:sz w:val="20"/>
          <w:szCs w:val="20"/>
          <w:highlight w:val="white"/>
          <w:rtl w:val="0"/>
        </w:rPr>
        <w:t xml:space="preserve">Appreciated </w:t>
      </w:r>
      <w:r w:rsidDel="00000000" w:rsidR="00000000" w:rsidRPr="00000000">
        <w:rPr>
          <w:rFonts w:ascii="Proxima Nova" w:cs="Proxima Nova" w:eastAsia="Proxima Nova" w:hAnsi="Proxima Nova"/>
          <w:i w:val="1"/>
          <w:iCs w:val="1"/>
          <w:sz w:val="20"/>
          <w:szCs w:val="20"/>
          <w:highlight w:val="white"/>
          <w:rtl w:val="0"/>
        </w:rPr>
        <w:t xml:space="preserve">it was upfront</w:t>
      </w:r>
      <w:r w:rsidDel="00000000" w:rsidR="00000000" w:rsidRPr="00000000">
        <w:rPr>
          <w:rFonts w:ascii="Proxima Nova" w:cs="Proxima Nova" w:eastAsia="Proxima Nova" w:hAnsi="Proxima Nova"/>
          <w:i w:val="1"/>
          <w:iCs w:val="1"/>
          <w:sz w:val="20"/>
          <w:szCs w:val="20"/>
          <w:highlight w:val="white"/>
          <w:rtl w:val="0"/>
        </w:rPr>
        <w:t xml:space="preserve">. Impacted the places I was interested in.”</w:t>
      </w:r>
    </w:p>
    <w:p w:rsidR="00000000" w:rsidDel="00000000" w:rsidP="00000000" w:rsidRDefault="00000000" w:rsidRPr="00000000" w14:paraId="0000004B">
      <w:pPr>
        <w:rPr>
          <w:rFonts w:ascii="Proxima Nova" w:cs="Proxima Nova" w:eastAsia="Proxima Nova" w:hAnsi="Proxima Nova"/>
          <w:i w:val="1"/>
          <w:iCs w:val="1"/>
          <w:sz w:val="20"/>
          <w:szCs w:val="20"/>
          <w:highlight w:val="white"/>
        </w:rPr>
      </w:pP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Neutral Sentiment is driven by:</w:t>
      </w:r>
    </w:p>
    <w:p w:rsidR="00000000" w:rsidDel="00000000" w:rsidP="00000000" w:rsidRDefault="00000000" w:rsidRPr="00000000" w14:paraId="0000004D">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 paying attention to fees</w:t>
      </w:r>
    </w:p>
    <w:p w:rsidR="00000000" w:rsidDel="00000000" w:rsidP="00000000" w:rsidRDefault="00000000" w:rsidRPr="00000000" w14:paraId="0000004E">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Feeling like they expect to see something for convenience</w:t>
      </w:r>
    </w:p>
    <w:p w:rsidR="00000000" w:rsidDel="00000000" w:rsidP="00000000" w:rsidRDefault="00000000" w:rsidRPr="00000000" w14:paraId="0000004F">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 caring about the structure of fees</w:t>
      </w:r>
      <w:r w:rsidDel="00000000" w:rsidR="00000000" w:rsidRPr="00000000">
        <w:rPr>
          <w:rFonts w:ascii="Proxima Nova" w:cs="Proxima Nova" w:eastAsia="Proxima Nova" w:hAnsi="Proxima Nova"/>
          <w:rtl w:val="0"/>
        </w:rPr>
        <w:t xml:space="preserve">/I was hungry</w:t>
      </w:r>
    </w:p>
    <w:p w:rsidR="00000000" w:rsidDel="00000000" w:rsidP="00000000" w:rsidRDefault="00000000" w:rsidRPr="00000000" w14:paraId="00000050">
      <w:pPr>
        <w:rPr>
          <w:rFonts w:ascii="Proxima Nova" w:cs="Proxima Nova" w:eastAsia="Proxima Nova" w:hAnsi="Proxima Nova"/>
        </w:rPr>
      </w:pPr>
      <w:r w:rsidDel="00000000" w:rsidR="00000000" w:rsidRPr="00000000">
        <w:rPr>
          <w:rFonts w:ascii="Proxima Nova" w:cs="Proxima Nova" w:eastAsia="Proxima Nova" w:hAnsi="Proxima Nova"/>
          <w:b w:val="1"/>
          <w:bCs w:val="1"/>
          <w:i w:val="1"/>
          <w:iCs w:val="1"/>
          <w:sz w:val="20"/>
          <w:szCs w:val="20"/>
          <w:highlight w:val="white"/>
          <w:rtl w:val="0"/>
        </w:rPr>
        <w:t xml:space="preserve">In their own words…</w:t>
      </w:r>
      <w:r w:rsidDel="00000000" w:rsidR="00000000" w:rsidRPr="00000000">
        <w:rPr>
          <w:rtl w:val="0"/>
        </w:rPr>
      </w:r>
    </w:p>
    <w:p w:rsidR="00000000" w:rsidDel="00000000" w:rsidP="00000000" w:rsidRDefault="00000000" w:rsidRPr="00000000" w14:paraId="00000051">
      <w:pPr>
        <w:numPr>
          <w:ilvl w:val="0"/>
          <w:numId w:val="6"/>
        </w:numPr>
        <w:ind w:left="720" w:hanging="360"/>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w:t>
      </w:r>
      <w:r w:rsidDel="00000000" w:rsidR="00000000" w:rsidRPr="00000000">
        <w:rPr>
          <w:rFonts w:ascii="Proxima Nova" w:cs="Proxima Nova" w:eastAsia="Proxima Nova" w:hAnsi="Proxima Nova"/>
          <w:i w:val="1"/>
          <w:iCs w:val="1"/>
          <w:sz w:val="20"/>
          <w:szCs w:val="20"/>
          <w:highlight w:val="white"/>
          <w:rtl w:val="0"/>
        </w:rPr>
        <w:t xml:space="preserve">Confusion but then I realized it wasn’t a big change overall”</w:t>
      </w:r>
    </w:p>
    <w:p w:rsidR="00000000" w:rsidDel="00000000" w:rsidP="00000000" w:rsidRDefault="00000000" w:rsidRPr="00000000" w14:paraId="00000052">
      <w:pPr>
        <w:numPr>
          <w:ilvl w:val="0"/>
          <w:numId w:val="6"/>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“Not concerned about how fees are listed as long as it is transparent what the costs are for”</w:t>
      </w:r>
    </w:p>
    <w:p w:rsidR="00000000" w:rsidDel="00000000" w:rsidP="00000000" w:rsidRDefault="00000000" w:rsidRPr="00000000" w14:paraId="00000053">
      <w:pPr>
        <w:numPr>
          <w:ilvl w:val="0"/>
          <w:numId w:val="6"/>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“No reaction, you pay for service.”</w:t>
      </w:r>
    </w:p>
    <w:p w:rsidR="00000000" w:rsidDel="00000000" w:rsidP="00000000" w:rsidRDefault="00000000" w:rsidRPr="00000000" w14:paraId="0000005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Positive Sentiment is driven by:</w:t>
      </w:r>
      <w:r w:rsidDel="00000000" w:rsidR="00000000" w:rsidRPr="00000000">
        <w:rPr>
          <w:rtl w:val="0"/>
        </w:rPr>
      </w:r>
    </w:p>
    <w:p w:rsidR="00000000" w:rsidDel="00000000" w:rsidP="00000000" w:rsidRDefault="00000000" w:rsidRPr="00000000" w14:paraId="00000056">
      <w:pPr>
        <w:numPr>
          <w:ilvl w:val="0"/>
          <w:numId w:val="1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Love of upfront transparency to select the best restaurant</w:t>
      </w:r>
    </w:p>
    <w:p w:rsidR="00000000" w:rsidDel="00000000" w:rsidP="00000000" w:rsidRDefault="00000000" w:rsidRPr="00000000" w14:paraId="00000057">
      <w:pPr>
        <w:numPr>
          <w:ilvl w:val="0"/>
          <w:numId w:val="1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Simplicity of one fee</w:t>
      </w:r>
    </w:p>
    <w:p w:rsidR="00000000" w:rsidDel="00000000" w:rsidP="00000000" w:rsidRDefault="00000000" w:rsidRPr="00000000" w14:paraId="00000058">
      <w:pPr>
        <w:numPr>
          <w:ilvl w:val="0"/>
          <w:numId w:val="1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Feeling that it is “faster”</w:t>
      </w:r>
    </w:p>
    <w:p w:rsidR="00000000" w:rsidDel="00000000" w:rsidP="00000000" w:rsidRDefault="00000000" w:rsidRPr="00000000" w14:paraId="00000059">
      <w:pPr>
        <w:rPr>
          <w:rFonts w:ascii="Proxima Nova" w:cs="Proxima Nova" w:eastAsia="Proxima Nova" w:hAnsi="Proxima Nova"/>
          <w:b w:val="1"/>
          <w:bCs w:val="1"/>
          <w:i w:val="1"/>
          <w:iCs w:val="1"/>
          <w:sz w:val="20"/>
          <w:szCs w:val="20"/>
          <w:highlight w:val="white"/>
        </w:rPr>
      </w:pPr>
      <w:r w:rsidDel="00000000" w:rsidR="00000000" w:rsidRPr="00000000">
        <w:rPr>
          <w:rFonts w:ascii="Proxima Nova" w:cs="Proxima Nova" w:eastAsia="Proxima Nova" w:hAnsi="Proxima Nova"/>
          <w:b w:val="1"/>
          <w:bCs w:val="1"/>
          <w:i w:val="1"/>
          <w:iCs w:val="1"/>
          <w:sz w:val="20"/>
          <w:szCs w:val="20"/>
          <w:highlight w:val="white"/>
          <w:rtl w:val="0"/>
        </w:rPr>
        <w:t xml:space="preserve">In their own words…</w:t>
      </w:r>
    </w:p>
    <w:p w:rsidR="00000000" w:rsidDel="00000000" w:rsidP="00000000" w:rsidRDefault="00000000" w:rsidRPr="00000000" w14:paraId="0000005A">
      <w:pPr>
        <w:numPr>
          <w:ilvl w:val="0"/>
          <w:numId w:val="1"/>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“Positive. Helped me to be able to plan for what my total would be.”</w:t>
      </w:r>
    </w:p>
    <w:p w:rsidR="00000000" w:rsidDel="00000000" w:rsidP="00000000" w:rsidRDefault="00000000" w:rsidRPr="00000000" w14:paraId="0000005B">
      <w:pPr>
        <w:numPr>
          <w:ilvl w:val="0"/>
          <w:numId w:val="1"/>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“It makes it a little easier. I at least know how much I’m going to spend in fees instead of filling a cart and seeing a crazy amount of fees and then </w:t>
      </w:r>
      <w:r w:rsidDel="00000000" w:rsidR="00000000" w:rsidRPr="00000000">
        <w:rPr>
          <w:rFonts w:ascii="Proxima Nova" w:cs="Proxima Nova" w:eastAsia="Proxima Nova" w:hAnsi="Proxima Nova"/>
          <w:i w:val="1"/>
          <w:iCs w:val="1"/>
          <w:sz w:val="20"/>
          <w:szCs w:val="20"/>
          <w:highlight w:val="white"/>
          <w:rtl w:val="0"/>
        </w:rPr>
        <w:t xml:space="preserve">cancelling</w:t>
      </w:r>
      <w:r w:rsidDel="00000000" w:rsidR="00000000" w:rsidRPr="00000000">
        <w:rPr>
          <w:rFonts w:ascii="Proxima Nova" w:cs="Proxima Nova" w:eastAsia="Proxima Nova" w:hAnsi="Proxima Nova"/>
          <w:i w:val="1"/>
          <w:iCs w:val="1"/>
          <w:sz w:val="20"/>
          <w:szCs w:val="20"/>
          <w:highlight w:val="white"/>
          <w:rtl w:val="0"/>
        </w:rPr>
        <w:t xml:space="preserve"> the order”</w:t>
      </w:r>
    </w:p>
    <w:p w:rsidR="00000000" w:rsidDel="00000000" w:rsidP="00000000" w:rsidRDefault="00000000" w:rsidRPr="00000000" w14:paraId="0000005C">
      <w:pPr>
        <w:numPr>
          <w:ilvl w:val="0"/>
          <w:numId w:val="1"/>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“I appreciate the simplicity of not having several separate fees.”</w:t>
      </w:r>
      <w:r w:rsidDel="00000000" w:rsidR="00000000" w:rsidRPr="00000000">
        <w:rPr>
          <w:rtl w:val="0"/>
        </w:rPr>
      </w:r>
    </w:p>
    <w:p w:rsidR="00000000" w:rsidDel="00000000" w:rsidP="00000000" w:rsidRDefault="00000000" w:rsidRPr="00000000" w14:paraId="0000005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148138" cy="2566314"/>
            <wp:effectExtent b="0" l="0" r="0" t="0"/>
            <wp:docPr descr="How are &quot;total fees&quot; calculated?" id="4" name="image8.png"/>
            <a:graphic>
              <a:graphicData uri="http://schemas.openxmlformats.org/drawingml/2006/picture">
                <pic:pic>
                  <pic:nvPicPr>
                    <pic:cNvPr descr="How are &quot;total fees&quot; calculated?" id="0" name="image8.png"/>
                    <pic:cNvPicPr preferRelativeResize="0"/>
                  </pic:nvPicPr>
                  <pic:blipFill>
                    <a:blip r:embed="rId22"/>
                    <a:srcRect b="0" l="0" r="0" t="0"/>
                    <a:stretch>
                      <a:fillRect/>
                    </a:stretch>
                  </pic:blipFill>
                  <pic:spPr>
                    <a:xfrm>
                      <a:off x="0" y="0"/>
                      <a:ext cx="4148138" cy="256631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6858000" cy="2794000"/>
            <wp:effectExtent b="0" l="0" r="0" t="0"/>
            <wp:docPr descr="Which categories have low &quot;total fees&quot;?" id="5" name="image7.png"/>
            <a:graphic>
              <a:graphicData uri="http://schemas.openxmlformats.org/drawingml/2006/picture">
                <pic:pic>
                  <pic:nvPicPr>
                    <pic:cNvPr descr="Which categories have low &quot;total fees&quot;?" id="0" name="image7.png"/>
                    <pic:cNvPicPr preferRelativeResize="0"/>
                  </pic:nvPicPr>
                  <pic:blipFill>
                    <a:blip r:embed="rId23"/>
                    <a:srcRect b="0" l="0" r="0" t="0"/>
                    <a:stretch>
                      <a:fillRect/>
                    </a:stretch>
                  </pic:blipFill>
                  <pic:spPr>
                    <a:xfrm>
                      <a:off x="0" y="0"/>
                      <a:ext cx="6858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1">
      <w:pPr>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highlight w:val="white"/>
          <w:rtl w:val="0"/>
        </w:rPr>
        <w:t xml:space="preserve">For those customers that did not convert, cost still played a large role in their reason not to complete their order.  </w:t>
      </w:r>
      <w:r w:rsidDel="00000000" w:rsidR="00000000" w:rsidRPr="00000000">
        <w:rPr>
          <w:rFonts w:ascii="Proxima Nova" w:cs="Proxima Nova" w:eastAsia="Proxima Nova" w:hAnsi="Proxima Nova"/>
          <w:b w:val="1"/>
          <w:bCs w:val="1"/>
          <w:sz w:val="21"/>
          <w:szCs w:val="21"/>
          <w:highlight w:val="white"/>
          <w:rtl w:val="0"/>
        </w:rPr>
        <w:t xml:space="preserve">The #1 reason for non-conversion was that the prices are too item/item level inflation. </w:t>
      </w:r>
      <w:r w:rsidDel="00000000" w:rsidR="00000000" w:rsidRPr="00000000">
        <w:rPr>
          <w:rFonts w:ascii="Proxima Nova" w:cs="Proxima Nova" w:eastAsia="Proxima Nova" w:hAnsi="Proxima Nova"/>
          <w:sz w:val="21"/>
          <w:szCs w:val="21"/>
          <w:highlight w:val="white"/>
          <w:rtl w:val="0"/>
        </w:rPr>
        <w:t xml:space="preserve"> In qualitative interviews Cx mentioned they specifically look at the price of each item when comparison shopping across apps..  Something may be just 30-50 cents cheaper on another app but it can add up.  </w:t>
      </w:r>
    </w:p>
    <w:p w:rsidR="00000000" w:rsidDel="00000000" w:rsidP="00000000" w:rsidRDefault="00000000" w:rsidRPr="00000000" w14:paraId="00000062">
      <w:pPr>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63">
      <w:pPr>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highlight w:val="white"/>
          <w:rtl w:val="0"/>
        </w:rPr>
        <w:t xml:space="preserve">The second most selected reason is that the fees are too high, which aligns to the sentiment that “total fees are higher”.  This may partially be due to the fact that 1</w:t>
      </w:r>
      <w:r w:rsidDel="00000000" w:rsidR="00000000" w:rsidRPr="00000000">
        <w:rPr>
          <w:rFonts w:ascii="Proxima Nova" w:cs="Proxima Nova" w:eastAsia="Proxima Nova" w:hAnsi="Proxima Nova"/>
          <w:b w:val="1"/>
          <w:bCs w:val="1"/>
          <w:sz w:val="21"/>
          <w:szCs w:val="21"/>
          <w:highlight w:val="white"/>
          <w:rtl w:val="0"/>
        </w:rPr>
        <w:t xml:space="preserve">9% of non-converted Cx knew the exact restaurant they were going to order from</w:t>
      </w:r>
      <w:r w:rsidDel="00000000" w:rsidR="00000000" w:rsidRPr="00000000">
        <w:rPr>
          <w:rFonts w:ascii="Proxima Nova" w:cs="Proxima Nova" w:eastAsia="Proxima Nova" w:hAnsi="Proxima Nova"/>
          <w:sz w:val="21"/>
          <w:szCs w:val="21"/>
          <w:highlight w:val="white"/>
          <w:rtl w:val="0"/>
        </w:rPr>
        <w:t xml:space="preserve">, which may be listed as a “further away” restaurant.</w:t>
      </w:r>
    </w:p>
    <w:p w:rsidR="00000000" w:rsidDel="00000000" w:rsidP="00000000" w:rsidRDefault="00000000" w:rsidRPr="00000000" w14:paraId="00000064">
      <w:pPr>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65">
      <w:pPr>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highlight w:val="white"/>
          <w:rtl w:val="0"/>
        </w:rPr>
        <w:t xml:space="preserve">Reasons number three and four have to do with cheaper options or coupons on another app.  55% of Cx who selected this reason said they ended up placing their order through Uber, 28% said they placed their order directly through a Rx, only 8% selected GrubHub.</w:t>
      </w:r>
    </w:p>
    <w:p w:rsidR="00000000" w:rsidDel="00000000" w:rsidP="00000000" w:rsidRDefault="00000000" w:rsidRPr="00000000" w14:paraId="00000066">
      <w:pPr>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67">
      <w:pPr>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highlight w:val="white"/>
        </w:rPr>
        <w:drawing>
          <wp:inline distB="114300" distT="114300" distL="114300" distR="114300">
            <wp:extent cx="6858000" cy="2044700"/>
            <wp:effectExtent b="0" l="0" r="0" t="0"/>
            <wp:docPr descr="Reasons did not convert" id="7" name="image3.png"/>
            <a:graphic>
              <a:graphicData uri="http://schemas.openxmlformats.org/drawingml/2006/picture">
                <pic:pic>
                  <pic:nvPicPr>
                    <pic:cNvPr descr="Reasons did not convert" id="0" name="image3.png"/>
                    <pic:cNvPicPr preferRelativeResize="0"/>
                  </pic:nvPicPr>
                  <pic:blipFill>
                    <a:blip r:embed="rId24"/>
                    <a:srcRect b="0" l="0" r="0" t="0"/>
                    <a:stretch>
                      <a:fillRect/>
                    </a:stretch>
                  </pic:blipFill>
                  <pic:spPr>
                    <a:xfrm>
                      <a:off x="0" y="0"/>
                      <a:ext cx="68580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Title"/>
        <w:spacing w:after="200" w:lineRule="auto"/>
        <w:ind w:left="0" w:firstLine="0"/>
        <w:rPr/>
      </w:pPr>
      <w:bookmarkStart w:colFirst="0" w:colLast="0" w:name="_d5r4h1g5ytg7" w:id="6"/>
      <w:bookmarkEnd w:id="6"/>
      <w:r w:rsidDel="00000000" w:rsidR="00000000" w:rsidRPr="00000000">
        <w:rPr>
          <w:color w:val="ff0000"/>
          <w:sz w:val="24"/>
          <w:szCs w:val="24"/>
          <w:rtl w:val="0"/>
        </w:rPr>
        <w:t xml:space="preserve">| </w:t>
      </w:r>
      <w:r w:rsidDel="00000000" w:rsidR="00000000" w:rsidRPr="00000000">
        <w:rPr>
          <w:b w:val="1"/>
          <w:bCs w:val="1"/>
          <w:sz w:val="24"/>
          <w:szCs w:val="24"/>
          <w:rtl w:val="0"/>
        </w:rPr>
        <w:t xml:space="preserve">Links</w:t>
      </w:r>
      <w:r w:rsidDel="00000000" w:rsidR="00000000" w:rsidRPr="00000000">
        <w:rPr>
          <w:rtl w:val="0"/>
        </w:rPr>
      </w:r>
    </w:p>
    <w:p w:rsidR="00000000" w:rsidDel="00000000" w:rsidP="00000000" w:rsidRDefault="00000000" w:rsidRPr="00000000" w14:paraId="00000069">
      <w:pPr>
        <w:rPr>
          <w:rFonts w:ascii="Proxima Nova" w:cs="Proxima Nova" w:eastAsia="Proxima Nova" w:hAnsi="Proxima Nova"/>
        </w:rPr>
      </w:pPr>
      <w:hyperlink r:id="rId25">
        <w:r w:rsidDel="00000000" w:rsidR="00000000" w:rsidRPr="00000000">
          <w:rPr>
            <w:rFonts w:ascii="Proxima Nova" w:cs="Proxima Nova" w:eastAsia="Proxima Nova" w:hAnsi="Proxima Nova"/>
            <w:color w:val="1155cc"/>
            <w:u w:val="single"/>
            <w:rtl w:val="0"/>
          </w:rPr>
          <w:t xml:space="preserve">Full survey datatables</w:t>
        </w:r>
      </w:hyperlink>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rPr>
      </w:pPr>
      <w:hyperlink r:id="rId26">
        <w:r w:rsidDel="00000000" w:rsidR="00000000" w:rsidRPr="00000000">
          <w:rPr>
            <w:rFonts w:ascii="Proxima Nova" w:cs="Proxima Nova" w:eastAsia="Proxima Nova" w:hAnsi="Proxima Nova"/>
            <w:color w:val="1155cc"/>
            <w:u w:val="single"/>
            <w:rtl w:val="0"/>
          </w:rPr>
          <w:t xml:space="preserve">Notes from qualitative interviews</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Title"/>
        <w:spacing w:after="200" w:line="240" w:lineRule="auto"/>
        <w:ind w:left="0" w:firstLine="0"/>
        <w:rPr>
          <w:rFonts w:ascii="Proxima Nova" w:cs="Proxima Nova" w:eastAsia="Proxima Nova" w:hAnsi="Proxima Nova"/>
          <w:b w:val="1"/>
          <w:bCs w:val="1"/>
          <w:sz w:val="24"/>
          <w:szCs w:val="24"/>
        </w:rPr>
      </w:pPr>
      <w:bookmarkStart w:colFirst="0" w:colLast="0" w:name="_2wsv38nhsnn5" w:id="7"/>
      <w:bookmarkEnd w:id="7"/>
      <w:r w:rsidDel="00000000" w:rsidR="00000000" w:rsidRPr="00000000">
        <w:rPr>
          <w:rtl w:val="0"/>
        </w:rPr>
      </w:r>
    </w:p>
    <w:sectPr>
      <w:footerReference r:id="rId27"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vin Fu" w:id="0" w:date="2022-12-12T17:57:15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vs control? That is interesting so ppl were more likely to feel like they spent more WITH total fees. is that right?</w:t>
      </w:r>
    </w:p>
  </w:comment>
  <w:comment w:author="Kelly Peterson" w:id="1" w:date="2022-12-12T18:00:27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mix of fees &amp; price inflation, not just total fees.  Some of it has to do with the misconception that total fees are 1) a new fee or 2) a place where we hid more fees.  That's why being able to show the net difference and make it more clear that it allows for upfront transparency is critical.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1440" w:firstLine="0"/>
    </w:pPr>
    <w:rPr>
      <w:rFonts w:ascii="Proxima Nova" w:cs="Proxima Nova" w:eastAsia="Proxima Nova" w:hAnsi="Proxima Nova"/>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kevinfu@doordash.com" TargetMode="External"/><Relationship Id="rId26" Type="http://schemas.openxmlformats.org/officeDocument/2006/relationships/hyperlink" Target="https://docs.google.com/spreadsheets/d/1yxoR4aV1YsyqJAIxgOPBwuhN6YxRHhIbm6p8x_Du1rg/edit?usp=sharing" TargetMode="External"/><Relationship Id="rId25" Type="http://schemas.openxmlformats.org/officeDocument/2006/relationships/hyperlink" Target="https://docs.google.com/spreadsheets/d/1qNrONANTtdR3QIeTmn-vMJpwL32HQJ1ci0dltUfxVJQ/edit?usp=sharing" TargetMode="Externa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kelly.peterson@doordash.com" TargetMode="External"/><Relationship Id="rId11" Type="http://schemas.openxmlformats.org/officeDocument/2006/relationships/hyperlink" Target="mailto:ishaan.kansal@doordash.com" TargetMode="External"/><Relationship Id="rId10" Type="http://schemas.openxmlformats.org/officeDocument/2006/relationships/hyperlink" Target="mailto:meghan.desai@doordash.com" TargetMode="External"/><Relationship Id="rId13" Type="http://schemas.openxmlformats.org/officeDocument/2006/relationships/hyperlink" Target="mailto:peter.sergel@doordash.com" TargetMode="External"/><Relationship Id="rId12" Type="http://schemas.openxmlformats.org/officeDocument/2006/relationships/hyperlink" Target="mailto:jordan.caines@doordash.com" TargetMode="External"/><Relationship Id="rId15" Type="http://schemas.openxmlformats.org/officeDocument/2006/relationships/hyperlink" Target="https://docs.google.com/document/u/0/d/1mHqze0ZgB_QICJ_txzi0mIkSURVk6kJF48KHsiWEBtE/edit" TargetMode="External"/><Relationship Id="rId14" Type="http://schemas.openxmlformats.org/officeDocument/2006/relationships/hyperlink" Target="mailto:julia.kripke@doordash.com" TargetMode="External"/><Relationship Id="rId17" Type="http://schemas.openxmlformats.org/officeDocument/2006/relationships/hyperlink" Target="https://www.figma.com/file/gIkqVdyPnLOr2iElQg2mzI/Cx-Value?node-id=370%3A138300" TargetMode="External"/><Relationship Id="rId16" Type="http://schemas.openxmlformats.org/officeDocument/2006/relationships/hyperlink" Target="https://docs.google.com/presentation/u/0/d/1XgH4jhify63Y4tsssDcpL6LEBcsD0Xl1AQi8IUwKZZw/edit" TargetMode="External"/><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