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4A44A" w14:textId="4A424567" w:rsidR="00F03875" w:rsidRPr="00A87225" w:rsidRDefault="000009F7" w:rsidP="00B01978">
      <w:pPr>
        <w:spacing w:line="360" w:lineRule="auto"/>
        <w:rPr>
          <w:rFonts w:ascii="Minion Pro" w:hAnsi="Minion Pro"/>
          <w:u w:val="single"/>
        </w:rPr>
      </w:pPr>
      <w:r w:rsidRPr="00A87225">
        <w:rPr>
          <w:rFonts w:ascii="Minion Pro" w:hAnsi="Minion Pro"/>
          <w:b/>
        </w:rPr>
        <w:t>1.</w:t>
      </w:r>
      <w:r w:rsidRPr="00A87225">
        <w:rPr>
          <w:rFonts w:ascii="Minion Pro" w:hAnsi="Minion Pro"/>
          <w:b/>
        </w:rPr>
        <w:tab/>
      </w:r>
      <w:r w:rsidR="00F03875" w:rsidRPr="00A87225">
        <w:rPr>
          <w:rFonts w:ascii="Minion Pro" w:hAnsi="Minion Pro"/>
          <w:b/>
          <w:i/>
        </w:rPr>
        <w:t>Ratio Decendendi</w:t>
      </w:r>
      <w:r w:rsidRPr="00A87225">
        <w:rPr>
          <w:rFonts w:ascii="Minion Pro" w:hAnsi="Minion Pro"/>
          <w:b/>
          <w:i/>
        </w:rPr>
        <w:t xml:space="preserve"> </w:t>
      </w:r>
      <w:r w:rsidRPr="00A87225">
        <w:rPr>
          <w:rFonts w:ascii="Minion Pro" w:hAnsi="Minion Pro"/>
          <w:b/>
        </w:rPr>
        <w:t>and the virtue of pragmatism</w:t>
      </w:r>
    </w:p>
    <w:p w14:paraId="0AB3C21A" w14:textId="6E8E4147" w:rsidR="00EF2279" w:rsidRPr="00A87225" w:rsidRDefault="007A5DFD" w:rsidP="00B01978">
      <w:pPr>
        <w:spacing w:line="360" w:lineRule="auto"/>
        <w:rPr>
          <w:rFonts w:ascii="Minion Pro" w:hAnsi="Minion Pro"/>
        </w:rPr>
      </w:pPr>
      <w:r w:rsidRPr="00A87225">
        <w:rPr>
          <w:rFonts w:ascii="Minion Pro" w:hAnsi="Minion Pro"/>
        </w:rPr>
        <w:t>There seems to be</w:t>
      </w:r>
      <w:r w:rsidR="00B768D5" w:rsidRPr="00A87225">
        <w:rPr>
          <w:rFonts w:ascii="Minion Pro" w:hAnsi="Minion Pro"/>
        </w:rPr>
        <w:t xml:space="preserve"> about as many definitions of </w:t>
      </w:r>
      <w:r w:rsidR="001503E8" w:rsidRPr="00A87225">
        <w:rPr>
          <w:rFonts w:ascii="Minion Pro" w:hAnsi="Minion Pro"/>
          <w:i/>
        </w:rPr>
        <w:t>ratio d</w:t>
      </w:r>
      <w:r w:rsidR="00B768D5" w:rsidRPr="00A87225">
        <w:rPr>
          <w:rFonts w:ascii="Minion Pro" w:hAnsi="Minion Pro"/>
          <w:i/>
        </w:rPr>
        <w:t xml:space="preserve">ecendendi </w:t>
      </w:r>
      <w:r w:rsidR="00B768D5" w:rsidRPr="00A87225">
        <w:rPr>
          <w:rFonts w:ascii="Minion Pro" w:hAnsi="Minion Pro"/>
        </w:rPr>
        <w:t>as there are theorists</w:t>
      </w:r>
      <w:r w:rsidR="008E3C49" w:rsidRPr="00A87225">
        <w:rPr>
          <w:rFonts w:ascii="Minion Pro" w:hAnsi="Minion Pro"/>
        </w:rPr>
        <w:t xml:space="preserve"> who have attempted to define the notion</w:t>
      </w:r>
      <w:r w:rsidR="00B768D5" w:rsidRPr="00A87225">
        <w:rPr>
          <w:rFonts w:ascii="Minion Pro" w:hAnsi="Minion Pro"/>
        </w:rPr>
        <w:t>.</w:t>
      </w:r>
      <w:r w:rsidR="001503E8" w:rsidRPr="00A87225">
        <w:rPr>
          <w:rFonts w:ascii="Minion Pro" w:hAnsi="Minion Pro"/>
        </w:rPr>
        <w:t xml:space="preserve"> </w:t>
      </w:r>
      <w:r w:rsidR="009513CE" w:rsidRPr="00A87225">
        <w:rPr>
          <w:rFonts w:ascii="Minion Pro" w:hAnsi="Minion Pro"/>
        </w:rPr>
        <w:t>While I have found it useful to read what different theorists have had to say</w:t>
      </w:r>
      <w:r w:rsidR="003C4A64" w:rsidRPr="00A87225">
        <w:rPr>
          <w:rFonts w:ascii="Minion Pro" w:hAnsi="Minion Pro"/>
        </w:rPr>
        <w:t>,</w:t>
      </w:r>
      <w:r w:rsidR="009513CE" w:rsidRPr="00A87225">
        <w:rPr>
          <w:rFonts w:ascii="Minion Pro" w:hAnsi="Minion Pro"/>
        </w:rPr>
        <w:t xml:space="preserve"> I have also found it useful to </w:t>
      </w:r>
      <w:r w:rsidR="00EF2279" w:rsidRPr="00A87225">
        <w:rPr>
          <w:rFonts w:ascii="Minion Pro" w:hAnsi="Minion Pro"/>
        </w:rPr>
        <w:t>put this</w:t>
      </w:r>
      <w:r w:rsidR="00510318" w:rsidRPr="00A87225">
        <w:rPr>
          <w:rFonts w:ascii="Minion Pro" w:hAnsi="Minion Pro"/>
        </w:rPr>
        <w:t xml:space="preserve"> to one side,</w:t>
      </w:r>
      <w:r w:rsidR="00A70735" w:rsidRPr="00A87225">
        <w:rPr>
          <w:rFonts w:ascii="Minion Pro" w:hAnsi="Minion Pro"/>
        </w:rPr>
        <w:t xml:space="preserve"> and to</w:t>
      </w:r>
      <w:r w:rsidR="00EF2279" w:rsidRPr="00A87225">
        <w:rPr>
          <w:rFonts w:ascii="Minion Pro" w:hAnsi="Minion Pro"/>
        </w:rPr>
        <w:t xml:space="preserve"> attempt to develop intuitions </w:t>
      </w:r>
      <w:r w:rsidR="003C4A64" w:rsidRPr="00A87225">
        <w:rPr>
          <w:rFonts w:ascii="Minion Pro" w:hAnsi="Minion Pro"/>
        </w:rPr>
        <w:t>in line with</w:t>
      </w:r>
      <w:r w:rsidRPr="00A87225">
        <w:rPr>
          <w:rFonts w:ascii="Minion Pro" w:hAnsi="Minion Pro"/>
        </w:rPr>
        <w:t xml:space="preserve"> </w:t>
      </w:r>
      <w:r w:rsidR="003C4A64" w:rsidRPr="00A87225">
        <w:rPr>
          <w:rFonts w:ascii="Minion Pro" w:hAnsi="Minion Pro"/>
        </w:rPr>
        <w:t xml:space="preserve">experts </w:t>
      </w:r>
      <w:r w:rsidRPr="00A87225">
        <w:rPr>
          <w:rFonts w:ascii="Minion Pro" w:hAnsi="Minion Pro"/>
        </w:rPr>
        <w:t>about statements of</w:t>
      </w:r>
      <w:r w:rsidR="00510318" w:rsidRPr="00A87225">
        <w:rPr>
          <w:rFonts w:ascii="Minion Pro" w:hAnsi="Minion Pro"/>
        </w:rPr>
        <w:t xml:space="preserve"> </w:t>
      </w:r>
      <w:r w:rsidR="00510318" w:rsidRPr="00A87225">
        <w:rPr>
          <w:rFonts w:ascii="Minion Pro" w:hAnsi="Minion Pro"/>
          <w:i/>
        </w:rPr>
        <w:t xml:space="preserve">Ratios </w:t>
      </w:r>
      <w:r w:rsidR="00510318" w:rsidRPr="00A87225">
        <w:rPr>
          <w:rFonts w:ascii="Minion Pro" w:hAnsi="Minion Pro"/>
        </w:rPr>
        <w:t>constructed by others</w:t>
      </w:r>
      <w:r w:rsidR="00A70735" w:rsidRPr="00A87225">
        <w:rPr>
          <w:rFonts w:ascii="Minion Pro" w:hAnsi="Minion Pro"/>
        </w:rPr>
        <w:t>.  Also</w:t>
      </w:r>
      <w:r w:rsidR="00510318" w:rsidRPr="00A87225">
        <w:rPr>
          <w:rFonts w:ascii="Minion Pro" w:hAnsi="Minion Pro"/>
        </w:rPr>
        <w:t xml:space="preserve"> to</w:t>
      </w:r>
      <w:r w:rsidR="009513CE" w:rsidRPr="00A87225">
        <w:rPr>
          <w:rFonts w:ascii="Minion Pro" w:hAnsi="Minion Pro"/>
        </w:rPr>
        <w:t xml:space="preserve"> </w:t>
      </w:r>
      <w:r w:rsidRPr="00A87225">
        <w:rPr>
          <w:rFonts w:ascii="Minion Pro" w:hAnsi="Minion Pro"/>
        </w:rPr>
        <w:t>develop my own skill at</w:t>
      </w:r>
      <w:r w:rsidR="003C4A64" w:rsidRPr="00A87225">
        <w:rPr>
          <w:rFonts w:ascii="Minion Pro" w:hAnsi="Minion Pro"/>
        </w:rPr>
        <w:t xml:space="preserve"> stating </w:t>
      </w:r>
      <w:r w:rsidR="003C4A64" w:rsidRPr="00A87225">
        <w:rPr>
          <w:rFonts w:ascii="Minion Pro" w:hAnsi="Minion Pro"/>
          <w:i/>
        </w:rPr>
        <w:t xml:space="preserve">Ratios </w:t>
      </w:r>
      <w:r w:rsidR="000F5ABB" w:rsidRPr="00A87225">
        <w:rPr>
          <w:rFonts w:ascii="Minion Pro" w:hAnsi="Minion Pro"/>
        </w:rPr>
        <w:t>that might be</w:t>
      </w:r>
      <w:r w:rsidR="003C4A64" w:rsidRPr="00A87225">
        <w:rPr>
          <w:rFonts w:ascii="Minion Pro" w:hAnsi="Minion Pro"/>
        </w:rPr>
        <w:t xml:space="preserve"> considered good by relevant others.  </w:t>
      </w:r>
      <w:r w:rsidR="00510318" w:rsidRPr="00A87225">
        <w:rPr>
          <w:rFonts w:ascii="Minion Pro" w:hAnsi="Minion Pro"/>
        </w:rPr>
        <w:t>To be a bit pragmatic</w:t>
      </w:r>
      <w:r w:rsidR="003C4A64" w:rsidRPr="00A87225">
        <w:rPr>
          <w:rFonts w:ascii="Minion Pro" w:hAnsi="Minion Pro"/>
        </w:rPr>
        <w:t xml:space="preserve"> about it all</w:t>
      </w:r>
      <w:r w:rsidR="00510318" w:rsidRPr="00A87225">
        <w:rPr>
          <w:rFonts w:ascii="Minion Pro" w:hAnsi="Minion Pro"/>
        </w:rPr>
        <w:t>, in other words.</w:t>
      </w:r>
      <w:r w:rsidR="009513CE" w:rsidRPr="00A87225">
        <w:rPr>
          <w:rFonts w:ascii="Minion Pro" w:hAnsi="Minion Pro"/>
        </w:rPr>
        <w:t xml:space="preserve">  </w:t>
      </w:r>
    </w:p>
    <w:p w14:paraId="41026678" w14:textId="77777777" w:rsidR="00EF2279" w:rsidRPr="00A87225" w:rsidRDefault="00EF2279" w:rsidP="00B01978">
      <w:pPr>
        <w:spacing w:line="360" w:lineRule="auto"/>
        <w:rPr>
          <w:rFonts w:ascii="Minion Pro" w:hAnsi="Minion Pro"/>
        </w:rPr>
      </w:pPr>
    </w:p>
    <w:p w14:paraId="028958DD" w14:textId="67EB54A1" w:rsidR="000F5ABB" w:rsidRPr="00A87225" w:rsidRDefault="00371736" w:rsidP="00B01978">
      <w:pPr>
        <w:spacing w:line="360" w:lineRule="auto"/>
        <w:rPr>
          <w:rFonts w:ascii="Minion Pro" w:hAnsi="Minion Pro"/>
        </w:rPr>
      </w:pPr>
      <w:r w:rsidRPr="00A87225">
        <w:rPr>
          <w:rFonts w:ascii="Minion Pro" w:hAnsi="Minion Pro"/>
        </w:rPr>
        <w:t>In my limited ex</w:t>
      </w:r>
      <w:r w:rsidR="00A70735" w:rsidRPr="00A87225">
        <w:rPr>
          <w:rFonts w:ascii="Minion Pro" w:hAnsi="Minion Pro"/>
        </w:rPr>
        <w:t>perience of trying to understand</w:t>
      </w:r>
      <w:r w:rsidR="003C4A64" w:rsidRPr="00A87225">
        <w:rPr>
          <w:rFonts w:ascii="Minion Pro" w:hAnsi="Minion Pro"/>
        </w:rPr>
        <w:t xml:space="preserve"> what</w:t>
      </w:r>
      <w:r w:rsidR="00A70735" w:rsidRPr="00A87225">
        <w:rPr>
          <w:rFonts w:ascii="Minion Pro" w:hAnsi="Minion Pro"/>
        </w:rPr>
        <w:t xml:space="preserve"> statements of</w:t>
      </w:r>
      <w:r w:rsidRPr="00A87225">
        <w:rPr>
          <w:rFonts w:ascii="Minion Pro" w:hAnsi="Minion Pro"/>
        </w:rPr>
        <w:t xml:space="preserve"> </w:t>
      </w:r>
      <w:r w:rsidR="00A70735" w:rsidRPr="00A87225">
        <w:rPr>
          <w:rFonts w:ascii="Minion Pro" w:hAnsi="Minion Pro"/>
          <w:i/>
        </w:rPr>
        <w:t>Ratio</w:t>
      </w:r>
      <w:r w:rsidRPr="00A87225">
        <w:rPr>
          <w:rFonts w:ascii="Minion Pro" w:hAnsi="Minion Pro"/>
          <w:i/>
        </w:rPr>
        <w:t xml:space="preserve"> </w:t>
      </w:r>
      <w:r w:rsidRPr="00A87225">
        <w:rPr>
          <w:rFonts w:ascii="Minion Pro" w:hAnsi="Minion Pro"/>
        </w:rPr>
        <w:t xml:space="preserve">might be considered </w:t>
      </w:r>
      <w:r w:rsidR="007A5DFD" w:rsidRPr="00A87225">
        <w:rPr>
          <w:rFonts w:ascii="Minion Pro" w:hAnsi="Minion Pro"/>
        </w:rPr>
        <w:t>good</w:t>
      </w:r>
      <w:r w:rsidR="003C4A64" w:rsidRPr="00A87225">
        <w:rPr>
          <w:rFonts w:ascii="Minion Pro" w:hAnsi="Minion Pro"/>
        </w:rPr>
        <w:t xml:space="preserve"> </w:t>
      </w:r>
      <w:r w:rsidRPr="00A87225">
        <w:rPr>
          <w:rFonts w:ascii="Minion Pro" w:hAnsi="Minion Pro"/>
        </w:rPr>
        <w:t>I have become fairly attracted to the view that one of the jobs of the lawyer is to co</w:t>
      </w:r>
      <w:r w:rsidR="00510318" w:rsidRPr="00A87225">
        <w:rPr>
          <w:rFonts w:ascii="Minion Pro" w:hAnsi="Minion Pro"/>
        </w:rPr>
        <w:t>nstruct / find the issue-ratio</w:t>
      </w:r>
      <w:r w:rsidRPr="00A87225">
        <w:rPr>
          <w:rFonts w:ascii="Minion Pro" w:hAnsi="Minion Pro"/>
        </w:rPr>
        <w:t xml:space="preserve"> pair that </w:t>
      </w:r>
      <w:r w:rsidR="004E4EC6" w:rsidRPr="00A87225">
        <w:rPr>
          <w:rFonts w:ascii="Minion Pro" w:hAnsi="Minion Pro"/>
        </w:rPr>
        <w:t>presents the most</w:t>
      </w:r>
      <w:r w:rsidR="003C4A64" w:rsidRPr="00A87225">
        <w:rPr>
          <w:rFonts w:ascii="Minion Pro" w:hAnsi="Minion Pro"/>
        </w:rPr>
        <w:t xml:space="preserve"> compelling case for ones client</w:t>
      </w:r>
      <w:r w:rsidR="007C4D65" w:rsidRPr="00A87225">
        <w:rPr>
          <w:rFonts w:ascii="Minion Pro" w:hAnsi="Minion Pro"/>
        </w:rPr>
        <w:t>.</w:t>
      </w:r>
      <w:r w:rsidR="000F5ABB" w:rsidRPr="00A87225">
        <w:rPr>
          <w:rFonts w:ascii="Minion Pro" w:hAnsi="Minion Pro"/>
        </w:rPr>
        <w:t xml:space="preserve">  Part of that involves stating the issue-ratio pair in such a way that</w:t>
      </w:r>
      <w:r w:rsidR="007B4DE0" w:rsidRPr="00A87225">
        <w:rPr>
          <w:rFonts w:ascii="Minion Pro" w:hAnsi="Minion Pro"/>
        </w:rPr>
        <w:t xml:space="preserve"> a favorable verdict</w:t>
      </w:r>
      <w:r w:rsidR="00EF2279" w:rsidRPr="00A87225">
        <w:rPr>
          <w:rFonts w:ascii="Minion Pro" w:hAnsi="Minion Pro"/>
        </w:rPr>
        <w:t xml:space="preserve"> for ones client seems intuitively plausible.  Part of doing this is to provide precedent or legal reason that embeds the case within the scope of (a plausible interpretation of) precedent cases in order to support a judgment that is favorable to ones client.</w:t>
      </w:r>
      <w:r w:rsidR="007B4DE0" w:rsidRPr="00A87225">
        <w:rPr>
          <w:rFonts w:ascii="Minion Pro" w:hAnsi="Minion Pro"/>
        </w:rPr>
        <w:t xml:space="preserve"> </w:t>
      </w:r>
      <w:r w:rsidR="00EF2279" w:rsidRPr="00A87225">
        <w:rPr>
          <w:rFonts w:ascii="Minion Pro" w:hAnsi="Minion Pro"/>
        </w:rPr>
        <w:t xml:space="preserve"> T</w:t>
      </w:r>
      <w:r w:rsidR="007B4DE0" w:rsidRPr="00A87225">
        <w:rPr>
          <w:rFonts w:ascii="Minion Pro" w:hAnsi="Minion Pro"/>
        </w:rPr>
        <w:t>he opposing counsil similarly helps the court by presenting</w:t>
      </w:r>
      <w:r w:rsidR="00C57490" w:rsidRPr="00A87225">
        <w:rPr>
          <w:rFonts w:ascii="Minion Pro" w:hAnsi="Minion Pro"/>
        </w:rPr>
        <w:t xml:space="preserve"> the best case they can </w:t>
      </w:r>
      <w:r w:rsidR="007C4D65" w:rsidRPr="00A87225">
        <w:rPr>
          <w:rFonts w:ascii="Minion Pro" w:hAnsi="Minion Pro"/>
        </w:rPr>
        <w:t>for the other side</w:t>
      </w:r>
      <w:r w:rsidR="00C57490" w:rsidRPr="00A87225">
        <w:rPr>
          <w:rFonts w:ascii="Minion Pro" w:hAnsi="Minion Pro"/>
        </w:rPr>
        <w:t>.</w:t>
      </w:r>
      <w:r w:rsidR="007B4DE0" w:rsidRPr="00A87225">
        <w:rPr>
          <w:rFonts w:ascii="Minion Pro" w:hAnsi="Minion Pro"/>
        </w:rPr>
        <w:t xml:space="preserve"> </w:t>
      </w:r>
      <w:r w:rsidR="00C57490" w:rsidRPr="00A87225">
        <w:rPr>
          <w:rFonts w:ascii="Minion Pro" w:hAnsi="Minion Pro"/>
        </w:rPr>
        <w:t xml:space="preserve"> </w:t>
      </w:r>
      <w:r w:rsidR="007B4DE0" w:rsidRPr="00A87225">
        <w:rPr>
          <w:rFonts w:ascii="Minion Pro" w:hAnsi="Minion Pro"/>
        </w:rPr>
        <w:t>The judge</w:t>
      </w:r>
      <w:r w:rsidR="00EF2279" w:rsidRPr="00A87225">
        <w:rPr>
          <w:rFonts w:ascii="Minion Pro" w:hAnsi="Minion Pro"/>
        </w:rPr>
        <w:t xml:space="preserve"> gets the opportunity to reflect upon all of this in order to synthesise all of this and provide something of a commentary on what they took the </w:t>
      </w:r>
      <w:r w:rsidR="007B4DE0" w:rsidRPr="00A87225">
        <w:rPr>
          <w:rFonts w:ascii="Minion Pro" w:hAnsi="Minion Pro"/>
        </w:rPr>
        <w:t>relevant issue / ratio / material facts / legal re</w:t>
      </w:r>
      <w:r w:rsidR="00C57490" w:rsidRPr="00A87225">
        <w:rPr>
          <w:rFonts w:ascii="Minion Pro" w:hAnsi="Minion Pro"/>
        </w:rPr>
        <w:t>a</w:t>
      </w:r>
      <w:r w:rsidR="007B4DE0" w:rsidRPr="00A87225">
        <w:rPr>
          <w:rFonts w:ascii="Minion Pro" w:hAnsi="Minion Pro"/>
        </w:rPr>
        <w:t>sons to be in arriving at their judgment for the present case.</w:t>
      </w:r>
      <w:r w:rsidR="007441E3" w:rsidRPr="00A87225">
        <w:rPr>
          <w:rStyle w:val="FootnoteReference"/>
          <w:rFonts w:ascii="Minion Pro" w:hAnsi="Minion Pro"/>
        </w:rPr>
        <w:footnoteReference w:id="1"/>
      </w:r>
      <w:r w:rsidR="007A5DFD" w:rsidRPr="00A87225">
        <w:rPr>
          <w:rFonts w:ascii="Minion Pro" w:hAnsi="Minion Pro"/>
        </w:rPr>
        <w:t xml:space="preserve">  </w:t>
      </w:r>
    </w:p>
    <w:p w14:paraId="7EBE6502" w14:textId="77777777" w:rsidR="003C4A64" w:rsidRPr="00A87225" w:rsidRDefault="003C4A64" w:rsidP="00B01978">
      <w:pPr>
        <w:spacing w:line="360" w:lineRule="auto"/>
        <w:rPr>
          <w:rFonts w:ascii="Minion Pro" w:hAnsi="Minion Pro"/>
        </w:rPr>
      </w:pPr>
    </w:p>
    <w:p w14:paraId="5DC651C1" w14:textId="0F464042" w:rsidR="00F03875" w:rsidRPr="00A87225" w:rsidRDefault="000009F7" w:rsidP="00B01978">
      <w:pPr>
        <w:spacing w:line="360" w:lineRule="auto"/>
        <w:rPr>
          <w:rFonts w:ascii="Minion Pro" w:hAnsi="Minion Pro"/>
          <w:b/>
          <w:i/>
        </w:rPr>
      </w:pPr>
      <w:r w:rsidRPr="00A87225">
        <w:rPr>
          <w:rFonts w:ascii="Minion Pro" w:hAnsi="Minion Pro"/>
          <w:b/>
        </w:rPr>
        <w:t>2.</w:t>
      </w:r>
      <w:r w:rsidRPr="00A87225">
        <w:rPr>
          <w:rFonts w:ascii="Minion Pro" w:hAnsi="Minion Pro"/>
          <w:b/>
        </w:rPr>
        <w:tab/>
      </w:r>
      <w:r w:rsidR="00B1009A" w:rsidRPr="00A87225">
        <w:rPr>
          <w:rFonts w:ascii="Minion Pro" w:hAnsi="Minion Pro"/>
          <w:b/>
        </w:rPr>
        <w:t>Specificity and Generality</w:t>
      </w:r>
      <w:r w:rsidR="00F03875" w:rsidRPr="00A87225">
        <w:rPr>
          <w:rFonts w:ascii="Minion Pro" w:hAnsi="Minion Pro"/>
          <w:b/>
        </w:rPr>
        <w:t xml:space="preserve"> of </w:t>
      </w:r>
      <w:r w:rsidR="00F03875" w:rsidRPr="00A87225">
        <w:rPr>
          <w:rFonts w:ascii="Minion Pro" w:hAnsi="Minion Pro"/>
          <w:b/>
          <w:i/>
        </w:rPr>
        <w:t>Ratio Decendendi</w:t>
      </w:r>
    </w:p>
    <w:p w14:paraId="3D0F514D" w14:textId="55EF7262" w:rsidR="007C4D65" w:rsidRPr="00A87225" w:rsidRDefault="007441E3" w:rsidP="00B01978">
      <w:pPr>
        <w:spacing w:line="360" w:lineRule="auto"/>
        <w:rPr>
          <w:rFonts w:ascii="Minion Pro" w:hAnsi="Minion Pro"/>
        </w:rPr>
      </w:pPr>
      <w:r w:rsidRPr="00A87225">
        <w:rPr>
          <w:rFonts w:ascii="Minion Pro" w:hAnsi="Minion Pro"/>
        </w:rPr>
        <w:t>In order for</w:t>
      </w:r>
      <w:r w:rsidR="000F5ABB" w:rsidRPr="00A87225">
        <w:rPr>
          <w:rFonts w:ascii="Minion Pro" w:hAnsi="Minion Pro"/>
        </w:rPr>
        <w:t xml:space="preserve"> </w:t>
      </w:r>
      <w:r w:rsidR="000F5ABB" w:rsidRPr="00A87225">
        <w:rPr>
          <w:rFonts w:ascii="Minion Pro" w:hAnsi="Minion Pro"/>
          <w:i/>
        </w:rPr>
        <w:t xml:space="preserve">Ratios </w:t>
      </w:r>
      <w:r w:rsidR="000F5ABB" w:rsidRPr="00A87225">
        <w:rPr>
          <w:rFonts w:ascii="Minion Pro" w:hAnsi="Minion Pro"/>
        </w:rPr>
        <w:t>to be useful to the above process they need to be</w:t>
      </w:r>
      <w:r w:rsidR="00B1009A" w:rsidRPr="00A87225">
        <w:rPr>
          <w:rFonts w:ascii="Minion Pro" w:hAnsi="Minion Pro"/>
        </w:rPr>
        <w:t xml:space="preserve"> specific enough such that the courts don’t become clogged with cases that seem (intuitively) to be importantly different.  They also need to be</w:t>
      </w:r>
      <w:r w:rsidR="000F5ABB" w:rsidRPr="00A87225">
        <w:rPr>
          <w:rFonts w:ascii="Minion Pro" w:hAnsi="Minion Pro"/>
        </w:rPr>
        <w:t xml:space="preserve"> general</w:t>
      </w:r>
      <w:r w:rsidR="00B1009A" w:rsidRPr="00A87225">
        <w:rPr>
          <w:rFonts w:ascii="Minion Pro" w:hAnsi="Minion Pro"/>
        </w:rPr>
        <w:t xml:space="preserve"> or abstracted</w:t>
      </w:r>
      <w:r w:rsidR="000F5ABB" w:rsidRPr="00A87225">
        <w:rPr>
          <w:rFonts w:ascii="Minion Pro" w:hAnsi="Minion Pro"/>
        </w:rPr>
        <w:t xml:space="preserve"> enough such that</w:t>
      </w:r>
      <w:r w:rsidR="00681C2A" w:rsidRPr="00A87225">
        <w:rPr>
          <w:rFonts w:ascii="Minion Pro" w:hAnsi="Minion Pro"/>
        </w:rPr>
        <w:t xml:space="preserve"> </w:t>
      </w:r>
      <w:r w:rsidR="000F5ABB" w:rsidRPr="00A87225">
        <w:rPr>
          <w:rFonts w:ascii="Minion Pro" w:hAnsi="Minion Pro"/>
        </w:rPr>
        <w:t xml:space="preserve">future </w:t>
      </w:r>
      <w:r w:rsidR="00B1009A" w:rsidRPr="00A87225">
        <w:rPr>
          <w:rFonts w:ascii="Minion Pro" w:hAnsi="Minion Pro"/>
        </w:rPr>
        <w:t xml:space="preserve">particular </w:t>
      </w:r>
      <w:r w:rsidR="000F5ABB" w:rsidRPr="00A87225">
        <w:rPr>
          <w:rFonts w:ascii="Minion Pro" w:hAnsi="Minion Pro"/>
        </w:rPr>
        <w:t xml:space="preserve">cases </w:t>
      </w:r>
      <w:r w:rsidR="007C4D65" w:rsidRPr="00A87225">
        <w:rPr>
          <w:rFonts w:ascii="Minion Pro" w:hAnsi="Minion Pro"/>
        </w:rPr>
        <w:t>may</w:t>
      </w:r>
      <w:r w:rsidR="00681C2A" w:rsidRPr="00A87225">
        <w:rPr>
          <w:rFonts w:ascii="Minion Pro" w:hAnsi="Minion Pro"/>
        </w:rPr>
        <w:t xml:space="preserve"> </w:t>
      </w:r>
      <w:r w:rsidR="000F5ABB" w:rsidRPr="00A87225">
        <w:rPr>
          <w:rFonts w:ascii="Minion Pro" w:hAnsi="Minion Pro"/>
        </w:rPr>
        <w:t>fall under their scope.</w:t>
      </w:r>
      <w:r w:rsidR="00C57490" w:rsidRPr="00A87225">
        <w:rPr>
          <w:rFonts w:ascii="Minion Pro" w:hAnsi="Minion Pro"/>
        </w:rPr>
        <w:t xml:space="preserve"> </w:t>
      </w:r>
      <w:r w:rsidR="007C4D65" w:rsidRPr="00A87225">
        <w:rPr>
          <w:rFonts w:ascii="Minion Pro" w:hAnsi="Minion Pro"/>
        </w:rPr>
        <w:t xml:space="preserve">There are trade-offs between generality and specificity and while there is widespread agreement by experts that some statements of </w:t>
      </w:r>
      <w:r w:rsidR="007C4D65" w:rsidRPr="00A87225">
        <w:rPr>
          <w:rFonts w:ascii="Minion Pro" w:hAnsi="Minion Pro"/>
          <w:i/>
        </w:rPr>
        <w:t xml:space="preserve">ratio </w:t>
      </w:r>
      <w:r w:rsidR="007C4D65" w:rsidRPr="00A87225">
        <w:rPr>
          <w:rFonts w:ascii="Minion Pro" w:hAnsi="Minion Pro"/>
        </w:rPr>
        <w:t xml:space="preserve">would be too specific while other statements would be too broad </w:t>
      </w:r>
      <w:r w:rsidR="007C4D65" w:rsidRPr="00A87225">
        <w:rPr>
          <w:rFonts w:ascii="Minion Pro" w:hAnsi="Minion Pro"/>
        </w:rPr>
        <w:lastRenderedPageBreak/>
        <w:t xml:space="preserve">there </w:t>
      </w:r>
      <w:r w:rsidR="00B1009A" w:rsidRPr="00A87225">
        <w:rPr>
          <w:rFonts w:ascii="Minion Pro" w:hAnsi="Minion Pro"/>
        </w:rPr>
        <w:t>also</w:t>
      </w:r>
      <w:r w:rsidR="007C4D65" w:rsidRPr="00A87225">
        <w:rPr>
          <w:rFonts w:ascii="Minion Pro" w:hAnsi="Minion Pro"/>
        </w:rPr>
        <w:t xml:space="preserve"> seem</w:t>
      </w:r>
      <w:r w:rsidR="00B1009A" w:rsidRPr="00A87225">
        <w:rPr>
          <w:rFonts w:ascii="Minion Pro" w:hAnsi="Minion Pro"/>
        </w:rPr>
        <w:t>s</w:t>
      </w:r>
      <w:r w:rsidR="007C4D65" w:rsidRPr="00A87225">
        <w:rPr>
          <w:rFonts w:ascii="Minion Pro" w:hAnsi="Minion Pro"/>
        </w:rPr>
        <w:t xml:space="preserve"> to be quite a bit of wiggle room in which a  case can be made either way.  Of course there is a step from one being able to make a case either way to one being able to win the case either way.  There is a step again from winning the case to actually being right.  At least, there would be, if there were objective facts about </w:t>
      </w:r>
      <w:r w:rsidR="007C4D65" w:rsidRPr="00A87225">
        <w:rPr>
          <w:rFonts w:ascii="Minion Pro" w:hAnsi="Minion Pro"/>
          <w:i/>
        </w:rPr>
        <w:t>ratios</w:t>
      </w:r>
      <w:r w:rsidR="007C4D65" w:rsidRPr="00A87225">
        <w:rPr>
          <w:rStyle w:val="FootnoteReference"/>
          <w:rFonts w:ascii="Minion Pro" w:hAnsi="Minion Pro"/>
        </w:rPr>
        <w:footnoteReference w:id="2"/>
      </w:r>
      <w:r w:rsidR="007C4D65" w:rsidRPr="00A87225">
        <w:rPr>
          <w:rFonts w:ascii="Minion Pro" w:hAnsi="Minion Pro"/>
        </w:rPr>
        <w:t>.  I see that for all practical purposes it may be useful for lawyers and judges and pragmatically inclined academics to think that there is indeterminacy in the law, however, and I will grant a space of indeterminacy in what follows.</w:t>
      </w:r>
    </w:p>
    <w:p w14:paraId="72062863" w14:textId="77777777" w:rsidR="00B1009A" w:rsidRPr="00A87225" w:rsidRDefault="00B1009A" w:rsidP="00B01978">
      <w:pPr>
        <w:spacing w:line="360" w:lineRule="auto"/>
        <w:rPr>
          <w:rFonts w:ascii="Minion Pro" w:hAnsi="Minion Pro"/>
        </w:rPr>
      </w:pPr>
    </w:p>
    <w:p w14:paraId="035A44BA" w14:textId="48E9E6D7" w:rsidR="000009F7" w:rsidRPr="00A87225" w:rsidRDefault="00B1009A" w:rsidP="00B01978">
      <w:pPr>
        <w:spacing w:line="360" w:lineRule="auto"/>
        <w:rPr>
          <w:rFonts w:ascii="Minion Pro" w:hAnsi="Minion Pro"/>
          <w:b/>
        </w:rPr>
      </w:pPr>
      <w:r w:rsidRPr="00A87225">
        <w:rPr>
          <w:rFonts w:ascii="Minion Pro" w:hAnsi="Minion Pro"/>
          <w:b/>
        </w:rPr>
        <w:t>2.1</w:t>
      </w:r>
      <w:r w:rsidRPr="00A87225">
        <w:rPr>
          <w:rFonts w:ascii="Minion Pro" w:hAnsi="Minion Pro"/>
          <w:b/>
        </w:rPr>
        <w:tab/>
      </w:r>
      <w:r w:rsidR="000009F7" w:rsidRPr="00A87225">
        <w:rPr>
          <w:rFonts w:ascii="Minion Pro" w:hAnsi="Minion Pro"/>
          <w:b/>
        </w:rPr>
        <w:t xml:space="preserve">  Specificity</w:t>
      </w:r>
    </w:p>
    <w:p w14:paraId="3B51746D" w14:textId="6C233D0B" w:rsidR="000F5ABB" w:rsidRPr="00A87225" w:rsidRDefault="000F5ABB" w:rsidP="00B01978">
      <w:pPr>
        <w:spacing w:line="360" w:lineRule="auto"/>
        <w:rPr>
          <w:rFonts w:ascii="Minion Pro" w:hAnsi="Minion Pro"/>
        </w:rPr>
      </w:pPr>
      <w:r w:rsidRPr="00A87225">
        <w:rPr>
          <w:rFonts w:ascii="Minion Pro" w:hAnsi="Minion Pro"/>
        </w:rPr>
        <w:t xml:space="preserve">If a </w:t>
      </w:r>
      <w:r w:rsidRPr="00A87225">
        <w:rPr>
          <w:rFonts w:ascii="Minion Pro" w:hAnsi="Minion Pro"/>
          <w:i/>
        </w:rPr>
        <w:t xml:space="preserve">Ratio </w:t>
      </w:r>
      <w:r w:rsidRPr="00A87225">
        <w:rPr>
          <w:rFonts w:ascii="Minion Pro" w:hAnsi="Minion Pro"/>
        </w:rPr>
        <w:t>is</w:t>
      </w:r>
      <w:r w:rsidR="007C4D65" w:rsidRPr="00A87225">
        <w:rPr>
          <w:rFonts w:ascii="Minion Pro" w:hAnsi="Minion Pro"/>
        </w:rPr>
        <w:t xml:space="preserve"> stated too narrowly </w:t>
      </w:r>
      <w:r w:rsidRPr="00A87225">
        <w:rPr>
          <w:rFonts w:ascii="Minion Pro" w:hAnsi="Minion Pro"/>
        </w:rPr>
        <w:t xml:space="preserve">then it may seem as though the courts are </w:t>
      </w:r>
      <w:r w:rsidR="007441E3" w:rsidRPr="00A87225">
        <w:rPr>
          <w:rFonts w:ascii="Minion Pro" w:hAnsi="Minion Pro"/>
        </w:rPr>
        <w:t xml:space="preserve">being capricious or </w:t>
      </w:r>
      <w:r w:rsidRPr="00A87225">
        <w:rPr>
          <w:rFonts w:ascii="Minion Pro" w:hAnsi="Minion Pro"/>
        </w:rPr>
        <w:t xml:space="preserve">unfair in treating a </w:t>
      </w:r>
      <w:r w:rsidR="007441E3" w:rsidRPr="00A87225">
        <w:rPr>
          <w:rFonts w:ascii="Minion Pro" w:hAnsi="Minion Pro"/>
        </w:rPr>
        <w:t xml:space="preserve">particular case as exceptional </w:t>
      </w:r>
      <w:r w:rsidRPr="00A87225">
        <w:rPr>
          <w:rFonts w:ascii="Minion Pro" w:hAnsi="Minion Pro"/>
        </w:rPr>
        <w:t>rather than</w:t>
      </w:r>
      <w:r w:rsidR="007441E3" w:rsidRPr="00A87225">
        <w:rPr>
          <w:rFonts w:ascii="Minion Pro" w:hAnsi="Minion Pro"/>
        </w:rPr>
        <w:t xml:space="preserve"> as</w:t>
      </w:r>
      <w:r w:rsidRPr="00A87225">
        <w:rPr>
          <w:rFonts w:ascii="Minion Pro" w:hAnsi="Minion Pro"/>
        </w:rPr>
        <w:t xml:space="preserve"> falling under the rules</w:t>
      </w:r>
      <w:r w:rsidR="00B1009A" w:rsidRPr="00A87225">
        <w:rPr>
          <w:rFonts w:ascii="Minion Pro" w:hAnsi="Minion Pro"/>
        </w:rPr>
        <w:t xml:space="preserve">.  </w:t>
      </w:r>
      <w:r w:rsidRPr="00A87225">
        <w:rPr>
          <w:rFonts w:ascii="Minion Pro" w:hAnsi="Minion Pro"/>
        </w:rPr>
        <w:t xml:space="preserve">For instance, if a judge attempts to formulate a </w:t>
      </w:r>
      <w:r w:rsidRPr="00A87225">
        <w:rPr>
          <w:rFonts w:ascii="Minion Pro" w:hAnsi="Minion Pro"/>
          <w:i/>
        </w:rPr>
        <w:t xml:space="preserve">Ratio </w:t>
      </w:r>
      <w:r w:rsidRPr="00A87225">
        <w:rPr>
          <w:rFonts w:ascii="Minion Pro" w:hAnsi="Minion Pro"/>
        </w:rPr>
        <w:t>as applying only to manufacturers of ginger beer then o</w:t>
      </w:r>
      <w:r w:rsidR="007441E3" w:rsidRPr="00A87225">
        <w:rPr>
          <w:rFonts w:ascii="Minion Pro" w:hAnsi="Minion Pro"/>
        </w:rPr>
        <w:t>ne might well wonder whether the judges</w:t>
      </w:r>
      <w:r w:rsidRPr="00A87225">
        <w:rPr>
          <w:rFonts w:ascii="Minion Pro" w:hAnsi="Minion Pro"/>
        </w:rPr>
        <w:t xml:space="preserve"> brother is involved in the manufacture of lemonade</w:t>
      </w:r>
      <w:r w:rsidR="00F03875" w:rsidRPr="00A87225">
        <w:rPr>
          <w:rFonts w:ascii="Minion Pro" w:hAnsi="Minion Pro"/>
        </w:rPr>
        <w:t xml:space="preserve"> such that the judge is attempting to unreason</w:t>
      </w:r>
      <w:r w:rsidR="00A76A02" w:rsidRPr="00A87225">
        <w:rPr>
          <w:rFonts w:ascii="Minion Pro" w:hAnsi="Minion Pro"/>
        </w:rPr>
        <w:t>a</w:t>
      </w:r>
      <w:r w:rsidR="00F03875" w:rsidRPr="00A87225">
        <w:rPr>
          <w:rFonts w:ascii="Minion Pro" w:hAnsi="Minion Pro"/>
        </w:rPr>
        <w:t>b</w:t>
      </w:r>
      <w:r w:rsidR="00A76A02" w:rsidRPr="00A87225">
        <w:rPr>
          <w:rFonts w:ascii="Minion Pro" w:hAnsi="Minion Pro"/>
        </w:rPr>
        <w:t>l</w:t>
      </w:r>
      <w:r w:rsidR="00F03875" w:rsidRPr="00A87225">
        <w:rPr>
          <w:rFonts w:ascii="Minion Pro" w:hAnsi="Minion Pro"/>
        </w:rPr>
        <w:t xml:space="preserve">y limit the scope of the </w:t>
      </w:r>
      <w:r w:rsidR="00F03875" w:rsidRPr="00A87225">
        <w:rPr>
          <w:rFonts w:ascii="Minion Pro" w:hAnsi="Minion Pro"/>
          <w:i/>
        </w:rPr>
        <w:t xml:space="preserve">Ratio </w:t>
      </w:r>
      <w:r w:rsidR="00F03875" w:rsidRPr="00A87225">
        <w:rPr>
          <w:rFonts w:ascii="Minion Pro" w:hAnsi="Minion Pro"/>
        </w:rPr>
        <w:t>for fear of creat</w:t>
      </w:r>
      <w:r w:rsidR="00DF7FA0" w:rsidRPr="00A87225">
        <w:rPr>
          <w:rFonts w:ascii="Minion Pro" w:hAnsi="Minion Pro"/>
        </w:rPr>
        <w:t>ing unfavorable</w:t>
      </w:r>
      <w:r w:rsidR="00F03875" w:rsidRPr="00A87225">
        <w:rPr>
          <w:rFonts w:ascii="Minion Pro" w:hAnsi="Minion Pro"/>
        </w:rPr>
        <w:t xml:space="preserve"> precedent for the courts</w:t>
      </w:r>
      <w:r w:rsidR="00DF7FA0" w:rsidRPr="00A87225">
        <w:rPr>
          <w:rFonts w:ascii="Minion Pro" w:hAnsi="Minion Pro"/>
        </w:rPr>
        <w:t xml:space="preserve"> (from the brother’s point of view)</w:t>
      </w:r>
      <w:r w:rsidRPr="00A87225">
        <w:rPr>
          <w:rFonts w:ascii="Minion Pro" w:hAnsi="Minion Pro"/>
        </w:rPr>
        <w:t xml:space="preserve">.  </w:t>
      </w:r>
      <w:r w:rsidR="00736BB5" w:rsidRPr="00A87225">
        <w:rPr>
          <w:rFonts w:ascii="Minion Pro" w:hAnsi="Minion Pro"/>
        </w:rPr>
        <w:t xml:space="preserve"> Part of the concerns here is that there </w:t>
      </w:r>
      <w:r w:rsidRPr="00A87225">
        <w:rPr>
          <w:rFonts w:ascii="Minion Pro" w:hAnsi="Minion Pro"/>
        </w:rPr>
        <w:t xml:space="preserve">doesn’t seem to be </w:t>
      </w:r>
      <w:r w:rsidR="00DF7FA0" w:rsidRPr="00A87225">
        <w:rPr>
          <w:rFonts w:ascii="Minion Pro" w:hAnsi="Minion Pro"/>
        </w:rPr>
        <w:t xml:space="preserve">suitably objective </w:t>
      </w:r>
      <w:r w:rsidRPr="00A87225">
        <w:rPr>
          <w:rFonts w:ascii="Minion Pro" w:hAnsi="Minion Pro"/>
        </w:rPr>
        <w:t xml:space="preserve">rational reason to think that the duty of care </w:t>
      </w:r>
      <w:r w:rsidR="007441E3" w:rsidRPr="00A87225">
        <w:rPr>
          <w:rFonts w:ascii="Minion Pro" w:hAnsi="Minion Pro"/>
        </w:rPr>
        <w:t>appropriate for ginger beer manufacturers should be any different from the duty of care appropr</w:t>
      </w:r>
      <w:r w:rsidR="00A76A02" w:rsidRPr="00A87225">
        <w:rPr>
          <w:rFonts w:ascii="Minion Pro" w:hAnsi="Minion Pro"/>
        </w:rPr>
        <w:t>ia</w:t>
      </w:r>
      <w:r w:rsidR="007441E3" w:rsidRPr="00A87225">
        <w:rPr>
          <w:rFonts w:ascii="Minion Pro" w:hAnsi="Minion Pro"/>
        </w:rPr>
        <w:t>te for lemonade manufacturers</w:t>
      </w:r>
      <w:r w:rsidR="00736BB5" w:rsidRPr="00A87225">
        <w:rPr>
          <w:rFonts w:ascii="Minion Pro" w:hAnsi="Minion Pro"/>
        </w:rPr>
        <w:t>.  Thus</w:t>
      </w:r>
      <w:r w:rsidR="007441E3" w:rsidRPr="00A87225">
        <w:rPr>
          <w:rFonts w:ascii="Minion Pro" w:hAnsi="Minion Pro"/>
        </w:rPr>
        <w:t xml:space="preserve"> a more compelling statement of </w:t>
      </w:r>
      <w:r w:rsidR="007441E3" w:rsidRPr="00A87225">
        <w:rPr>
          <w:rFonts w:ascii="Minion Pro" w:hAnsi="Minion Pro"/>
          <w:i/>
        </w:rPr>
        <w:t xml:space="preserve">Ratio </w:t>
      </w:r>
      <w:r w:rsidR="007441E3" w:rsidRPr="00A87225">
        <w:rPr>
          <w:rFonts w:ascii="Minion Pro" w:hAnsi="Minion Pro"/>
        </w:rPr>
        <w:t xml:space="preserve">would be the broader class of manufacturers of food and drink. </w:t>
      </w:r>
      <w:r w:rsidR="00736BB5" w:rsidRPr="00A87225">
        <w:rPr>
          <w:rFonts w:ascii="Minion Pro" w:hAnsi="Minion Pro"/>
        </w:rPr>
        <w:t xml:space="preserve"> </w:t>
      </w:r>
      <w:r w:rsidR="00593E68" w:rsidRPr="00A87225">
        <w:rPr>
          <w:rFonts w:ascii="Minion Pro" w:hAnsi="Minion Pro"/>
        </w:rPr>
        <w:t>At least, that is what I would</w:t>
      </w:r>
      <w:r w:rsidR="00736BB5" w:rsidRPr="00A87225">
        <w:rPr>
          <w:rFonts w:ascii="Minion Pro" w:hAnsi="Minion Pro"/>
        </w:rPr>
        <w:t xml:space="preserve"> attempt to</w:t>
      </w:r>
      <w:r w:rsidR="00593E68" w:rsidRPr="00A87225">
        <w:rPr>
          <w:rFonts w:ascii="Minion Pro" w:hAnsi="Minion Pro"/>
        </w:rPr>
        <w:t xml:space="preserve"> argue if I were defending a client who suffered emotional distress from drinking bad lemonade.</w:t>
      </w:r>
      <w:r w:rsidR="001503E8" w:rsidRPr="00A87225">
        <w:rPr>
          <w:rFonts w:ascii="Minion Pro" w:hAnsi="Minion Pro"/>
        </w:rPr>
        <w:t xml:space="preserve"> </w:t>
      </w:r>
    </w:p>
    <w:p w14:paraId="1576346F" w14:textId="50499CF2" w:rsidR="007441E3" w:rsidRPr="00A87225" w:rsidRDefault="00B1009A" w:rsidP="00B01978">
      <w:pPr>
        <w:spacing w:line="360" w:lineRule="auto"/>
        <w:rPr>
          <w:rFonts w:ascii="Minion Pro" w:hAnsi="Minion Pro"/>
          <w:b/>
        </w:rPr>
      </w:pPr>
      <w:r w:rsidRPr="00A87225">
        <w:rPr>
          <w:rFonts w:ascii="Minion Pro" w:hAnsi="Minion Pro"/>
          <w:b/>
        </w:rPr>
        <w:t>2.2</w:t>
      </w:r>
      <w:r w:rsidRPr="00A87225">
        <w:rPr>
          <w:rFonts w:ascii="Minion Pro" w:hAnsi="Minion Pro"/>
          <w:b/>
        </w:rPr>
        <w:tab/>
        <w:t>Generality</w:t>
      </w:r>
    </w:p>
    <w:p w14:paraId="1CEAB798" w14:textId="6104B52C" w:rsidR="00F03875" w:rsidRPr="00A87225" w:rsidRDefault="007441E3" w:rsidP="00B01978">
      <w:pPr>
        <w:spacing w:line="360" w:lineRule="auto"/>
        <w:rPr>
          <w:rFonts w:ascii="Minion Pro" w:hAnsi="Minion Pro"/>
        </w:rPr>
      </w:pPr>
      <w:r w:rsidRPr="00A87225">
        <w:rPr>
          <w:rFonts w:ascii="Minion Pro" w:hAnsi="Minion Pro"/>
        </w:rPr>
        <w:t>On the other hand</w:t>
      </w:r>
      <w:r w:rsidR="00681C2A" w:rsidRPr="00A87225">
        <w:rPr>
          <w:rFonts w:ascii="Minion Pro" w:hAnsi="Minion Pro"/>
        </w:rPr>
        <w:t>,</w:t>
      </w:r>
      <w:r w:rsidRPr="00A87225">
        <w:rPr>
          <w:rFonts w:ascii="Minion Pro" w:hAnsi="Minion Pro"/>
        </w:rPr>
        <w:t xml:space="preserve"> a broad statement of </w:t>
      </w:r>
      <w:r w:rsidRPr="00A87225">
        <w:rPr>
          <w:rFonts w:ascii="Minion Pro" w:hAnsi="Minion Pro"/>
          <w:i/>
        </w:rPr>
        <w:t xml:space="preserve">Ratio </w:t>
      </w:r>
      <w:r w:rsidRPr="00A87225">
        <w:rPr>
          <w:rFonts w:ascii="Minion Pro" w:hAnsi="Minion Pro"/>
        </w:rPr>
        <w:t xml:space="preserve">can be problematic in that </w:t>
      </w:r>
      <w:r w:rsidR="00736BB5" w:rsidRPr="00A87225">
        <w:rPr>
          <w:rFonts w:ascii="Minion Pro" w:hAnsi="Minion Pro"/>
        </w:rPr>
        <w:t xml:space="preserve">a larger range of cases would be expected to fall under it and as a result </w:t>
      </w:r>
      <w:r w:rsidRPr="00A87225">
        <w:rPr>
          <w:rFonts w:ascii="Minion Pro" w:hAnsi="Minion Pro"/>
        </w:rPr>
        <w:t>the courts may become overwhelmed hearing a vast range of cases.</w:t>
      </w:r>
      <w:r w:rsidR="007B4DE0" w:rsidRPr="00A87225">
        <w:rPr>
          <w:rFonts w:ascii="Minion Pro" w:hAnsi="Minion Pro"/>
        </w:rPr>
        <w:t xml:space="preserve">  For example, if the government did away with ACC tomorrow then the courts would swiftl</w:t>
      </w:r>
      <w:r w:rsidR="00A9072B" w:rsidRPr="00A87225">
        <w:rPr>
          <w:rFonts w:ascii="Minion Pro" w:hAnsi="Minion Pro"/>
        </w:rPr>
        <w:t xml:space="preserve">y become inundated by a seemingly </w:t>
      </w:r>
      <w:r w:rsidR="007B4DE0" w:rsidRPr="00A87225">
        <w:rPr>
          <w:rFonts w:ascii="Minion Pro" w:hAnsi="Minion Pro"/>
        </w:rPr>
        <w:t>endless succession of negligence cases.</w:t>
      </w:r>
      <w:r w:rsidR="00A9072B" w:rsidRPr="00A87225">
        <w:rPr>
          <w:rFonts w:ascii="Minion Pro" w:hAnsi="Minion Pro"/>
        </w:rPr>
        <w:t xml:space="preserve">  M</w:t>
      </w:r>
      <w:r w:rsidR="004E4EC6" w:rsidRPr="00A87225">
        <w:rPr>
          <w:rFonts w:ascii="Minion Pro" w:hAnsi="Minion Pro"/>
        </w:rPr>
        <w:t>edical practitioners and distri</w:t>
      </w:r>
      <w:r w:rsidR="00A9072B" w:rsidRPr="00A87225">
        <w:rPr>
          <w:rFonts w:ascii="Minion Pro" w:hAnsi="Minion Pro"/>
        </w:rPr>
        <w:t>ct health boards wouldn’t be able to continue to deliver whatever meagre health services the government has decided is appropriate for our nation as they’d be spending all their time attempting to justify their actions (or lack thereof) in court.</w:t>
      </w:r>
      <w:r w:rsidR="00AF46F3" w:rsidRPr="00A87225">
        <w:rPr>
          <w:rFonts w:ascii="Minion Pro" w:hAnsi="Minion Pro"/>
        </w:rPr>
        <w:t xml:space="preserve"> While these are</w:t>
      </w:r>
      <w:r w:rsidRPr="00A87225">
        <w:rPr>
          <w:rFonts w:ascii="Minion Pro" w:hAnsi="Minion Pro"/>
        </w:rPr>
        <w:t xml:space="preserve"> pragmatic concern there is also the </w:t>
      </w:r>
      <w:r w:rsidRPr="00A87225">
        <w:rPr>
          <w:rFonts w:ascii="Minion Pro" w:hAnsi="Minion Pro"/>
        </w:rPr>
        <w:lastRenderedPageBreak/>
        <w:t>theoretical concern tha</w:t>
      </w:r>
      <w:r w:rsidR="00593E68" w:rsidRPr="00A87225">
        <w:rPr>
          <w:rFonts w:ascii="Minion Pro" w:hAnsi="Minion Pro"/>
        </w:rPr>
        <w:t>t</w:t>
      </w:r>
      <w:r w:rsidRPr="00A87225">
        <w:rPr>
          <w:rFonts w:ascii="Minion Pro" w:hAnsi="Minion Pro"/>
        </w:rPr>
        <w:t xml:space="preserve"> what has gone wrong with a too broad statement of </w:t>
      </w:r>
      <w:r w:rsidRPr="00A87225">
        <w:rPr>
          <w:rFonts w:ascii="Minion Pro" w:hAnsi="Minion Pro"/>
          <w:i/>
        </w:rPr>
        <w:t xml:space="preserve">Ratio </w:t>
      </w:r>
      <w:r w:rsidRPr="00A87225">
        <w:rPr>
          <w:rFonts w:ascii="Minion Pro" w:hAnsi="Minion Pro"/>
        </w:rPr>
        <w:t>is that it fails to properly allow for differences in fact that seem material</w:t>
      </w:r>
      <w:r w:rsidR="00A76A02" w:rsidRPr="00A87225">
        <w:rPr>
          <w:rFonts w:ascii="Minion Pro" w:hAnsi="Minion Pro"/>
        </w:rPr>
        <w:t xml:space="preserve"> – that should be incorporated into the </w:t>
      </w:r>
      <w:r w:rsidR="00A76A02" w:rsidRPr="00A87225">
        <w:rPr>
          <w:rFonts w:ascii="Minion Pro" w:hAnsi="Minion Pro"/>
          <w:i/>
        </w:rPr>
        <w:t>issue / ratio</w:t>
      </w:r>
      <w:r w:rsidR="00A76A02" w:rsidRPr="00A87225">
        <w:rPr>
          <w:rFonts w:ascii="Minion Pro" w:hAnsi="Minion Pro"/>
        </w:rPr>
        <w:t xml:space="preserve"> decendendi of the case.</w:t>
      </w:r>
      <w:r w:rsidR="00593E68" w:rsidRPr="00A87225">
        <w:rPr>
          <w:rFonts w:ascii="Minion Pro" w:hAnsi="Minion Pro"/>
        </w:rPr>
        <w:t xml:space="preserve"> </w:t>
      </w:r>
      <w:r w:rsidR="004E4EC6" w:rsidRPr="00A87225">
        <w:rPr>
          <w:rFonts w:ascii="Minion Pro" w:hAnsi="Minion Pro"/>
        </w:rPr>
        <w:t xml:space="preserve">Clearly health is </w:t>
      </w:r>
      <w:r w:rsidR="004E4EC6" w:rsidRPr="00A87225">
        <w:rPr>
          <w:rFonts w:ascii="Minion Pro" w:hAnsi="Minion Pro"/>
          <w:i/>
        </w:rPr>
        <w:t>special</w:t>
      </w:r>
      <w:r w:rsidR="00DF7FA0" w:rsidRPr="00A87225">
        <w:rPr>
          <w:rFonts w:ascii="Minion Pro" w:hAnsi="Minion Pro"/>
          <w:i/>
        </w:rPr>
        <w:t>.</w:t>
      </w:r>
    </w:p>
    <w:p w14:paraId="6F5E618A" w14:textId="77777777" w:rsidR="00736BB5" w:rsidRPr="00A87225" w:rsidRDefault="00736BB5" w:rsidP="00B01978">
      <w:pPr>
        <w:spacing w:line="360" w:lineRule="auto"/>
        <w:rPr>
          <w:rFonts w:ascii="Minion Pro" w:hAnsi="Minion Pro"/>
        </w:rPr>
      </w:pPr>
    </w:p>
    <w:p w14:paraId="12D0EAE3" w14:textId="072235EE" w:rsidR="00736BB5" w:rsidRPr="00A87225" w:rsidRDefault="00736BB5" w:rsidP="00B01978">
      <w:pPr>
        <w:spacing w:line="360" w:lineRule="auto"/>
        <w:rPr>
          <w:rFonts w:ascii="Minion Pro" w:hAnsi="Minion Pro"/>
          <w:b/>
        </w:rPr>
      </w:pPr>
      <w:r w:rsidRPr="00A87225">
        <w:rPr>
          <w:rFonts w:ascii="Minion Pro" w:hAnsi="Minion Pro"/>
          <w:b/>
        </w:rPr>
        <w:t>Final Remarks</w:t>
      </w:r>
    </w:p>
    <w:p w14:paraId="73CFD4C3" w14:textId="2C7A0AFF" w:rsidR="00736BB5" w:rsidRDefault="00736BB5" w:rsidP="00B01978">
      <w:pPr>
        <w:spacing w:line="360" w:lineRule="auto"/>
        <w:rPr>
          <w:rFonts w:ascii="Minion Pro" w:hAnsi="Minion Pro"/>
        </w:rPr>
      </w:pPr>
      <w:r w:rsidRPr="00A87225">
        <w:rPr>
          <w:rFonts w:ascii="Minion Pro" w:hAnsi="Minion Pro"/>
        </w:rPr>
        <w:t xml:space="preserve">In sum, in deciding whether a broader or narrower statement of </w:t>
      </w:r>
      <w:r w:rsidRPr="00A87225">
        <w:rPr>
          <w:rFonts w:ascii="Minion Pro" w:hAnsi="Minion Pro"/>
          <w:i/>
        </w:rPr>
        <w:t xml:space="preserve">ratio </w:t>
      </w:r>
      <w:r w:rsidRPr="00A87225">
        <w:rPr>
          <w:rFonts w:ascii="Minion Pro" w:hAnsi="Minion Pro"/>
        </w:rPr>
        <w:t xml:space="preserve">is appropriate one must consider that there are trade-offs to be made either way.  One of the dangers in erring on the side of narrowness is that there may be the perception of unfairness insofar as something of an exception is being made for the present case.  One of the dangers in erring on the side of broadness is that significant differences between cases may be overlooked and the courts may become clogged with cases.  While experts may agree that certain statements of </w:t>
      </w:r>
      <w:r w:rsidRPr="00A87225">
        <w:rPr>
          <w:rFonts w:ascii="Minion Pro" w:hAnsi="Minion Pro"/>
          <w:i/>
        </w:rPr>
        <w:t xml:space="preserve">ratio </w:t>
      </w:r>
      <w:r w:rsidRPr="00A87225">
        <w:rPr>
          <w:rFonts w:ascii="Minion Pro" w:hAnsi="Minion Pro"/>
        </w:rPr>
        <w:t xml:space="preserve">are too broad, or too narrow, there is a space in between where (legitimate) cases can be made either way.  </w:t>
      </w:r>
      <w:r w:rsidR="00B1009A" w:rsidRPr="00A87225">
        <w:rPr>
          <w:rFonts w:ascii="Minion Pro" w:hAnsi="Minion Pro"/>
        </w:rPr>
        <w:t xml:space="preserve"> Whether or not there is irreducable indeterminacy in </w:t>
      </w:r>
      <w:r w:rsidR="00B1009A" w:rsidRPr="00A87225">
        <w:rPr>
          <w:rFonts w:ascii="Minion Pro" w:hAnsi="Minion Pro"/>
          <w:i/>
        </w:rPr>
        <w:t xml:space="preserve">ratio </w:t>
      </w:r>
      <w:r w:rsidR="00B1009A" w:rsidRPr="00A87225">
        <w:rPr>
          <w:rFonts w:ascii="Minion Pro" w:hAnsi="Minion Pro"/>
        </w:rPr>
        <w:t>may be something that is forever beyond our ken.</w:t>
      </w:r>
    </w:p>
    <w:p w14:paraId="67E57681" w14:textId="77777777" w:rsidR="00A87225" w:rsidRDefault="00A87225" w:rsidP="00B01978">
      <w:pPr>
        <w:spacing w:line="360" w:lineRule="auto"/>
        <w:rPr>
          <w:rFonts w:ascii="Minion Pro" w:hAnsi="Minion Pro"/>
        </w:rPr>
      </w:pPr>
    </w:p>
    <w:p w14:paraId="69001E9C" w14:textId="5F242AD7" w:rsidR="00A87225" w:rsidRPr="00A87225" w:rsidRDefault="00A87225" w:rsidP="00B01978">
      <w:pPr>
        <w:spacing w:line="360" w:lineRule="auto"/>
        <w:rPr>
          <w:rFonts w:ascii="Minion Pro" w:hAnsi="Minion Pro"/>
        </w:rPr>
      </w:pPr>
      <w:r>
        <w:rPr>
          <w:rFonts w:ascii="Minion Pro" w:hAnsi="Minion Pro"/>
        </w:rPr>
        <w:t>Word Count</w:t>
      </w:r>
      <w:bookmarkStart w:id="0" w:name="_GoBack"/>
      <w:bookmarkEnd w:id="0"/>
      <w:r>
        <w:rPr>
          <w:rFonts w:ascii="Minion Pro" w:hAnsi="Minion Pro"/>
        </w:rPr>
        <w:t>: 1,138 (Microsoft Word including headers and footnotes)</w:t>
      </w:r>
    </w:p>
    <w:p w14:paraId="41A5FD44" w14:textId="77777777" w:rsidR="00376A32" w:rsidRDefault="00376A32" w:rsidP="00B1009A">
      <w:pPr>
        <w:rPr>
          <w:sz w:val="24"/>
          <w:szCs w:val="24"/>
        </w:rPr>
      </w:pPr>
    </w:p>
    <w:p w14:paraId="26FA358F" w14:textId="77777777" w:rsidR="00A87225" w:rsidRPr="000079CC" w:rsidRDefault="00A87225" w:rsidP="00B1009A">
      <w:pPr>
        <w:rPr>
          <w:sz w:val="24"/>
          <w:szCs w:val="24"/>
        </w:rPr>
      </w:pPr>
    </w:p>
    <w:sectPr w:rsidR="00A87225" w:rsidRPr="000079CC">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D7CE0" w14:textId="77777777" w:rsidR="00A87225" w:rsidRDefault="00A87225" w:rsidP="000D7DC8">
      <w:pPr>
        <w:spacing w:after="0" w:line="240" w:lineRule="auto"/>
      </w:pPr>
      <w:r>
        <w:separator/>
      </w:r>
    </w:p>
  </w:endnote>
  <w:endnote w:type="continuationSeparator" w:id="0">
    <w:p w14:paraId="6763D882" w14:textId="77777777" w:rsidR="00A87225" w:rsidRDefault="00A87225" w:rsidP="000D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F792D" w14:textId="77777777" w:rsidR="00A87225" w:rsidRDefault="00A87225" w:rsidP="00A707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917A59" w14:textId="77777777" w:rsidR="00A87225" w:rsidRDefault="00A87225" w:rsidP="00A707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14DDE" w14:textId="77777777" w:rsidR="00A87225" w:rsidRDefault="00A87225" w:rsidP="00A707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6909">
      <w:rPr>
        <w:rStyle w:val="PageNumber"/>
        <w:noProof/>
      </w:rPr>
      <w:t>3</w:t>
    </w:r>
    <w:r>
      <w:rPr>
        <w:rStyle w:val="PageNumber"/>
      </w:rPr>
      <w:fldChar w:fldCharType="end"/>
    </w:r>
  </w:p>
  <w:p w14:paraId="7CEE9AB0" w14:textId="77777777" w:rsidR="00A87225" w:rsidRDefault="00A87225" w:rsidP="00A7073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1DFFD" w14:textId="77777777" w:rsidR="00A87225" w:rsidRDefault="00A87225" w:rsidP="000D7DC8">
      <w:pPr>
        <w:spacing w:after="0" w:line="240" w:lineRule="auto"/>
      </w:pPr>
      <w:r>
        <w:separator/>
      </w:r>
    </w:p>
  </w:footnote>
  <w:footnote w:type="continuationSeparator" w:id="0">
    <w:p w14:paraId="41856E8C" w14:textId="77777777" w:rsidR="00A87225" w:rsidRDefault="00A87225" w:rsidP="000D7DC8">
      <w:pPr>
        <w:spacing w:after="0" w:line="240" w:lineRule="auto"/>
      </w:pPr>
      <w:r>
        <w:continuationSeparator/>
      </w:r>
    </w:p>
  </w:footnote>
  <w:footnote w:id="1">
    <w:p w14:paraId="70B6FB2A" w14:textId="2262BB8D" w:rsidR="00A87225" w:rsidRPr="00A87225" w:rsidRDefault="00A87225" w:rsidP="00A87225">
      <w:pPr>
        <w:pStyle w:val="FootnoteText"/>
        <w:spacing w:line="360" w:lineRule="auto"/>
        <w:rPr>
          <w:rFonts w:ascii="Minion Pro" w:hAnsi="Minion Pro"/>
          <w:sz w:val="22"/>
          <w:szCs w:val="22"/>
          <w:lang w:val="en-US"/>
        </w:rPr>
      </w:pPr>
      <w:r w:rsidRPr="00A87225">
        <w:rPr>
          <w:rStyle w:val="FootnoteReference"/>
          <w:rFonts w:ascii="Minion Pro" w:hAnsi="Minion Pro"/>
          <w:sz w:val="22"/>
          <w:szCs w:val="22"/>
        </w:rPr>
        <w:footnoteRef/>
      </w:r>
      <w:r w:rsidRPr="00A87225">
        <w:rPr>
          <w:rFonts w:ascii="Minion Pro" w:hAnsi="Minion Pro"/>
          <w:sz w:val="22"/>
          <w:szCs w:val="22"/>
        </w:rPr>
        <w:t xml:space="preserve"> </w:t>
      </w:r>
      <w:r w:rsidRPr="00A87225">
        <w:rPr>
          <w:rFonts w:ascii="Minion Pro" w:hAnsi="Minion Pro"/>
          <w:sz w:val="22"/>
          <w:szCs w:val="22"/>
          <w:lang w:val="en-US"/>
        </w:rPr>
        <w:t xml:space="preserve">Of course one can worry about what the </w:t>
      </w:r>
      <w:r w:rsidRPr="00A87225">
        <w:rPr>
          <w:rFonts w:ascii="Minion Pro" w:hAnsi="Minion Pro"/>
          <w:i/>
          <w:sz w:val="22"/>
          <w:szCs w:val="22"/>
          <w:lang w:val="en-US"/>
        </w:rPr>
        <w:t xml:space="preserve">Ratio </w:t>
      </w:r>
      <w:r w:rsidRPr="00A87225">
        <w:rPr>
          <w:rFonts w:ascii="Minion Pro" w:hAnsi="Minion Pro"/>
          <w:sz w:val="22"/>
          <w:szCs w:val="22"/>
          <w:lang w:val="en-US"/>
        </w:rPr>
        <w:t xml:space="preserve">is really (aka all things considered, or from the point of view of ideal rationality).  This makes sense of the idea that the lawyers and / or the judge can be wrong in their attempt to capture the </w:t>
      </w:r>
      <w:r w:rsidRPr="00A87225">
        <w:rPr>
          <w:rFonts w:ascii="Minion Pro" w:hAnsi="Minion Pro"/>
          <w:i/>
          <w:sz w:val="22"/>
          <w:szCs w:val="22"/>
          <w:lang w:val="en-US"/>
        </w:rPr>
        <w:t>ratio.</w:t>
      </w:r>
      <w:r w:rsidRPr="00A87225">
        <w:rPr>
          <w:rFonts w:ascii="Minion Pro" w:hAnsi="Minion Pro"/>
          <w:sz w:val="22"/>
          <w:szCs w:val="22"/>
          <w:lang w:val="en-US"/>
        </w:rPr>
        <w:t xml:space="preserve">  Of course legal scholars might be thought to be one step removed from the process and in a better position to arrive at an ideal judgment.  Ideal rationality (God?) might be thought to be further removed again insofar as </w:t>
      </w:r>
      <w:proofErr w:type="gramStart"/>
      <w:r w:rsidRPr="00A87225">
        <w:rPr>
          <w:rFonts w:ascii="Minion Pro" w:hAnsi="Minion Pro"/>
          <w:sz w:val="22"/>
          <w:szCs w:val="22"/>
          <w:lang w:val="en-US"/>
        </w:rPr>
        <w:t>ideal rationality isn’t bounded by finite cognitive resources of mere mortals</w:t>
      </w:r>
      <w:proofErr w:type="gramEnd"/>
      <w:r w:rsidRPr="00A87225">
        <w:rPr>
          <w:rFonts w:ascii="Minion Pro" w:hAnsi="Minion Pro"/>
          <w:sz w:val="22"/>
          <w:szCs w:val="22"/>
          <w:lang w:val="en-US"/>
        </w:rPr>
        <w:t>.</w:t>
      </w:r>
    </w:p>
  </w:footnote>
  <w:footnote w:id="2">
    <w:p w14:paraId="0FAECC8B" w14:textId="204A2139" w:rsidR="00A87225" w:rsidRPr="00A87225" w:rsidRDefault="00A87225" w:rsidP="00A87225">
      <w:pPr>
        <w:pStyle w:val="FootnoteText"/>
        <w:spacing w:line="360" w:lineRule="auto"/>
        <w:rPr>
          <w:rFonts w:ascii="Minion Pro" w:hAnsi="Minion Pro"/>
          <w:sz w:val="22"/>
          <w:szCs w:val="22"/>
          <w:lang w:val="en-US"/>
        </w:rPr>
      </w:pPr>
      <w:r w:rsidRPr="00A87225">
        <w:rPr>
          <w:rStyle w:val="FootnoteReference"/>
          <w:rFonts w:ascii="Minion Pro" w:hAnsi="Minion Pro"/>
          <w:sz w:val="22"/>
          <w:szCs w:val="22"/>
        </w:rPr>
        <w:footnoteRef/>
      </w:r>
      <w:r w:rsidRPr="00A87225">
        <w:rPr>
          <w:rFonts w:ascii="Minion Pro" w:hAnsi="Minion Pro"/>
          <w:sz w:val="22"/>
          <w:szCs w:val="22"/>
        </w:rPr>
        <w:t xml:space="preserve"> </w:t>
      </w:r>
      <w:r w:rsidRPr="00A87225">
        <w:rPr>
          <w:rFonts w:ascii="Minion Pro" w:hAnsi="Minion Pro"/>
          <w:sz w:val="22"/>
          <w:szCs w:val="22"/>
        </w:rPr>
        <w:t xml:space="preserve">Goedal’s theorum may have application insofar as there may be facts about </w:t>
      </w:r>
      <w:r w:rsidRPr="00A87225">
        <w:rPr>
          <w:rFonts w:ascii="Minion Pro" w:hAnsi="Minion Pro"/>
          <w:i/>
          <w:sz w:val="22"/>
          <w:szCs w:val="22"/>
        </w:rPr>
        <w:t xml:space="preserve">ratios </w:t>
      </w:r>
      <w:r w:rsidRPr="00A87225">
        <w:rPr>
          <w:rFonts w:ascii="Minion Pro" w:hAnsi="Minion Pro"/>
          <w:sz w:val="22"/>
          <w:szCs w:val="22"/>
        </w:rPr>
        <w:t xml:space="preserve">that are grounded in rationality / logic / mathematics that are not provable from within the legal system / by appeal to legal reasons.  It may be the case that from the perspective of the lawyers and judges there are cases where </w:t>
      </w:r>
      <w:r w:rsidRPr="00A87225">
        <w:rPr>
          <w:rFonts w:ascii="Minion Pro" w:hAnsi="Minion Pro"/>
          <w:i/>
          <w:sz w:val="22"/>
          <w:szCs w:val="22"/>
        </w:rPr>
        <w:t xml:space="preserve">ratios </w:t>
      </w:r>
      <w:r w:rsidRPr="00A87225">
        <w:rPr>
          <w:rFonts w:ascii="Minion Pro" w:hAnsi="Minion Pro"/>
          <w:sz w:val="22"/>
          <w:szCs w:val="22"/>
        </w:rPr>
        <w:t xml:space="preserve">seem indeterminate </w:t>
      </w:r>
      <w:r w:rsidRPr="00A87225">
        <w:rPr>
          <w:rFonts w:ascii="Minion Pro" w:hAnsi="Minion Pro"/>
          <w:i/>
          <w:sz w:val="22"/>
          <w:szCs w:val="22"/>
        </w:rPr>
        <w:t xml:space="preserve">for all they know </w:t>
      </w:r>
      <w:r w:rsidRPr="00A87225">
        <w:rPr>
          <w:rFonts w:ascii="Minion Pro" w:hAnsi="Minion Pro"/>
          <w:sz w:val="22"/>
          <w:szCs w:val="22"/>
        </w:rPr>
        <w:t xml:space="preserve">but where there are facts about </w:t>
      </w:r>
      <w:r w:rsidRPr="00A87225">
        <w:rPr>
          <w:rFonts w:ascii="Minion Pro" w:hAnsi="Minion Pro"/>
          <w:i/>
          <w:sz w:val="22"/>
          <w:szCs w:val="22"/>
        </w:rPr>
        <w:t xml:space="preserve">ratio </w:t>
      </w:r>
      <w:r w:rsidRPr="00A87225">
        <w:rPr>
          <w:rFonts w:ascii="Minion Pro" w:hAnsi="Minion Pro"/>
          <w:sz w:val="22"/>
          <w:szCs w:val="22"/>
        </w:rPr>
        <w:t>that determine it that are unknown to them.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A179D"/>
    <w:multiLevelType w:val="hybridMultilevel"/>
    <w:tmpl w:val="4C4A27C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DC8"/>
    <w:rsid w:val="000009F7"/>
    <w:rsid w:val="000079CC"/>
    <w:rsid w:val="00025539"/>
    <w:rsid w:val="00044491"/>
    <w:rsid w:val="00064B68"/>
    <w:rsid w:val="000658BA"/>
    <w:rsid w:val="00086DD3"/>
    <w:rsid w:val="000B1116"/>
    <w:rsid w:val="000D7DC8"/>
    <w:rsid w:val="000F5ABB"/>
    <w:rsid w:val="001062AF"/>
    <w:rsid w:val="00125126"/>
    <w:rsid w:val="001503E8"/>
    <w:rsid w:val="0015222E"/>
    <w:rsid w:val="001A3205"/>
    <w:rsid w:val="001B1329"/>
    <w:rsid w:val="001B1A9F"/>
    <w:rsid w:val="002A7C89"/>
    <w:rsid w:val="002D6BBF"/>
    <w:rsid w:val="003211A3"/>
    <w:rsid w:val="003211DB"/>
    <w:rsid w:val="003333C2"/>
    <w:rsid w:val="00371736"/>
    <w:rsid w:val="00376A32"/>
    <w:rsid w:val="003A401A"/>
    <w:rsid w:val="003C4A64"/>
    <w:rsid w:val="003D07C5"/>
    <w:rsid w:val="003D25AD"/>
    <w:rsid w:val="00404739"/>
    <w:rsid w:val="00451E99"/>
    <w:rsid w:val="004678A4"/>
    <w:rsid w:val="004A35BC"/>
    <w:rsid w:val="004D4BBF"/>
    <w:rsid w:val="004D7330"/>
    <w:rsid w:val="004E0EE1"/>
    <w:rsid w:val="004E4EC6"/>
    <w:rsid w:val="00502092"/>
    <w:rsid w:val="00510318"/>
    <w:rsid w:val="00521201"/>
    <w:rsid w:val="00526C75"/>
    <w:rsid w:val="005374A3"/>
    <w:rsid w:val="005501EA"/>
    <w:rsid w:val="00593E68"/>
    <w:rsid w:val="005A786E"/>
    <w:rsid w:val="005C22EF"/>
    <w:rsid w:val="005C6CDB"/>
    <w:rsid w:val="00681C2A"/>
    <w:rsid w:val="006D11AF"/>
    <w:rsid w:val="00736BB5"/>
    <w:rsid w:val="007441E3"/>
    <w:rsid w:val="007A5DFD"/>
    <w:rsid w:val="007B4DE0"/>
    <w:rsid w:val="007C4D65"/>
    <w:rsid w:val="007D75D4"/>
    <w:rsid w:val="007F1C02"/>
    <w:rsid w:val="007F5FDB"/>
    <w:rsid w:val="00893B6C"/>
    <w:rsid w:val="008C6909"/>
    <w:rsid w:val="008E3C49"/>
    <w:rsid w:val="009301DF"/>
    <w:rsid w:val="009513CE"/>
    <w:rsid w:val="009A0B11"/>
    <w:rsid w:val="009E40E0"/>
    <w:rsid w:val="009F390B"/>
    <w:rsid w:val="00A12DEF"/>
    <w:rsid w:val="00A70735"/>
    <w:rsid w:val="00A76A02"/>
    <w:rsid w:val="00A87225"/>
    <w:rsid w:val="00A9072B"/>
    <w:rsid w:val="00AB33CE"/>
    <w:rsid w:val="00AE316E"/>
    <w:rsid w:val="00AF46F3"/>
    <w:rsid w:val="00B01978"/>
    <w:rsid w:val="00B1009A"/>
    <w:rsid w:val="00B36CF9"/>
    <w:rsid w:val="00B768D5"/>
    <w:rsid w:val="00B76C4A"/>
    <w:rsid w:val="00B81212"/>
    <w:rsid w:val="00BB5D5F"/>
    <w:rsid w:val="00C1686A"/>
    <w:rsid w:val="00C249AF"/>
    <w:rsid w:val="00C345A4"/>
    <w:rsid w:val="00C528E9"/>
    <w:rsid w:val="00C57490"/>
    <w:rsid w:val="00CC5306"/>
    <w:rsid w:val="00CD1E35"/>
    <w:rsid w:val="00D058D4"/>
    <w:rsid w:val="00D14E4E"/>
    <w:rsid w:val="00D16CA4"/>
    <w:rsid w:val="00D7321D"/>
    <w:rsid w:val="00D84046"/>
    <w:rsid w:val="00DC287F"/>
    <w:rsid w:val="00DC4A2E"/>
    <w:rsid w:val="00DC65EC"/>
    <w:rsid w:val="00DD09AA"/>
    <w:rsid w:val="00DF7FA0"/>
    <w:rsid w:val="00E0697D"/>
    <w:rsid w:val="00E634EA"/>
    <w:rsid w:val="00E63C42"/>
    <w:rsid w:val="00ED00C4"/>
    <w:rsid w:val="00EE0AEA"/>
    <w:rsid w:val="00EF2279"/>
    <w:rsid w:val="00F03875"/>
    <w:rsid w:val="00F31F7A"/>
    <w:rsid w:val="00F662BE"/>
    <w:rsid w:val="00FD68A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06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D7DC8"/>
    <w:pPr>
      <w:spacing w:after="0" w:line="240" w:lineRule="auto"/>
    </w:pPr>
    <w:rPr>
      <w:sz w:val="20"/>
      <w:szCs w:val="20"/>
    </w:rPr>
  </w:style>
  <w:style w:type="character" w:customStyle="1" w:styleId="FootnoteTextChar">
    <w:name w:val="Footnote Text Char"/>
    <w:basedOn w:val="DefaultParagraphFont"/>
    <w:link w:val="FootnoteText"/>
    <w:uiPriority w:val="99"/>
    <w:rsid w:val="000D7DC8"/>
    <w:rPr>
      <w:sz w:val="20"/>
      <w:szCs w:val="20"/>
    </w:rPr>
  </w:style>
  <w:style w:type="character" w:styleId="FootnoteReference">
    <w:name w:val="footnote reference"/>
    <w:basedOn w:val="DefaultParagraphFont"/>
    <w:uiPriority w:val="99"/>
    <w:unhideWhenUsed/>
    <w:rsid w:val="000D7DC8"/>
    <w:rPr>
      <w:vertAlign w:val="superscript"/>
    </w:rPr>
  </w:style>
  <w:style w:type="paragraph" w:styleId="ListParagraph">
    <w:name w:val="List Paragraph"/>
    <w:basedOn w:val="Normal"/>
    <w:uiPriority w:val="34"/>
    <w:qFormat/>
    <w:rsid w:val="000D7DC8"/>
    <w:pPr>
      <w:ind w:left="720"/>
      <w:contextualSpacing/>
    </w:pPr>
  </w:style>
  <w:style w:type="paragraph" w:styleId="Footer">
    <w:name w:val="footer"/>
    <w:basedOn w:val="Normal"/>
    <w:link w:val="FooterChar"/>
    <w:uiPriority w:val="99"/>
    <w:unhideWhenUsed/>
    <w:rsid w:val="00A7073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0735"/>
  </w:style>
  <w:style w:type="character" w:styleId="PageNumber">
    <w:name w:val="page number"/>
    <w:basedOn w:val="DefaultParagraphFont"/>
    <w:uiPriority w:val="99"/>
    <w:semiHidden/>
    <w:unhideWhenUsed/>
    <w:rsid w:val="00A707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D7DC8"/>
    <w:pPr>
      <w:spacing w:after="0" w:line="240" w:lineRule="auto"/>
    </w:pPr>
    <w:rPr>
      <w:sz w:val="20"/>
      <w:szCs w:val="20"/>
    </w:rPr>
  </w:style>
  <w:style w:type="character" w:customStyle="1" w:styleId="FootnoteTextChar">
    <w:name w:val="Footnote Text Char"/>
    <w:basedOn w:val="DefaultParagraphFont"/>
    <w:link w:val="FootnoteText"/>
    <w:uiPriority w:val="99"/>
    <w:rsid w:val="000D7DC8"/>
    <w:rPr>
      <w:sz w:val="20"/>
      <w:szCs w:val="20"/>
    </w:rPr>
  </w:style>
  <w:style w:type="character" w:styleId="FootnoteReference">
    <w:name w:val="footnote reference"/>
    <w:basedOn w:val="DefaultParagraphFont"/>
    <w:uiPriority w:val="99"/>
    <w:unhideWhenUsed/>
    <w:rsid w:val="000D7DC8"/>
    <w:rPr>
      <w:vertAlign w:val="superscript"/>
    </w:rPr>
  </w:style>
  <w:style w:type="paragraph" w:styleId="ListParagraph">
    <w:name w:val="List Paragraph"/>
    <w:basedOn w:val="Normal"/>
    <w:uiPriority w:val="34"/>
    <w:qFormat/>
    <w:rsid w:val="000D7DC8"/>
    <w:pPr>
      <w:ind w:left="720"/>
      <w:contextualSpacing/>
    </w:pPr>
  </w:style>
  <w:style w:type="paragraph" w:styleId="Footer">
    <w:name w:val="footer"/>
    <w:basedOn w:val="Normal"/>
    <w:link w:val="FooterChar"/>
    <w:uiPriority w:val="99"/>
    <w:unhideWhenUsed/>
    <w:rsid w:val="00A7073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0735"/>
  </w:style>
  <w:style w:type="character" w:styleId="PageNumber">
    <w:name w:val="page number"/>
    <w:basedOn w:val="DefaultParagraphFont"/>
    <w:uiPriority w:val="99"/>
    <w:semiHidden/>
    <w:unhideWhenUsed/>
    <w:rsid w:val="00A7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983</Words>
  <Characters>4655</Characters>
  <Application>Microsoft Macintosh Word</Application>
  <DocSecurity>0</DocSecurity>
  <Lines>81</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Penk</dc:creator>
  <cp:lastModifiedBy>Kelly Alexandra Roe</cp:lastModifiedBy>
  <cp:revision>12</cp:revision>
  <cp:lastPrinted>2015-09-29T23:36:00Z</cp:lastPrinted>
  <dcterms:created xsi:type="dcterms:W3CDTF">2015-08-11T03:13:00Z</dcterms:created>
  <dcterms:modified xsi:type="dcterms:W3CDTF">2015-09-29T23:44:00Z</dcterms:modified>
</cp:coreProperties>
</file>