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 xml:space="preserve">Roles &amp; Responsibilities: Producers, Consumers, and the Data Fabric</w:t>
      </w:r>
    </w:p>
    <w:p>
      <w:pPr>
        <w:spacing w:after="80"/>
        <w:jc w:val="center"/>
      </w:pPr>
      <w:r>
        <w:rPr>
          <w:i/>
          <w:iCs/>
          <w:color w:val="595959"/>
          <w:sz w:val="18"/>
          <w:szCs w:val="18"/>
        </w:rPr>
        <w:t xml:space="preserve">A one-page summary of accountabilities within a contract-driven data platform</w:t>
      </w:r>
    </w:p>
    <w:p>
      <w:pPr>
        <w:pBdr>
          <w:bottom w:val="single" w:color="2E75B6" w:sz="6" w:space="1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Data Producers</w:t>
      </w:r>
    </w:p>
    <w:p>
      <w:pPr>
        <w:spacing w:after="40"/>
      </w:pPr>
      <w:r>
        <w:rPr>
          <w:i/>
          <w:iCs/>
          <w:sz w:val="18"/>
          <w:szCs w:val="18"/>
        </w:rPr>
        <w:t xml:space="preserve">Source system or domain teams that publish data into the platform. Accountable for the data they create.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Define the contract:</w:t>
      </w:r>
      <w:r>
        <w:t xml:space="preserve"> publish and version a data contract describing the schema, semantics, owner, and quality expectations for every dataset they expose.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Manage change responsibly:</w:t>
      </w:r>
      <w:r>
        <w:t xml:space="preserve"> warn consumers ahead of breaking changes through deprecation windows, and follow the agreed change-management process.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Own data quality:</w:t>
      </w:r>
      <w:r>
        <w:t xml:space="preserve"> monitor data against the SLAs in their contract (freshness, completeness, accuracy) and triage incidents at source.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Provide metadata:</w:t>
      </w:r>
      <w:r>
        <w:t xml:space="preserve"> describe lineage, sensitivity classification, and business glossary terms so the data is discoverable and compliant.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Be the subject-matter authority:</w:t>
      </w:r>
      <w:r>
        <w:t xml:space="preserve"> act as the named point of contact for questions, incidents, and access requests for their domain.</w:t>
      </w:r>
    </w:p>
    <w:p>
      <w:pPr>
        <w:pBdr>
          <w:bottom w:val="single" w:color="2E75B6" w:sz="6" w:space="1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Data Consumers</w:t>
      </w:r>
    </w:p>
    <w:p>
      <w:pPr>
        <w:spacing w:after="40"/>
      </w:pPr>
      <w:r>
        <w:rPr>
          <w:i/>
          <w:iCs/>
          <w:sz w:val="18"/>
          <w:szCs w:val="18"/>
        </w:rPr>
        <w:t xml:space="preserve">Analysts, data scientists, application teams, and downstream products that read from the platform.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Consume via contract:</w:t>
      </w:r>
      <w:r>
        <w:t xml:space="preserve"> subscribe to a versioned data contract rather than directly coupling to a producer's underlying system.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Declare intent:</w:t>
      </w:r>
      <w:r>
        <w:t xml:space="preserve"> describe how the data will be used so producers and stewards can assess fit, sensitivity, and risk.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Adapt to change:</w:t>
      </w:r>
      <w:r>
        <w:t xml:space="preserve"> test against contract changes early in pre-production environments and migrate before deprecation deadlines.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Don't redistribute:</w:t>
      </w:r>
      <w:r>
        <w:t xml:space="preserve"> avoid silent re-publishing of producer data; if they create a new dataset, they become a producer with full obligations.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Provide feedback:</w:t>
      </w:r>
      <w:r>
        <w:t xml:space="preserve"> flag suspected quality issues, gaps, or contract violations through the agreed incident channel.</w:t>
      </w:r>
    </w:p>
    <w:p>
      <w:pPr>
        <w:pBdr>
          <w:bottom w:val="single" w:color="2E75B6" w:sz="6" w:space="1"/>
        </w:pBdr>
        <w:spacing w:after="60" w:before="140"/>
      </w:pPr>
      <w:r>
        <w:rPr>
          <w:b/>
          <w:bCs/>
          <w:color w:val="1F3864"/>
          <w:sz w:val="24"/>
          <w:szCs w:val="24"/>
        </w:rPr>
        <w:t xml:space="preserve">The Data Fabric</w:t>
      </w:r>
    </w:p>
    <w:p>
      <w:pPr>
        <w:spacing w:after="40"/>
      </w:pPr>
      <w:r>
        <w:rPr>
          <w:i/>
          <w:iCs/>
          <w:sz w:val="18"/>
          <w:szCs w:val="18"/>
        </w:rPr>
        <w:t xml:space="preserve">The platform team and shared technology that connects producers and consumers and enforces the operating model.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Run the contract registry:</w:t>
      </w:r>
      <w:r>
        <w:t xml:space="preserve"> provide the tooling for registering, versioning, and validating contracts as a first-class artefact.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Operate shared services:</w:t>
      </w:r>
      <w:r>
        <w:t xml:space="preserve"> automate ingestion, transformation, access control, observability, and lineage so producers and consumers do not reinvent plumbing.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Enforce the rules:</w:t>
      </w:r>
      <w:r>
        <w:t xml:space="preserve"> block deployments that breach contracts and surface SLA breaches to the right owner without manual chasing.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Enable discovery:</w:t>
      </w:r>
      <w:r>
        <w:t xml:space="preserve"> offer a searchable catalogue, common identity model, and consistent access patterns so data is findable and trusted.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</w:rPr>
        <w:t xml:space="preserve">Govern the platform:</w:t>
      </w:r>
      <w:r>
        <w:t xml:space="preserve"> steward the operating model itself: standards, RACI, escalation paths, and the evolution of the contract framework.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2026-05-07T21:09:03.411Z</dcterms:created>
  <dcterms:modified xsi:type="dcterms:W3CDTF">2026-05-07T21:09:03.411Z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