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8AE524" w14:textId="77777777" w:rsidR="000202A0" w:rsidRDefault="00000000">
      <w:pPr>
        <w:spacing w:after="40"/>
      </w:pPr>
      <w:r>
        <w:rPr>
          <w:rFonts w:ascii="Palatino Linotype" w:eastAsia="Palatino Linotype" w:hAnsi="Palatino Linotype" w:cs="Palatino Linotype"/>
          <w:sz w:val="18"/>
          <w:szCs w:val="18"/>
        </w:rPr>
        <w:t>Article</w:t>
      </w:r>
    </w:p>
    <w:p w14:paraId="5E855C82" w14:textId="77777777" w:rsidR="000202A0" w:rsidRDefault="00000000">
      <w:pPr>
        <w:spacing w:after="120"/>
      </w:pPr>
      <w:r>
        <w:rPr>
          <w:rFonts w:ascii="Palatino Linotype" w:eastAsia="Palatino Linotype" w:hAnsi="Palatino Linotype" w:cs="Palatino Linotype"/>
          <w:b/>
          <w:bCs/>
          <w:sz w:val="26"/>
          <w:szCs w:val="26"/>
        </w:rPr>
        <w:t>A Marcel-Style Projection System for the Korean Baseball Organization</w:t>
      </w:r>
    </w:p>
    <w:p w14:paraId="3D3ADD8A" w14:textId="4BD54C22" w:rsidR="000202A0" w:rsidRDefault="00000000">
      <w:pPr>
        <w:spacing w:after="80"/>
      </w:pPr>
      <w:r>
        <w:rPr>
          <w:rFonts w:ascii="Palatino Linotype" w:eastAsia="Palatino Linotype" w:hAnsi="Palatino Linotype" w:cs="Palatino Linotype"/>
          <w:sz w:val="18"/>
          <w:szCs w:val="18"/>
        </w:rPr>
        <w:t>Kelly Todhunter</w:t>
      </w:r>
      <w:r>
        <w:rPr>
          <w:rFonts w:ascii="Palatino Linotype" w:eastAsia="Palatino Linotype" w:hAnsi="Palatino Linotype" w:cs="Palatino Linotype"/>
          <w:sz w:val="14"/>
          <w:szCs w:val="14"/>
          <w:vertAlign w:val="superscript"/>
        </w:rPr>
        <w:t>1</w:t>
      </w:r>
    </w:p>
    <w:p w14:paraId="5FFBA6C6" w14:textId="0174D97C" w:rsidR="000C43D9" w:rsidRDefault="000C43D9" w:rsidP="000C43D9">
      <w:pPr>
        <w:spacing w:after="40"/>
      </w:pPr>
      <w:r>
        <w:rPr>
          <w:rFonts w:ascii="Palatino Linotype" w:eastAsia="Palatino Linotype" w:hAnsi="Palatino Linotype" w:cs="Palatino Linotype"/>
          <w:sz w:val="14"/>
          <w:szCs w:val="14"/>
          <w:vertAlign w:val="superscript"/>
        </w:rPr>
        <w:t xml:space="preserve"> </w:t>
      </w:r>
      <w:r>
        <w:rPr>
          <w:rFonts w:ascii="Palatino Linotype" w:eastAsia="Palatino Linotype" w:hAnsi="Palatino Linotype" w:cs="Palatino Linotype"/>
          <w:sz w:val="18"/>
          <w:szCs w:val="18"/>
        </w:rPr>
        <w:t xml:space="preserve">Chapman University; </w:t>
      </w:r>
      <w:hyperlink r:id="rId8" w:history="1">
        <w:r w:rsidRPr="00BE44A1">
          <w:rPr>
            <w:rStyle w:val="Hyperlink"/>
            <w:rFonts w:ascii="Palatino Linotype" w:eastAsia="Palatino Linotype" w:hAnsi="Palatino Linotype" w:cs="Palatino Linotype"/>
            <w:sz w:val="18"/>
            <w:szCs w:val="18"/>
          </w:rPr>
          <w:t>kellytodhunter@gmail.com</w:t>
        </w:r>
      </w:hyperlink>
    </w:p>
    <w:p w14:paraId="61BC5A8A" w14:textId="77777777" w:rsidR="000C43D9" w:rsidRDefault="000C43D9" w:rsidP="000C43D9">
      <w:pPr>
        <w:spacing w:after="40"/>
      </w:pPr>
    </w:p>
    <w:p w14:paraId="5A5974CB" w14:textId="4F4A38E9" w:rsidR="000202A0" w:rsidRDefault="00000000" w:rsidP="000C43D9">
      <w:pPr>
        <w:spacing w:after="40"/>
      </w:pPr>
      <w:r>
        <w:rPr>
          <w:rFonts w:ascii="Palatino Linotype" w:eastAsia="Palatino Linotype" w:hAnsi="Palatino Linotype" w:cs="Palatino Linotype"/>
          <w:b/>
          <w:bCs/>
          <w:sz w:val="18"/>
          <w:szCs w:val="18"/>
        </w:rPr>
        <w:t xml:space="preserve">Abstract: </w:t>
      </w:r>
      <w:r>
        <w:rPr>
          <w:rFonts w:ascii="Palatino Linotype" w:eastAsia="Palatino Linotype" w:hAnsi="Palatino Linotype" w:cs="Palatino Linotype"/>
          <w:sz w:val="18"/>
          <w:szCs w:val="18"/>
        </w:rPr>
        <w:t xml:space="preserve">The Korean Baseball Organization (KBO) lacks dedicated statistical projection infrastructure despite leading the adoption of automated officiating technology. This paper introduces the first Marcel-style player projection system calibrated entirely on KBO data. Using Statiz records from the 2016–2025 seasons, we apply empirical Bayes regression to the mean, delta-method aging curves, and 5/4/3 multi-year weighted projections to 160 qualified hitters (PA ≥ 300). Cross-validation reveals an optimal regression coefficient of m ≈ 1 for all five hitter statistics, indicating that qualified KBO starters require minimal shrinkage. In a temporal backtest across four held-out seasons (2021–2024), Marcel outperforms both naive baselines on mean absolute error </w:t>
      </w:r>
      <w:r w:rsidR="006A7A14">
        <w:rPr>
          <w:rFonts w:ascii="Palatino Linotype" w:eastAsia="Palatino Linotype" w:hAnsi="Palatino Linotype" w:cs="Palatino Linotype"/>
          <w:sz w:val="18"/>
          <w:szCs w:val="18"/>
        </w:rPr>
        <w:t xml:space="preserve">across most backtest years </w:t>
      </w:r>
      <w:r>
        <w:rPr>
          <w:rFonts w:ascii="Palatino Linotype" w:eastAsia="Palatino Linotype" w:hAnsi="Palatino Linotype" w:cs="Palatino Linotype"/>
          <w:sz w:val="18"/>
          <w:szCs w:val="18"/>
        </w:rPr>
        <w:t xml:space="preserve">for wOBA, ISO, and HR%, with each model component (multi-year weighting; age adjustment) independently contributing approximately +0.009 Pearson r on wOBA. Pre-season 2026 projections achieved a </w:t>
      </w:r>
      <w:r w:rsidR="006A7A14">
        <w:rPr>
          <w:rFonts w:ascii="Palatino Linotype" w:eastAsia="Palatino Linotype" w:hAnsi="Palatino Linotype" w:cs="Palatino Linotype"/>
          <w:sz w:val="18"/>
          <w:szCs w:val="18"/>
        </w:rPr>
        <w:t xml:space="preserve">Pearson r of 0.587 and a </w:t>
      </w:r>
      <w:r>
        <w:rPr>
          <w:rFonts w:ascii="Palatino Linotype" w:eastAsia="Palatino Linotype" w:hAnsi="Palatino Linotype" w:cs="Palatino Linotype"/>
          <w:sz w:val="18"/>
          <w:szCs w:val="18"/>
        </w:rPr>
        <w:t>Spearman rank correlation of ρ = 0.688 (p = 0.007) against mid-season outcomes for 14 matched hitters, confirming prospective validity. This system provides a transparent, reproducible framework for player valuation and roster decisions in Korean professional baseball.</w:t>
      </w:r>
    </w:p>
    <w:p w14:paraId="34E27E31" w14:textId="77777777" w:rsidR="000202A0" w:rsidRDefault="00000000">
      <w:pPr>
        <w:spacing w:after="120"/>
        <w:jc w:val="both"/>
      </w:pPr>
      <w:r>
        <w:rPr>
          <w:rFonts w:ascii="Palatino Linotype" w:eastAsia="Palatino Linotype" w:hAnsi="Palatino Linotype" w:cs="Palatino Linotype"/>
          <w:b/>
          <w:bCs/>
          <w:sz w:val="18"/>
          <w:szCs w:val="18"/>
        </w:rPr>
        <w:t xml:space="preserve">Keywords: </w:t>
      </w:r>
      <w:r>
        <w:rPr>
          <w:rFonts w:ascii="Palatino Linotype" w:eastAsia="Palatino Linotype" w:hAnsi="Palatino Linotype" w:cs="Palatino Linotype"/>
          <w:sz w:val="18"/>
          <w:szCs w:val="18"/>
        </w:rPr>
        <w:t>KBO; Marcel projection; sabermetrics; aging curves; empirical Bayes; baseball analytics</w:t>
      </w:r>
    </w:p>
    <w:p w14:paraId="700FED99" w14:textId="77777777" w:rsidR="000202A0" w:rsidRDefault="000202A0">
      <w:pPr>
        <w:pBdr>
          <w:bottom w:val="single" w:sz="4" w:space="1" w:color="000000"/>
        </w:pBdr>
        <w:spacing w:after="200"/>
      </w:pPr>
    </w:p>
    <w:p w14:paraId="2E1AF195" w14:textId="77777777" w:rsidR="000202A0" w:rsidRDefault="00000000">
      <w:pPr>
        <w:spacing w:before="200" w:after="160"/>
      </w:pPr>
      <w:r>
        <w:rPr>
          <w:rFonts w:ascii="Palatino Linotype" w:eastAsia="Palatino Linotype" w:hAnsi="Palatino Linotype" w:cs="Palatino Linotype"/>
          <w:b/>
          <w:bCs/>
        </w:rPr>
        <w:t>1. Introduction</w:t>
      </w:r>
    </w:p>
    <w:p w14:paraId="5AB2A34A" w14:textId="77777777" w:rsidR="000202A0" w:rsidRDefault="00000000">
      <w:pPr>
        <w:spacing w:after="80"/>
        <w:ind w:firstLine="431"/>
        <w:jc w:val="both"/>
      </w:pPr>
      <w:r>
        <w:rPr>
          <w:rFonts w:ascii="Palatino Linotype" w:eastAsia="Palatino Linotype" w:hAnsi="Palatino Linotype" w:cs="Palatino Linotype"/>
          <w:color w:val="000000"/>
          <w:sz w:val="18"/>
          <w:szCs w:val="18"/>
        </w:rPr>
        <w:t xml:space="preserve">Many advanced sabermetric systems have been applied to baseball </w:t>
      </w:r>
      <w:proofErr w:type="gramStart"/>
      <w:r>
        <w:rPr>
          <w:rFonts w:ascii="Palatino Linotype" w:eastAsia="Palatino Linotype" w:hAnsi="Palatino Linotype" w:cs="Palatino Linotype"/>
          <w:color w:val="000000"/>
          <w:sz w:val="18"/>
          <w:szCs w:val="18"/>
        </w:rPr>
        <w:t>in order to</w:t>
      </w:r>
      <w:proofErr w:type="gramEnd"/>
      <w:r>
        <w:rPr>
          <w:rFonts w:ascii="Palatino Linotype" w:eastAsia="Palatino Linotype" w:hAnsi="Palatino Linotype" w:cs="Palatino Linotype"/>
          <w:color w:val="000000"/>
          <w:sz w:val="18"/>
          <w:szCs w:val="18"/>
        </w:rPr>
        <w:t xml:space="preserve"> deeply analyze players, teams, and the </w:t>
      </w:r>
      <w:proofErr w:type="gramStart"/>
      <w:r>
        <w:rPr>
          <w:rFonts w:ascii="Palatino Linotype" w:eastAsia="Palatino Linotype" w:hAnsi="Palatino Linotype" w:cs="Palatino Linotype"/>
          <w:color w:val="000000"/>
          <w:sz w:val="18"/>
          <w:szCs w:val="18"/>
        </w:rPr>
        <w:t>game as a whole</w:t>
      </w:r>
      <w:proofErr w:type="gramEnd"/>
      <w:r>
        <w:rPr>
          <w:rFonts w:ascii="Palatino Linotype" w:eastAsia="Palatino Linotype" w:hAnsi="Palatino Linotype" w:cs="Palatino Linotype"/>
          <w:color w:val="000000"/>
          <w:sz w:val="18"/>
          <w:szCs w:val="18"/>
        </w:rPr>
        <w:t>. The KBO was the first league to fully adopt the Automated Ball-Strike System (ABS) in 2024 with the MLB following shortly after [1]. Additionally, the KBO utilizes machine learning systems to help predict game outcomes, playoff predictions, or team contract extension probability. While the KBO has led in adopting automated officiating technology, it has not developed an equivalent infrastructure for projecting player performance.</w:t>
      </w:r>
    </w:p>
    <w:p w14:paraId="122F36A3" w14:textId="7E45FC75" w:rsidR="000202A0" w:rsidRDefault="00000000">
      <w:pPr>
        <w:spacing w:after="80"/>
        <w:ind w:firstLine="431"/>
        <w:jc w:val="both"/>
      </w:pPr>
      <w:r>
        <w:rPr>
          <w:rFonts w:ascii="Palatino Linotype" w:eastAsia="Palatino Linotype" w:hAnsi="Palatino Linotype" w:cs="Palatino Linotype"/>
          <w:color w:val="000000"/>
          <w:sz w:val="18"/>
          <w:szCs w:val="18"/>
        </w:rPr>
        <w:t>The Marcel system was coined by sabermetrician Tom Tango. Marcel systems rely on three core metrics: weighting recent seasons, anchoring to the league average, and adjustment for age [2]. Due to their well-documented reliability and simplicity, Marcel systems are often used as a baseline for predicting various MLB metrics, especially when evaluating performance relative to a player's age.</w:t>
      </w:r>
      <w:r w:rsidR="00617F49">
        <w:rPr>
          <w:rFonts w:ascii="Palatino Linotype" w:eastAsia="Palatino Linotype" w:hAnsi="Palatino Linotype" w:cs="Palatino Linotype"/>
          <w:color w:val="000000"/>
          <w:sz w:val="18"/>
          <w:szCs w:val="18"/>
        </w:rPr>
        <w:t xml:space="preserve"> While machine learning approaches have grown in popularity for sports forecasting, interpretable, low-parameter methods like Marcel remain valuable in data-scarce contexts. The KBO has far fewer seasons of reliable statistical </w:t>
      </w:r>
      <w:r w:rsidR="00925BDE">
        <w:rPr>
          <w:rFonts w:ascii="Palatino Linotype" w:eastAsia="Palatino Linotype" w:hAnsi="Palatino Linotype" w:cs="Palatino Linotype"/>
          <w:color w:val="000000"/>
          <w:sz w:val="18"/>
          <w:szCs w:val="18"/>
        </w:rPr>
        <w:t xml:space="preserve">data than MLB, making regularized, parsimonious methods preferable to flexible models that require large training sets to avoid overfitting. Marcel’s transparency also makes it straightforward to audit, replicate, and extend, qualities that are particularly import when establishing a methodological baseline for a league that has received limited analytical attention in the academic literature. </w:t>
      </w:r>
    </w:p>
    <w:p w14:paraId="384FBC25" w14:textId="77777777" w:rsidR="000202A0" w:rsidRDefault="00000000">
      <w:pPr>
        <w:spacing w:after="80"/>
        <w:ind w:firstLine="431"/>
        <w:jc w:val="both"/>
      </w:pPr>
      <w:r>
        <w:rPr>
          <w:rFonts w:ascii="Palatino Linotype" w:eastAsia="Palatino Linotype" w:hAnsi="Palatino Linotype" w:cs="Palatino Linotype"/>
          <w:color w:val="000000"/>
          <w:sz w:val="18"/>
          <w:szCs w:val="18"/>
        </w:rPr>
        <w:t xml:space="preserve">In the KBO, there are currently no Marcel projection systems developed specifically for KBO data or trained on it. The KBO primarily relies on data from ABS or Trackman, but with no predictive technology. Additionally, the KBO has no dedicated analytical projection systems available to fans; they only have access to real-time broadcast graphics and tracking stats. A projection system can greatly improve how KBO teams currently draft and build teams, allowing managers to address roster issues before they arise. This paper addresses that gap by introducing the first Marcel-style projection system calibrated entirely on KBO data. This research analyzes hitter data from the 2016–2025 seasons in the KBO to predict the top hitters for the 2026 </w:t>
      </w:r>
      <w:r>
        <w:rPr>
          <w:rFonts w:ascii="Palatino Linotype" w:eastAsia="Palatino Linotype" w:hAnsi="Palatino Linotype" w:cs="Palatino Linotype"/>
          <w:color w:val="000000"/>
          <w:sz w:val="18"/>
          <w:szCs w:val="18"/>
        </w:rPr>
        <w:lastRenderedPageBreak/>
        <w:t>season using a Marcel-style system focused on recent-season weighting, regression to the mean, and the application of age curves. Using this data, it will be determined whether the developed Marcel system is more accurate at projections than the naive baselines currently used by comparing the projected top 2026 players with current leaders in the season thus far.</w:t>
      </w:r>
    </w:p>
    <w:p w14:paraId="65F1A25E" w14:textId="77777777" w:rsidR="000202A0" w:rsidRDefault="00000000">
      <w:pPr>
        <w:spacing w:before="200" w:after="160"/>
      </w:pPr>
      <w:r>
        <w:rPr>
          <w:rFonts w:ascii="Palatino Linotype" w:eastAsia="Palatino Linotype" w:hAnsi="Palatino Linotype" w:cs="Palatino Linotype"/>
          <w:b/>
          <w:bCs/>
        </w:rPr>
        <w:t>2. Related Work</w:t>
      </w:r>
    </w:p>
    <w:p w14:paraId="01EEE291" w14:textId="7543EACB" w:rsidR="000202A0" w:rsidRDefault="00000000">
      <w:pPr>
        <w:spacing w:after="80"/>
        <w:ind w:firstLine="431"/>
        <w:jc w:val="both"/>
      </w:pPr>
      <w:r>
        <w:rPr>
          <w:rFonts w:ascii="Palatino Linotype" w:eastAsia="Palatino Linotype" w:hAnsi="Palatino Linotype" w:cs="Palatino Linotype"/>
          <w:color w:val="000000"/>
          <w:sz w:val="18"/>
          <w:szCs w:val="18"/>
        </w:rPr>
        <w:t>Marcel systems have performed well against more elaborate competitors, especially in the MLB [2]. However, with the development of the Bayesian Hierarchical model, it became possible to analyze specific players in specific positions and project their performance [3]. The system could then be used to model individual hitting events under different in-game conditions and various in-season performances [3].</w:t>
      </w:r>
      <w:r w:rsidR="00DE01C8">
        <w:rPr>
          <w:rFonts w:ascii="Palatino Linotype" w:eastAsia="Palatino Linotype" w:hAnsi="Palatino Linotype" w:cs="Palatino Linotype"/>
          <w:color w:val="000000"/>
          <w:sz w:val="18"/>
          <w:szCs w:val="18"/>
        </w:rPr>
        <w:t xml:space="preserve"> Aging curve estimation has also received dedicated attention in the sports analytics literature, with researchers demonstrating that player performance trajectories follow predictable age-related patterns that can be modeled empirically across different sports [12]. Similar projection approaches have been explored in other team sports, suggesting that multi-year weighted averaging with regression to the mean is broadly applicable forecasting strategy beyond baseball [13]. </w:t>
      </w:r>
    </w:p>
    <w:p w14:paraId="4476962A" w14:textId="00A3AA65" w:rsidR="000202A0" w:rsidRDefault="00000000">
      <w:pPr>
        <w:spacing w:after="80"/>
        <w:ind w:firstLine="431"/>
        <w:jc w:val="both"/>
      </w:pPr>
      <w:r>
        <w:rPr>
          <w:rFonts w:ascii="Palatino Linotype" w:eastAsia="Palatino Linotype" w:hAnsi="Palatino Linotype" w:cs="Palatino Linotype"/>
          <w:color w:val="000000"/>
          <w:sz w:val="18"/>
          <w:szCs w:val="18"/>
        </w:rPr>
        <w:t xml:space="preserve">The Player Empirical Comparison and Optimization Test Algorithm (PECOTA) and </w:t>
      </w:r>
      <w:proofErr w:type="spellStart"/>
      <w:r>
        <w:rPr>
          <w:rFonts w:ascii="Palatino Linotype" w:eastAsia="Palatino Linotype" w:hAnsi="Palatino Linotype" w:cs="Palatino Linotype"/>
          <w:color w:val="000000"/>
          <w:sz w:val="18"/>
          <w:szCs w:val="18"/>
        </w:rPr>
        <w:t>ZiPS</w:t>
      </w:r>
      <w:proofErr w:type="spellEnd"/>
      <w:r>
        <w:rPr>
          <w:rFonts w:ascii="Palatino Linotype" w:eastAsia="Palatino Linotype" w:hAnsi="Palatino Linotype" w:cs="Palatino Linotype"/>
          <w:color w:val="000000"/>
          <w:sz w:val="18"/>
          <w:szCs w:val="18"/>
        </w:rPr>
        <w:t xml:space="preserve"> are both projection systems widely used in MLB player projections, using prior seasons and weighting them accordingly to predict future seasons [4]. Furthermore, researchers have used machine learning models trained on MLB data to predict various game components, including next-pitch type, pitch accuracy, flyout probability, team impact, and more [5]. As various research models are developed, MLB ballparks are increasingly implementing </w:t>
      </w:r>
      <w:proofErr w:type="spellStart"/>
      <w:r>
        <w:rPr>
          <w:rFonts w:ascii="Palatino Linotype" w:eastAsia="Palatino Linotype" w:hAnsi="Palatino Linotype" w:cs="Palatino Linotype"/>
          <w:color w:val="000000"/>
          <w:sz w:val="18"/>
          <w:szCs w:val="18"/>
        </w:rPr>
        <w:t>Statcast</w:t>
      </w:r>
      <w:proofErr w:type="spellEnd"/>
      <w:r>
        <w:rPr>
          <w:rFonts w:ascii="Palatino Linotype" w:eastAsia="Palatino Linotype" w:hAnsi="Palatino Linotype" w:cs="Palatino Linotype"/>
          <w:color w:val="000000"/>
          <w:sz w:val="18"/>
          <w:szCs w:val="18"/>
        </w:rPr>
        <w:t xml:space="preserve"> and Ballpark sensors to provide real-time, in-depth analysis to predict outcomes and track specific player statistics [6]. Looking more broadly at full-team predictions, analytical tools such as 'CompeteNet' have been developed to predict game-to-game win-loss outcomes [7]. Due to the increasing involvement of AI and in-depth analytics in baseball, many leagues have implemented rule changes to adapt to the new way the game is played [8]</w:t>
      </w:r>
      <w:r w:rsidR="00925BDE">
        <w:rPr>
          <w:rFonts w:ascii="Palatino Linotype" w:eastAsia="Palatino Linotype" w:hAnsi="Palatino Linotype" w:cs="Palatino Linotype"/>
          <w:color w:val="000000"/>
          <w:sz w:val="18"/>
          <w:szCs w:val="18"/>
        </w:rPr>
        <w:t>. Beyond baseball, forecasting frameworks have been applied across professional sports, including player performance prediction in soccer and career trajectory modeling in basketball, demonstrating that statistical projection methods generalize across sporting contexts</w:t>
      </w:r>
      <w:r w:rsidR="00DE01C8">
        <w:rPr>
          <w:rFonts w:ascii="Palatino Linotype" w:eastAsia="Palatino Linotype" w:hAnsi="Palatino Linotype" w:cs="Palatino Linotype"/>
          <w:color w:val="000000"/>
          <w:sz w:val="18"/>
          <w:szCs w:val="18"/>
        </w:rPr>
        <w:t xml:space="preserve"> [11]. </w:t>
      </w:r>
    </w:p>
    <w:p w14:paraId="146B99A9" w14:textId="1C256C58" w:rsidR="000202A0" w:rsidRDefault="00000000">
      <w:pPr>
        <w:spacing w:after="80"/>
        <w:ind w:firstLine="431"/>
        <w:jc w:val="both"/>
      </w:pPr>
      <w:r>
        <w:rPr>
          <w:rFonts w:ascii="Palatino Linotype" w:eastAsia="Palatino Linotype" w:hAnsi="Palatino Linotype" w:cs="Palatino Linotype"/>
          <w:color w:val="000000"/>
          <w:sz w:val="18"/>
          <w:szCs w:val="18"/>
        </w:rPr>
        <w:t>Analytics in the KBO have attempted to build on this by using machine-learning-based classification systems to predict team playoff advancement, informed by pitcher performance [9]. The KBO has also gone beyond in-game usage, using machine learning programs to optimize contract renewals and predict potential contracts [10].</w:t>
      </w:r>
      <w:r w:rsidR="00925BDE">
        <w:rPr>
          <w:rFonts w:ascii="Palatino Linotype" w:eastAsia="Palatino Linotype" w:hAnsi="Palatino Linotype" w:cs="Palatino Linotype"/>
          <w:color w:val="000000"/>
          <w:sz w:val="18"/>
          <w:szCs w:val="18"/>
        </w:rPr>
        <w:t xml:space="preserve"> However, to current knowledge, no prior published work has applied a systematic individual player projection framework to KBO hitters. This study aims to establish a reproducible baseline for future KBO analytical research. </w:t>
      </w:r>
    </w:p>
    <w:p w14:paraId="7EF2AF0C" w14:textId="77777777" w:rsidR="000202A0" w:rsidRDefault="00000000">
      <w:pPr>
        <w:spacing w:before="200" w:after="160"/>
      </w:pPr>
      <w:r>
        <w:rPr>
          <w:rFonts w:ascii="Palatino Linotype" w:eastAsia="Palatino Linotype" w:hAnsi="Palatino Linotype" w:cs="Palatino Linotype"/>
          <w:b/>
          <w:bCs/>
        </w:rPr>
        <w:t>3. Methods</w:t>
      </w:r>
    </w:p>
    <w:p w14:paraId="3F326A94" w14:textId="77777777" w:rsidR="000202A0" w:rsidRDefault="00000000">
      <w:pPr>
        <w:spacing w:before="160" w:after="120"/>
      </w:pPr>
      <w:r>
        <w:rPr>
          <w:rFonts w:ascii="Palatino Linotype" w:eastAsia="Palatino Linotype" w:hAnsi="Palatino Linotype" w:cs="Palatino Linotype"/>
          <w:b/>
          <w:bCs/>
          <w:sz w:val="18"/>
          <w:szCs w:val="18"/>
        </w:rPr>
        <w:t>3.1 Regression to Mean</w:t>
      </w:r>
    </w:p>
    <w:p w14:paraId="0C2F75FA" w14:textId="77777777" w:rsidR="000202A0" w:rsidRDefault="00000000">
      <w:pPr>
        <w:spacing w:after="80"/>
        <w:ind w:firstLine="431"/>
        <w:jc w:val="both"/>
      </w:pPr>
      <w:r>
        <w:rPr>
          <w:rFonts w:ascii="Palatino Linotype" w:eastAsia="Palatino Linotype" w:hAnsi="Palatino Linotype" w:cs="Palatino Linotype"/>
          <w:color w:val="000000"/>
          <w:sz w:val="18"/>
          <w:szCs w:val="18"/>
        </w:rPr>
        <w:t>Regression to the mean operates on the Empirical Bayes shrinking formula, meaning that every player's statistics are pulled towards the season league average [3]. Shrinking performances towards the league average produces more accurate predictions rather than taking raw stats at face value.</w:t>
      </w:r>
    </w:p>
    <w:p w14:paraId="13CDB2DE" w14:textId="77777777" w:rsidR="000202A0" w:rsidRDefault="00000000">
      <w:pPr>
        <w:spacing w:before="120" w:after="120"/>
        <w:jc w:val="center"/>
      </w:pPr>
      <w:r>
        <w:rPr>
          <w:rFonts w:ascii="Palatino Linotype" w:eastAsia="Palatino Linotype" w:hAnsi="Palatino Linotype" w:cs="Palatino Linotype"/>
          <w:sz w:val="18"/>
          <w:szCs w:val="18"/>
        </w:rPr>
        <w:t>regressed = (n × observed + m × league_average) / (n + m)</w:t>
      </w:r>
    </w:p>
    <w:p w14:paraId="0542EE82" w14:textId="511E3489" w:rsidR="000202A0" w:rsidRDefault="00000000" w:rsidP="00617F49">
      <w:pPr>
        <w:spacing w:after="80"/>
        <w:ind w:firstLine="431"/>
        <w:jc w:val="both"/>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n refers to the player's appearances, and m is the regression coefficient. The value for the regression coefficient was determined through cross-validation. For each statistic, 15 values of m from 1 to 1,200 computed regressed statistics for all players, and then Pearson r was measured to compute the error against their actual next-season values.</w:t>
      </w:r>
    </w:p>
    <w:p w14:paraId="1B2E1DC1" w14:textId="29CD5BC3" w:rsidR="00617F49" w:rsidRDefault="00617F49" w:rsidP="00617F49">
      <w:pPr>
        <w:spacing w:after="80"/>
        <w:ind w:firstLine="431"/>
        <w:jc w:val="both"/>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 xml:space="preserve">The Marcel system as implemented here uses the following parameters: year weights of 5, 4, and 3 applied to the most recent three seasons respectively; a league anchor weight of 1; a regression-to-the-mean </w:t>
      </w:r>
      <w:r>
        <w:rPr>
          <w:rFonts w:ascii="Palatino Linotype" w:eastAsia="Palatino Linotype" w:hAnsi="Palatino Linotype" w:cs="Palatino Linotype"/>
          <w:color w:val="000000"/>
          <w:sz w:val="18"/>
          <w:szCs w:val="18"/>
        </w:rPr>
        <w:lastRenderedPageBreak/>
        <w:t>parameter of m=1, tuned empirically on KBO data (</w:t>
      </w:r>
      <w:r w:rsidR="006A7A14">
        <w:rPr>
          <w:rFonts w:ascii="Palatino Linotype" w:eastAsia="Palatino Linotype" w:hAnsi="Palatino Linotype" w:cs="Palatino Linotype"/>
          <w:color w:val="000000"/>
          <w:sz w:val="18"/>
          <w:szCs w:val="18"/>
        </w:rPr>
        <w:t>Table 1</w:t>
      </w:r>
      <w:r>
        <w:rPr>
          <w:rFonts w:ascii="Palatino Linotype" w:eastAsia="Palatino Linotype" w:hAnsi="Palatino Linotype" w:cs="Palatino Linotype"/>
          <w:color w:val="000000"/>
          <w:sz w:val="18"/>
          <w:szCs w:val="18"/>
        </w:rPr>
        <w:t xml:space="preserve">); and a minimum threshold of 300 plate appearances. These parameters are fixed across all back test years and all five statistics. </w:t>
      </w:r>
    </w:p>
    <w:p w14:paraId="73C49890" w14:textId="77777777" w:rsidR="000202A0" w:rsidRDefault="00000000">
      <w:pPr>
        <w:spacing w:before="160" w:after="60"/>
      </w:pPr>
      <w:r>
        <w:rPr>
          <w:rFonts w:ascii="Palatino Linotype" w:eastAsia="Palatino Linotype" w:hAnsi="Palatino Linotype" w:cs="Palatino Linotype"/>
          <w:b/>
          <w:bCs/>
          <w:sz w:val="16"/>
          <w:szCs w:val="16"/>
        </w:rPr>
        <w:t xml:space="preserve">Table 1. </w:t>
      </w:r>
      <w:r>
        <w:rPr>
          <w:rFonts w:ascii="Palatino Linotype" w:eastAsia="Palatino Linotype" w:hAnsi="Palatino Linotype" w:cs="Palatino Linotype"/>
          <w:sz w:val="16"/>
          <w:szCs w:val="16"/>
        </w:rPr>
        <w:t>Cross-validation results for the regression-to-mean coefficient (m) tuning across five hitter statistics. For each statistic, 15 candidate m-values ranging from 1 to 1,200 were tested on 283 consecutive season pairs. The optimal m was selected as the value that maximizes Pearson r between the regressed statistic and the player's actual next-season value. All five statistics converge to an optimal m ≈ 1 at the 300+ PA threshold, indicating that observed rate statistics require minimal regression toward the mean for qualified KBO starters.</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5"/>
        <w:gridCol w:w="2772"/>
        <w:gridCol w:w="1923"/>
      </w:tblGrid>
      <w:tr w:rsidR="000202A0" w14:paraId="60DAE7DF" w14:textId="77777777">
        <w:tc>
          <w:tcPr>
            <w:tcW w:w="0" w:type="auto"/>
            <w:shd w:val="clear" w:color="auto" w:fill="1F3864"/>
            <w:tcMar>
              <w:top w:w="50" w:type="dxa"/>
              <w:left w:w="80" w:type="dxa"/>
              <w:bottom w:w="50" w:type="dxa"/>
              <w:right w:w="80" w:type="dxa"/>
            </w:tcMar>
            <w:vAlign w:val="center"/>
          </w:tcPr>
          <w:p w14:paraId="581DB403" w14:textId="77777777" w:rsidR="000202A0" w:rsidRDefault="00000000">
            <w:pPr>
              <w:jc w:val="center"/>
            </w:pPr>
            <w:r>
              <w:rPr>
                <w:rFonts w:ascii="Palatino Linotype" w:eastAsia="Palatino Linotype" w:hAnsi="Palatino Linotype" w:cs="Palatino Linotype"/>
                <w:b/>
                <w:bCs/>
                <w:color w:val="FFFFFF"/>
                <w:sz w:val="16"/>
                <w:szCs w:val="16"/>
              </w:rPr>
              <w:t>Stat</w:t>
            </w:r>
          </w:p>
        </w:tc>
        <w:tc>
          <w:tcPr>
            <w:tcW w:w="0" w:type="auto"/>
            <w:shd w:val="clear" w:color="auto" w:fill="1F3864"/>
            <w:tcMar>
              <w:top w:w="50" w:type="dxa"/>
              <w:left w:w="80" w:type="dxa"/>
              <w:bottom w:w="50" w:type="dxa"/>
              <w:right w:w="80" w:type="dxa"/>
            </w:tcMar>
            <w:vAlign w:val="center"/>
          </w:tcPr>
          <w:p w14:paraId="068FBFEB" w14:textId="77777777" w:rsidR="000202A0" w:rsidRDefault="00000000">
            <w:pPr>
              <w:jc w:val="center"/>
            </w:pPr>
            <w:r>
              <w:rPr>
                <w:rFonts w:ascii="Palatino Linotype" w:eastAsia="Palatino Linotype" w:hAnsi="Palatino Linotype" w:cs="Palatino Linotype"/>
                <w:b/>
                <w:bCs/>
                <w:color w:val="FFFFFF"/>
                <w:sz w:val="16"/>
                <w:szCs w:val="16"/>
              </w:rPr>
              <w:t>Optimal m</w:t>
            </w:r>
          </w:p>
        </w:tc>
        <w:tc>
          <w:tcPr>
            <w:tcW w:w="0" w:type="auto"/>
            <w:shd w:val="clear" w:color="auto" w:fill="1F3864"/>
            <w:tcMar>
              <w:top w:w="50" w:type="dxa"/>
              <w:left w:w="80" w:type="dxa"/>
              <w:bottom w:w="50" w:type="dxa"/>
              <w:right w:w="80" w:type="dxa"/>
            </w:tcMar>
            <w:vAlign w:val="center"/>
          </w:tcPr>
          <w:p w14:paraId="53C25244" w14:textId="77777777" w:rsidR="000202A0" w:rsidRDefault="00000000">
            <w:pPr>
              <w:jc w:val="center"/>
            </w:pPr>
            <w:r>
              <w:rPr>
                <w:rFonts w:ascii="Palatino Linotype" w:eastAsia="Palatino Linotype" w:hAnsi="Palatino Linotype" w:cs="Palatino Linotype"/>
                <w:b/>
                <w:bCs/>
                <w:color w:val="FFFFFF"/>
                <w:sz w:val="16"/>
                <w:szCs w:val="16"/>
              </w:rPr>
              <w:t>n pairs</w:t>
            </w:r>
          </w:p>
        </w:tc>
      </w:tr>
      <w:tr w:rsidR="000202A0" w14:paraId="4B78CE61" w14:textId="77777777">
        <w:tc>
          <w:tcPr>
            <w:tcW w:w="0" w:type="auto"/>
            <w:tcMar>
              <w:top w:w="40" w:type="dxa"/>
              <w:left w:w="80" w:type="dxa"/>
              <w:bottom w:w="40" w:type="dxa"/>
              <w:right w:w="80" w:type="dxa"/>
            </w:tcMar>
            <w:vAlign w:val="center"/>
          </w:tcPr>
          <w:p w14:paraId="48FE48CD" w14:textId="77777777" w:rsidR="000202A0" w:rsidRDefault="00000000">
            <w:pPr>
              <w:jc w:val="center"/>
            </w:pPr>
            <w:r>
              <w:rPr>
                <w:rFonts w:ascii="Palatino Linotype" w:eastAsia="Palatino Linotype" w:hAnsi="Palatino Linotype" w:cs="Palatino Linotype"/>
                <w:b/>
                <w:bCs/>
                <w:color w:val="1A5276"/>
                <w:sz w:val="16"/>
                <w:szCs w:val="16"/>
              </w:rPr>
              <w:t>wOBA</w:t>
            </w:r>
          </w:p>
        </w:tc>
        <w:tc>
          <w:tcPr>
            <w:tcW w:w="0" w:type="auto"/>
            <w:tcMar>
              <w:top w:w="40" w:type="dxa"/>
              <w:left w:w="80" w:type="dxa"/>
              <w:bottom w:w="40" w:type="dxa"/>
              <w:right w:w="80" w:type="dxa"/>
            </w:tcMar>
            <w:vAlign w:val="center"/>
          </w:tcPr>
          <w:p w14:paraId="5E3BC4CD" w14:textId="77777777" w:rsidR="000202A0" w:rsidRDefault="00000000">
            <w:pPr>
              <w:jc w:val="center"/>
            </w:pPr>
            <w:r>
              <w:rPr>
                <w:rFonts w:ascii="Palatino Linotype" w:eastAsia="Palatino Linotype" w:hAnsi="Palatino Linotype" w:cs="Palatino Linotype"/>
                <w:color w:val="000000"/>
                <w:sz w:val="16"/>
                <w:szCs w:val="16"/>
              </w:rPr>
              <w:t>1</w:t>
            </w:r>
          </w:p>
        </w:tc>
        <w:tc>
          <w:tcPr>
            <w:tcW w:w="0" w:type="auto"/>
            <w:tcMar>
              <w:top w:w="40" w:type="dxa"/>
              <w:left w:w="80" w:type="dxa"/>
              <w:bottom w:w="40" w:type="dxa"/>
              <w:right w:w="80" w:type="dxa"/>
            </w:tcMar>
            <w:vAlign w:val="center"/>
          </w:tcPr>
          <w:p w14:paraId="35F9CEA1" w14:textId="77777777" w:rsidR="000202A0" w:rsidRDefault="00000000">
            <w:pPr>
              <w:jc w:val="center"/>
            </w:pPr>
            <w:r>
              <w:rPr>
                <w:rFonts w:ascii="Palatino Linotype" w:eastAsia="Palatino Linotype" w:hAnsi="Palatino Linotype" w:cs="Palatino Linotype"/>
                <w:color w:val="000000"/>
                <w:sz w:val="16"/>
                <w:szCs w:val="16"/>
              </w:rPr>
              <w:t>283</w:t>
            </w:r>
          </w:p>
        </w:tc>
      </w:tr>
      <w:tr w:rsidR="000202A0" w14:paraId="41F52F8E" w14:textId="77777777">
        <w:tc>
          <w:tcPr>
            <w:tcW w:w="0" w:type="auto"/>
            <w:shd w:val="clear" w:color="auto" w:fill="D6E4F0"/>
            <w:tcMar>
              <w:top w:w="40" w:type="dxa"/>
              <w:left w:w="80" w:type="dxa"/>
              <w:bottom w:w="40" w:type="dxa"/>
              <w:right w:w="80" w:type="dxa"/>
            </w:tcMar>
            <w:vAlign w:val="center"/>
          </w:tcPr>
          <w:p w14:paraId="74923B8C" w14:textId="77777777" w:rsidR="000202A0" w:rsidRDefault="00000000">
            <w:pPr>
              <w:jc w:val="center"/>
            </w:pPr>
            <w:r>
              <w:rPr>
                <w:rFonts w:ascii="Palatino Linotype" w:eastAsia="Palatino Linotype" w:hAnsi="Palatino Linotype" w:cs="Palatino Linotype"/>
                <w:b/>
                <w:bCs/>
                <w:color w:val="1A5276"/>
                <w:sz w:val="16"/>
                <w:szCs w:val="16"/>
              </w:rPr>
              <w:t>BB%</w:t>
            </w:r>
          </w:p>
        </w:tc>
        <w:tc>
          <w:tcPr>
            <w:tcW w:w="0" w:type="auto"/>
            <w:shd w:val="clear" w:color="auto" w:fill="D6E4F0"/>
            <w:tcMar>
              <w:top w:w="40" w:type="dxa"/>
              <w:left w:w="80" w:type="dxa"/>
              <w:bottom w:w="40" w:type="dxa"/>
              <w:right w:w="80" w:type="dxa"/>
            </w:tcMar>
            <w:vAlign w:val="center"/>
          </w:tcPr>
          <w:p w14:paraId="290361AC" w14:textId="77777777" w:rsidR="000202A0" w:rsidRDefault="00000000">
            <w:pPr>
              <w:jc w:val="center"/>
            </w:pPr>
            <w:r>
              <w:rPr>
                <w:rFonts w:ascii="Palatino Linotype" w:eastAsia="Palatino Linotype" w:hAnsi="Palatino Linotype" w:cs="Palatino Linotype"/>
                <w:color w:val="000000"/>
                <w:sz w:val="16"/>
                <w:szCs w:val="16"/>
              </w:rPr>
              <w:t>1</w:t>
            </w:r>
          </w:p>
        </w:tc>
        <w:tc>
          <w:tcPr>
            <w:tcW w:w="0" w:type="auto"/>
            <w:shd w:val="clear" w:color="auto" w:fill="D6E4F0"/>
            <w:tcMar>
              <w:top w:w="40" w:type="dxa"/>
              <w:left w:w="80" w:type="dxa"/>
              <w:bottom w:w="40" w:type="dxa"/>
              <w:right w:w="80" w:type="dxa"/>
            </w:tcMar>
            <w:vAlign w:val="center"/>
          </w:tcPr>
          <w:p w14:paraId="01C6C80C" w14:textId="77777777" w:rsidR="000202A0" w:rsidRDefault="00000000">
            <w:pPr>
              <w:jc w:val="center"/>
            </w:pPr>
            <w:r>
              <w:rPr>
                <w:rFonts w:ascii="Palatino Linotype" w:eastAsia="Palatino Linotype" w:hAnsi="Palatino Linotype" w:cs="Palatino Linotype"/>
                <w:color w:val="000000"/>
                <w:sz w:val="16"/>
                <w:szCs w:val="16"/>
              </w:rPr>
              <w:t>283</w:t>
            </w:r>
          </w:p>
        </w:tc>
      </w:tr>
      <w:tr w:rsidR="000202A0" w14:paraId="7B6B71B7" w14:textId="77777777">
        <w:tc>
          <w:tcPr>
            <w:tcW w:w="0" w:type="auto"/>
            <w:tcMar>
              <w:top w:w="40" w:type="dxa"/>
              <w:left w:w="80" w:type="dxa"/>
              <w:bottom w:w="40" w:type="dxa"/>
              <w:right w:w="80" w:type="dxa"/>
            </w:tcMar>
            <w:vAlign w:val="center"/>
          </w:tcPr>
          <w:p w14:paraId="762E2118" w14:textId="77777777" w:rsidR="000202A0" w:rsidRDefault="00000000">
            <w:pPr>
              <w:jc w:val="center"/>
            </w:pPr>
            <w:r>
              <w:rPr>
                <w:rFonts w:ascii="Palatino Linotype" w:eastAsia="Palatino Linotype" w:hAnsi="Palatino Linotype" w:cs="Palatino Linotype"/>
                <w:b/>
                <w:bCs/>
                <w:color w:val="1A5276"/>
                <w:sz w:val="16"/>
                <w:szCs w:val="16"/>
              </w:rPr>
              <w:t>K%</w:t>
            </w:r>
          </w:p>
        </w:tc>
        <w:tc>
          <w:tcPr>
            <w:tcW w:w="0" w:type="auto"/>
            <w:tcMar>
              <w:top w:w="40" w:type="dxa"/>
              <w:left w:w="80" w:type="dxa"/>
              <w:bottom w:w="40" w:type="dxa"/>
              <w:right w:w="80" w:type="dxa"/>
            </w:tcMar>
            <w:vAlign w:val="center"/>
          </w:tcPr>
          <w:p w14:paraId="62B883A3" w14:textId="77777777" w:rsidR="000202A0" w:rsidRDefault="00000000">
            <w:pPr>
              <w:jc w:val="center"/>
            </w:pPr>
            <w:r>
              <w:rPr>
                <w:rFonts w:ascii="Palatino Linotype" w:eastAsia="Palatino Linotype" w:hAnsi="Palatino Linotype" w:cs="Palatino Linotype"/>
                <w:color w:val="000000"/>
                <w:sz w:val="16"/>
                <w:szCs w:val="16"/>
              </w:rPr>
              <w:t>1</w:t>
            </w:r>
          </w:p>
        </w:tc>
        <w:tc>
          <w:tcPr>
            <w:tcW w:w="0" w:type="auto"/>
            <w:tcMar>
              <w:top w:w="40" w:type="dxa"/>
              <w:left w:w="80" w:type="dxa"/>
              <w:bottom w:w="40" w:type="dxa"/>
              <w:right w:w="80" w:type="dxa"/>
            </w:tcMar>
            <w:vAlign w:val="center"/>
          </w:tcPr>
          <w:p w14:paraId="5B9EF009" w14:textId="77777777" w:rsidR="000202A0" w:rsidRDefault="00000000">
            <w:pPr>
              <w:jc w:val="center"/>
            </w:pPr>
            <w:r>
              <w:rPr>
                <w:rFonts w:ascii="Palatino Linotype" w:eastAsia="Palatino Linotype" w:hAnsi="Palatino Linotype" w:cs="Palatino Linotype"/>
                <w:color w:val="000000"/>
                <w:sz w:val="16"/>
                <w:szCs w:val="16"/>
              </w:rPr>
              <w:t>283</w:t>
            </w:r>
          </w:p>
        </w:tc>
      </w:tr>
      <w:tr w:rsidR="000202A0" w14:paraId="242AF368" w14:textId="77777777">
        <w:tc>
          <w:tcPr>
            <w:tcW w:w="0" w:type="auto"/>
            <w:shd w:val="clear" w:color="auto" w:fill="D6E4F0"/>
            <w:tcMar>
              <w:top w:w="40" w:type="dxa"/>
              <w:left w:w="80" w:type="dxa"/>
              <w:bottom w:w="40" w:type="dxa"/>
              <w:right w:w="80" w:type="dxa"/>
            </w:tcMar>
            <w:vAlign w:val="center"/>
          </w:tcPr>
          <w:p w14:paraId="63F681A0" w14:textId="77777777" w:rsidR="000202A0" w:rsidRDefault="00000000">
            <w:pPr>
              <w:jc w:val="center"/>
            </w:pPr>
            <w:r>
              <w:rPr>
                <w:rFonts w:ascii="Palatino Linotype" w:eastAsia="Palatino Linotype" w:hAnsi="Palatino Linotype" w:cs="Palatino Linotype"/>
                <w:b/>
                <w:bCs/>
                <w:color w:val="1A5276"/>
                <w:sz w:val="16"/>
                <w:szCs w:val="16"/>
              </w:rPr>
              <w:t>ISO</w:t>
            </w:r>
          </w:p>
        </w:tc>
        <w:tc>
          <w:tcPr>
            <w:tcW w:w="0" w:type="auto"/>
            <w:shd w:val="clear" w:color="auto" w:fill="D6E4F0"/>
            <w:tcMar>
              <w:top w:w="40" w:type="dxa"/>
              <w:left w:w="80" w:type="dxa"/>
              <w:bottom w:w="40" w:type="dxa"/>
              <w:right w:w="80" w:type="dxa"/>
            </w:tcMar>
            <w:vAlign w:val="center"/>
          </w:tcPr>
          <w:p w14:paraId="02D7B29E" w14:textId="77777777" w:rsidR="000202A0" w:rsidRDefault="00000000">
            <w:pPr>
              <w:jc w:val="center"/>
            </w:pPr>
            <w:r>
              <w:rPr>
                <w:rFonts w:ascii="Palatino Linotype" w:eastAsia="Palatino Linotype" w:hAnsi="Palatino Linotype" w:cs="Palatino Linotype"/>
                <w:color w:val="000000"/>
                <w:sz w:val="16"/>
                <w:szCs w:val="16"/>
              </w:rPr>
              <w:t>1</w:t>
            </w:r>
          </w:p>
        </w:tc>
        <w:tc>
          <w:tcPr>
            <w:tcW w:w="0" w:type="auto"/>
            <w:shd w:val="clear" w:color="auto" w:fill="D6E4F0"/>
            <w:tcMar>
              <w:top w:w="40" w:type="dxa"/>
              <w:left w:w="80" w:type="dxa"/>
              <w:bottom w:w="40" w:type="dxa"/>
              <w:right w:w="80" w:type="dxa"/>
            </w:tcMar>
            <w:vAlign w:val="center"/>
          </w:tcPr>
          <w:p w14:paraId="27EC028F" w14:textId="77777777" w:rsidR="000202A0" w:rsidRDefault="00000000">
            <w:pPr>
              <w:jc w:val="center"/>
            </w:pPr>
            <w:r>
              <w:rPr>
                <w:rFonts w:ascii="Palatino Linotype" w:eastAsia="Palatino Linotype" w:hAnsi="Palatino Linotype" w:cs="Palatino Linotype"/>
                <w:color w:val="000000"/>
                <w:sz w:val="16"/>
                <w:szCs w:val="16"/>
              </w:rPr>
              <w:t>283</w:t>
            </w:r>
          </w:p>
        </w:tc>
      </w:tr>
      <w:tr w:rsidR="000202A0" w14:paraId="7F4BB203" w14:textId="77777777">
        <w:tc>
          <w:tcPr>
            <w:tcW w:w="0" w:type="auto"/>
            <w:tcMar>
              <w:top w:w="40" w:type="dxa"/>
              <w:left w:w="80" w:type="dxa"/>
              <w:bottom w:w="40" w:type="dxa"/>
              <w:right w:w="80" w:type="dxa"/>
            </w:tcMar>
            <w:vAlign w:val="center"/>
          </w:tcPr>
          <w:p w14:paraId="1EC8A3E4" w14:textId="77777777" w:rsidR="000202A0" w:rsidRDefault="00000000">
            <w:pPr>
              <w:jc w:val="center"/>
            </w:pPr>
            <w:r>
              <w:rPr>
                <w:rFonts w:ascii="Palatino Linotype" w:eastAsia="Palatino Linotype" w:hAnsi="Palatino Linotype" w:cs="Palatino Linotype"/>
                <w:b/>
                <w:bCs/>
                <w:color w:val="1A5276"/>
                <w:sz w:val="16"/>
                <w:szCs w:val="16"/>
              </w:rPr>
              <w:t>HR%</w:t>
            </w:r>
          </w:p>
        </w:tc>
        <w:tc>
          <w:tcPr>
            <w:tcW w:w="0" w:type="auto"/>
            <w:tcMar>
              <w:top w:w="40" w:type="dxa"/>
              <w:left w:w="80" w:type="dxa"/>
              <w:bottom w:w="40" w:type="dxa"/>
              <w:right w:w="80" w:type="dxa"/>
            </w:tcMar>
            <w:vAlign w:val="center"/>
          </w:tcPr>
          <w:p w14:paraId="124423C5" w14:textId="77777777" w:rsidR="000202A0" w:rsidRDefault="00000000">
            <w:pPr>
              <w:jc w:val="center"/>
            </w:pPr>
            <w:r>
              <w:rPr>
                <w:rFonts w:ascii="Palatino Linotype" w:eastAsia="Palatino Linotype" w:hAnsi="Palatino Linotype" w:cs="Palatino Linotype"/>
                <w:color w:val="000000"/>
                <w:sz w:val="16"/>
                <w:szCs w:val="16"/>
              </w:rPr>
              <w:t>1</w:t>
            </w:r>
          </w:p>
        </w:tc>
        <w:tc>
          <w:tcPr>
            <w:tcW w:w="0" w:type="auto"/>
            <w:tcMar>
              <w:top w:w="40" w:type="dxa"/>
              <w:left w:w="80" w:type="dxa"/>
              <w:bottom w:w="40" w:type="dxa"/>
              <w:right w:w="80" w:type="dxa"/>
            </w:tcMar>
            <w:vAlign w:val="center"/>
          </w:tcPr>
          <w:p w14:paraId="5B1CEA0C" w14:textId="77777777" w:rsidR="000202A0" w:rsidRDefault="00000000">
            <w:pPr>
              <w:jc w:val="center"/>
            </w:pPr>
            <w:r>
              <w:rPr>
                <w:rFonts w:ascii="Palatino Linotype" w:eastAsia="Palatino Linotype" w:hAnsi="Palatino Linotype" w:cs="Palatino Linotype"/>
                <w:color w:val="000000"/>
                <w:sz w:val="16"/>
                <w:szCs w:val="16"/>
              </w:rPr>
              <w:t>283</w:t>
            </w:r>
          </w:p>
        </w:tc>
      </w:tr>
    </w:tbl>
    <w:p w14:paraId="15F90D43" w14:textId="77777777" w:rsidR="000202A0" w:rsidRDefault="000202A0">
      <w:pPr>
        <w:spacing w:after="160"/>
      </w:pPr>
    </w:p>
    <w:p w14:paraId="0E7E73AC" w14:textId="77777777" w:rsidR="000202A0" w:rsidRDefault="00000000">
      <w:pPr>
        <w:spacing w:before="160" w:after="120"/>
      </w:pPr>
      <w:r>
        <w:rPr>
          <w:rFonts w:ascii="Palatino Linotype" w:eastAsia="Palatino Linotype" w:hAnsi="Palatino Linotype" w:cs="Palatino Linotype"/>
          <w:b/>
          <w:bCs/>
          <w:sz w:val="18"/>
          <w:szCs w:val="18"/>
        </w:rPr>
        <w:t>3.2 Aging Curves</w:t>
      </w:r>
    </w:p>
    <w:p w14:paraId="24284708" w14:textId="77777777" w:rsidR="000202A0" w:rsidRDefault="00000000">
      <w:pPr>
        <w:spacing w:after="80"/>
        <w:ind w:firstLine="431"/>
        <w:jc w:val="both"/>
      </w:pPr>
      <w:r>
        <w:rPr>
          <w:rFonts w:ascii="Palatino Linotype" w:eastAsia="Palatino Linotype" w:hAnsi="Palatino Linotype" w:cs="Palatino Linotype"/>
          <w:color w:val="000000"/>
          <w:sz w:val="18"/>
          <w:szCs w:val="18"/>
        </w:rPr>
        <w:t>Naively averaging stats by age group introduces survivorship bias; the delta method corrects this by measuring year-over-year changes for the same player between consecutive seasons.</w:t>
      </w:r>
    </w:p>
    <w:p w14:paraId="3839C490" w14:textId="77777777" w:rsidR="000202A0" w:rsidRDefault="00000000">
      <w:pPr>
        <w:spacing w:before="100" w:after="80"/>
        <w:jc w:val="center"/>
      </w:pPr>
      <w:proofErr w:type="spellStart"/>
      <w:r>
        <w:rPr>
          <w:rFonts w:ascii="Palatino Linotype" w:eastAsia="Palatino Linotype" w:hAnsi="Palatino Linotype" w:cs="Palatino Linotype"/>
          <w:sz w:val="18"/>
          <w:szCs w:val="18"/>
        </w:rPr>
        <w:t>Δstat_i</w:t>
      </w:r>
      <w:proofErr w:type="spellEnd"/>
      <w:r>
        <w:rPr>
          <w:rFonts w:ascii="Palatino Linotype" w:eastAsia="Palatino Linotype" w:hAnsi="Palatino Linotype" w:cs="Palatino Linotype"/>
          <w:sz w:val="18"/>
          <w:szCs w:val="18"/>
        </w:rPr>
        <w:t xml:space="preserve"> = stat</w:t>
      </w:r>
      <w:proofErr w:type="gramStart"/>
      <w:r>
        <w:rPr>
          <w:rFonts w:ascii="Palatino Linotype" w:eastAsia="Palatino Linotype" w:hAnsi="Palatino Linotype" w:cs="Palatino Linotype"/>
          <w:sz w:val="18"/>
          <w:szCs w:val="18"/>
        </w:rPr>
        <w:t>_{</w:t>
      </w:r>
      <w:proofErr w:type="spellStart"/>
      <w:proofErr w:type="gramEnd"/>
      <w:r>
        <w:rPr>
          <w:rFonts w:ascii="Palatino Linotype" w:eastAsia="Palatino Linotype" w:hAnsi="Palatino Linotype" w:cs="Palatino Linotype"/>
          <w:sz w:val="18"/>
          <w:szCs w:val="18"/>
        </w:rPr>
        <w:t>i</w:t>
      </w:r>
      <w:proofErr w:type="spellEnd"/>
      <w:r>
        <w:rPr>
          <w:rFonts w:ascii="Palatino Linotype" w:eastAsia="Palatino Linotype" w:hAnsi="Palatino Linotype" w:cs="Palatino Linotype"/>
          <w:sz w:val="18"/>
          <w:szCs w:val="18"/>
        </w:rPr>
        <w:t>, t+1} − stat</w:t>
      </w:r>
      <w:proofErr w:type="gramStart"/>
      <w:r>
        <w:rPr>
          <w:rFonts w:ascii="Palatino Linotype" w:eastAsia="Palatino Linotype" w:hAnsi="Palatino Linotype" w:cs="Palatino Linotype"/>
          <w:sz w:val="18"/>
          <w:szCs w:val="18"/>
        </w:rPr>
        <w:t>_{</w:t>
      </w:r>
      <w:proofErr w:type="spellStart"/>
      <w:proofErr w:type="gramEnd"/>
      <w:r>
        <w:rPr>
          <w:rFonts w:ascii="Palatino Linotype" w:eastAsia="Palatino Linotype" w:hAnsi="Palatino Linotype" w:cs="Palatino Linotype"/>
          <w:sz w:val="18"/>
          <w:szCs w:val="18"/>
        </w:rPr>
        <w:t>i</w:t>
      </w:r>
      <w:proofErr w:type="spellEnd"/>
      <w:r>
        <w:rPr>
          <w:rFonts w:ascii="Palatino Linotype" w:eastAsia="Palatino Linotype" w:hAnsi="Palatino Linotype" w:cs="Palatino Linotype"/>
          <w:sz w:val="18"/>
          <w:szCs w:val="18"/>
        </w:rPr>
        <w:t>, t}</w:t>
      </w:r>
    </w:p>
    <w:p w14:paraId="1B36AD2B" w14:textId="77777777" w:rsidR="000202A0" w:rsidRDefault="00000000">
      <w:pPr>
        <w:spacing w:after="80"/>
        <w:ind w:firstLine="431"/>
        <w:jc w:val="both"/>
      </w:pPr>
      <w:r>
        <w:rPr>
          <w:rFonts w:ascii="Palatino Linotype" w:eastAsia="Palatino Linotype" w:hAnsi="Palatino Linotype" w:cs="Palatino Linotype"/>
          <w:color w:val="000000"/>
          <w:sz w:val="18"/>
          <w:szCs w:val="18"/>
        </w:rPr>
        <w:t>Each change is weighted by the harmonic mean of the two seasons' plate appearances:</w:t>
      </w:r>
    </w:p>
    <w:p w14:paraId="1B9E10D5" w14:textId="77777777" w:rsidR="000202A0" w:rsidRDefault="00000000">
      <w:pPr>
        <w:spacing w:before="80" w:after="80"/>
        <w:jc w:val="center"/>
      </w:pPr>
      <w:proofErr w:type="spellStart"/>
      <w:r>
        <w:rPr>
          <w:rFonts w:ascii="Palatino Linotype" w:eastAsia="Palatino Linotype" w:hAnsi="Palatino Linotype" w:cs="Palatino Linotype"/>
          <w:sz w:val="18"/>
          <w:szCs w:val="18"/>
        </w:rPr>
        <w:t>w_i</w:t>
      </w:r>
      <w:proofErr w:type="spellEnd"/>
      <w:r>
        <w:rPr>
          <w:rFonts w:ascii="Palatino Linotype" w:eastAsia="Palatino Linotype" w:hAnsi="Palatino Linotype" w:cs="Palatino Linotype"/>
          <w:sz w:val="18"/>
          <w:szCs w:val="18"/>
        </w:rPr>
        <w:t xml:space="preserve"> = 2 × (</w:t>
      </w:r>
      <w:proofErr w:type="spellStart"/>
      <w:r>
        <w:rPr>
          <w:rFonts w:ascii="Palatino Linotype" w:eastAsia="Palatino Linotype" w:hAnsi="Palatino Linotype" w:cs="Palatino Linotype"/>
          <w:sz w:val="18"/>
          <w:szCs w:val="18"/>
        </w:rPr>
        <w:t>PA_t</w:t>
      </w:r>
      <w:proofErr w:type="spellEnd"/>
      <w:r>
        <w:rPr>
          <w:rFonts w:ascii="Palatino Linotype" w:eastAsia="Palatino Linotype" w:hAnsi="Palatino Linotype" w:cs="Palatino Linotype"/>
          <w:sz w:val="18"/>
          <w:szCs w:val="18"/>
        </w:rPr>
        <w:t xml:space="preserve"> × PA_{t+1}) / (</w:t>
      </w:r>
      <w:proofErr w:type="spellStart"/>
      <w:r>
        <w:rPr>
          <w:rFonts w:ascii="Palatino Linotype" w:eastAsia="Palatino Linotype" w:hAnsi="Palatino Linotype" w:cs="Palatino Linotype"/>
          <w:sz w:val="18"/>
          <w:szCs w:val="18"/>
        </w:rPr>
        <w:t>PA_t</w:t>
      </w:r>
      <w:proofErr w:type="spellEnd"/>
      <w:r>
        <w:rPr>
          <w:rFonts w:ascii="Palatino Linotype" w:eastAsia="Palatino Linotype" w:hAnsi="Palatino Linotype" w:cs="Palatino Linotype"/>
          <w:sz w:val="18"/>
          <w:szCs w:val="18"/>
        </w:rPr>
        <w:t xml:space="preserve"> + PA_{t+1})</w:t>
      </w:r>
    </w:p>
    <w:p w14:paraId="19F8766D" w14:textId="05250295" w:rsidR="000202A0" w:rsidRDefault="00000000">
      <w:pPr>
        <w:spacing w:after="80"/>
        <w:ind w:firstLine="431"/>
        <w:jc w:val="both"/>
      </w:pPr>
      <w:r>
        <w:rPr>
          <w:rFonts w:ascii="Palatino Linotype" w:eastAsia="Palatino Linotype" w:hAnsi="Palatino Linotype" w:cs="Palatino Linotype"/>
          <w:color w:val="000000"/>
          <w:sz w:val="18"/>
          <w:szCs w:val="18"/>
        </w:rPr>
        <w:t xml:space="preserve">A 3-year smoothing filter is then applied to reduce the noise of small age bins. </w:t>
      </w:r>
      <w:r w:rsidR="003F3DD5">
        <w:rPr>
          <w:rFonts w:ascii="Palatino Linotype" w:eastAsia="Palatino Linotype" w:hAnsi="Palatino Linotype" w:cs="Palatino Linotype"/>
          <w:color w:val="000000"/>
          <w:sz w:val="18"/>
          <w:szCs w:val="18"/>
        </w:rPr>
        <w:t>A 3-year centered moving average was applied to the raw delta estimates to reduce season-to-season noise driven by small sample sizes at the extremes, where fewer player-seasons are observed. The window size of 3 was chosen as the minimum that meaningfully stabilizes the curve while preserving its overall shape. A wider window ri</w:t>
      </w:r>
      <w:r w:rsidR="004E3C4F">
        <w:rPr>
          <w:rFonts w:ascii="Palatino Linotype" w:eastAsia="Palatino Linotype" w:hAnsi="Palatino Linotype" w:cs="Palatino Linotype"/>
          <w:color w:val="000000"/>
          <w:sz w:val="18"/>
          <w:szCs w:val="18"/>
        </w:rPr>
        <w:t xml:space="preserve">sks over-smoothing genuine age-related trends, while narrower windows retain excessive noise from individual outlier seasons. </w:t>
      </w:r>
      <w:r>
        <w:rPr>
          <w:rFonts w:ascii="Palatino Linotype" w:eastAsia="Palatino Linotype" w:hAnsi="Palatino Linotype" w:cs="Palatino Linotype"/>
          <w:color w:val="000000"/>
          <w:sz w:val="18"/>
          <w:szCs w:val="18"/>
        </w:rPr>
        <w:t>Raw deltas are converted to a cumulative curve anchored at age 27. Age 27 was selected as the cumulative adjustment anchor based on the established sabermetric convention for professional baseball peak performance [2]. This anchor point serves as the reference from which positive and negative age adjustments are calculated, rather than as a claim about the specific KBO peak age.</w:t>
      </w:r>
    </w:p>
    <w:p w14:paraId="6BE3EC2B" w14:textId="77777777" w:rsidR="000202A0" w:rsidRDefault="00000000">
      <w:pPr>
        <w:spacing w:before="60" w:after="60"/>
        <w:jc w:val="center"/>
      </w:pPr>
      <w:r>
        <w:rPr>
          <w:noProof/>
        </w:rPr>
        <w:drawing>
          <wp:inline distT="0" distB="0" distL="0" distR="0" wp14:anchorId="34A4BBB1" wp14:editId="2EC1421B">
            <wp:extent cx="5760720" cy="23297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2329716"/>
                    </a:xfrm>
                    <a:prstGeom prst="rect">
                      <a:avLst/>
                    </a:prstGeom>
                  </pic:spPr>
                </pic:pic>
              </a:graphicData>
            </a:graphic>
          </wp:inline>
        </w:drawing>
      </w:r>
    </w:p>
    <w:p w14:paraId="21E80CC8" w14:textId="77777777" w:rsidR="000202A0" w:rsidRDefault="00000000">
      <w:pPr>
        <w:spacing w:before="60" w:after="160"/>
        <w:jc w:val="both"/>
      </w:pPr>
      <w:r>
        <w:rPr>
          <w:rFonts w:ascii="Palatino Linotype" w:eastAsia="Palatino Linotype" w:hAnsi="Palatino Linotype" w:cs="Palatino Linotype"/>
          <w:b/>
          <w:bCs/>
          <w:sz w:val="16"/>
          <w:szCs w:val="16"/>
        </w:rPr>
        <w:t xml:space="preserve">Figure 1. </w:t>
      </w:r>
      <w:r>
        <w:rPr>
          <w:rFonts w:ascii="Palatino Linotype" w:eastAsia="Palatino Linotype" w:hAnsi="Palatino Linotype" w:cs="Palatino Linotype"/>
          <w:sz w:val="16"/>
          <w:szCs w:val="16"/>
        </w:rPr>
        <w:t xml:space="preserve">KBO hitter aging curves derived using the delta method (2016–2025). Each panel displays the year-over-year change in a single rate statistic across player ages. Blue bars represent the observed mean delta per age bucket; the dark blue line represents the 3-year smoothed curve. Numbers below each bar indicate the sample size at that age. The shaded </w:t>
      </w:r>
      <w:r>
        <w:rPr>
          <w:rFonts w:ascii="Palatino Linotype" w:eastAsia="Palatino Linotype" w:hAnsi="Palatino Linotype" w:cs="Palatino Linotype"/>
          <w:sz w:val="16"/>
          <w:szCs w:val="16"/>
        </w:rPr>
        <w:lastRenderedPageBreak/>
        <w:t>region (ages 24–30) highlights the peak performance window. Curves are anchored at age 27, meaning all adjustments are expressed as deviations from expected peak performance.</w:t>
      </w:r>
    </w:p>
    <w:p w14:paraId="5E3F225B" w14:textId="77777777" w:rsidR="000202A0" w:rsidRDefault="00000000">
      <w:pPr>
        <w:spacing w:before="160" w:after="120"/>
      </w:pPr>
      <w:r>
        <w:rPr>
          <w:rFonts w:ascii="Palatino Linotype" w:eastAsia="Palatino Linotype" w:hAnsi="Palatino Linotype" w:cs="Palatino Linotype"/>
          <w:b/>
          <w:bCs/>
          <w:sz w:val="18"/>
          <w:szCs w:val="18"/>
        </w:rPr>
        <w:t>3.3 Playing Time Projections</w:t>
      </w:r>
    </w:p>
    <w:p w14:paraId="3715E4C3" w14:textId="77777777" w:rsidR="000202A0" w:rsidRDefault="00000000">
      <w:pPr>
        <w:spacing w:after="80"/>
        <w:ind w:firstLine="431"/>
        <w:jc w:val="both"/>
      </w:pPr>
      <w:r>
        <w:rPr>
          <w:rFonts w:ascii="Palatino Linotype" w:eastAsia="Palatino Linotype" w:hAnsi="Palatino Linotype" w:cs="Palatino Linotype"/>
          <w:color w:val="000000"/>
          <w:sz w:val="18"/>
          <w:szCs w:val="18"/>
        </w:rPr>
        <w:t>Playing time projections were determined in three steps. Seasons were weighted using a 5/4/3 system, giving more recent seasons greater weight, as they provide stronger indications of future performance. These weights were applied to the historical PA. The weighted average of playing time was regressed toward 500 PA for hitters, which is the median among qualified players. This prevents extreme projections for players with unusual usage histories. Finally, an age scalar was applied. A multiplier derived from the observed relationship between age and playing time in the data was applied. Players older than 30 received a downward adjustment reflecting the tendency for older players to accumulate fewer plate appearances.</w:t>
      </w:r>
    </w:p>
    <w:p w14:paraId="5DF5CF4D" w14:textId="77777777" w:rsidR="000202A0" w:rsidRDefault="00000000">
      <w:pPr>
        <w:spacing w:before="60" w:after="60"/>
        <w:jc w:val="center"/>
      </w:pPr>
      <w:r>
        <w:rPr>
          <w:noProof/>
        </w:rPr>
        <w:drawing>
          <wp:inline distT="0" distB="0" distL="0" distR="0" wp14:anchorId="4711C041" wp14:editId="0F094B2B">
            <wp:extent cx="4572000" cy="1910502"/>
            <wp:effectExtent l="0" t="0" r="0" b="0"/>
            <wp:docPr id="1124737805" name="Picture 112473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910502"/>
                    </a:xfrm>
                    <a:prstGeom prst="rect">
                      <a:avLst/>
                    </a:prstGeom>
                  </pic:spPr>
                </pic:pic>
              </a:graphicData>
            </a:graphic>
          </wp:inline>
        </w:drawing>
      </w:r>
    </w:p>
    <w:p w14:paraId="3A1E9B3C" w14:textId="77777777" w:rsidR="000202A0" w:rsidRDefault="00000000">
      <w:pPr>
        <w:spacing w:before="60" w:after="160"/>
        <w:jc w:val="both"/>
      </w:pPr>
      <w:r>
        <w:rPr>
          <w:rFonts w:ascii="Palatino Linotype" w:eastAsia="Palatino Linotype" w:hAnsi="Palatino Linotype" w:cs="Palatino Linotype"/>
          <w:b/>
          <w:bCs/>
          <w:sz w:val="16"/>
          <w:szCs w:val="16"/>
        </w:rPr>
        <w:t xml:space="preserve">Figure 2. </w:t>
      </w:r>
      <w:r>
        <w:rPr>
          <w:rFonts w:ascii="Palatino Linotype" w:eastAsia="Palatino Linotype" w:hAnsi="Palatino Linotype" w:cs="Palatino Linotype"/>
          <w:sz w:val="16"/>
          <w:szCs w:val="16"/>
        </w:rPr>
        <w:t>Mean plate appearances (PA) by age for qualified KBO hitters (PA ≥ 300) from 2016 to 2025. Blue bars represent mean PA at each age; the dashed line indicates the number of player-seasons in each age bucket (right axis). Only age buckets with five or more observations are shown. The shaded region highlights the peak playing time window (ages 24–30), consistent with the performance peak identified in Figure 1.</w:t>
      </w:r>
    </w:p>
    <w:p w14:paraId="4336139B" w14:textId="77777777" w:rsidR="000202A0" w:rsidRDefault="00000000">
      <w:pPr>
        <w:spacing w:before="160" w:after="120"/>
      </w:pPr>
      <w:r>
        <w:rPr>
          <w:rFonts w:ascii="Palatino Linotype" w:eastAsia="Palatino Linotype" w:hAnsi="Palatino Linotype" w:cs="Palatino Linotype"/>
          <w:b/>
          <w:bCs/>
          <w:sz w:val="18"/>
          <w:szCs w:val="18"/>
        </w:rPr>
        <w:t>3.4 Marcel Projection Engine</w:t>
      </w:r>
    </w:p>
    <w:p w14:paraId="0C9AEDBD" w14:textId="77777777" w:rsidR="000202A0" w:rsidRDefault="00000000">
      <w:pPr>
        <w:spacing w:before="100" w:after="100"/>
        <w:jc w:val="center"/>
      </w:pPr>
      <w:r>
        <w:rPr>
          <w:rFonts w:ascii="Palatino Linotype" w:eastAsia="Palatino Linotype" w:hAnsi="Palatino Linotype" w:cs="Palatino Linotype"/>
          <w:sz w:val="18"/>
          <w:szCs w:val="18"/>
        </w:rPr>
        <w:t>Projection = (5×r_</w:t>
      </w:r>
      <w:proofErr w:type="gramStart"/>
      <w:r>
        <w:rPr>
          <w:rFonts w:ascii="Palatino Linotype" w:eastAsia="Palatino Linotype" w:hAnsi="Palatino Linotype" w:cs="Palatino Linotype"/>
          <w:sz w:val="18"/>
          <w:szCs w:val="18"/>
        </w:rPr>
        <w:t>reg,t</w:t>
      </w:r>
      <w:proofErr w:type="gramEnd"/>
      <w:r>
        <w:rPr>
          <w:rFonts w:ascii="Palatino Linotype" w:eastAsia="Palatino Linotype" w:hAnsi="Palatino Linotype" w:cs="Palatino Linotype"/>
          <w:sz w:val="18"/>
          <w:szCs w:val="18"/>
        </w:rPr>
        <w:t xml:space="preserve"> + 4×r_</w:t>
      </w:r>
      <w:proofErr w:type="gramStart"/>
      <w:r>
        <w:rPr>
          <w:rFonts w:ascii="Palatino Linotype" w:eastAsia="Palatino Linotype" w:hAnsi="Palatino Linotype" w:cs="Palatino Linotype"/>
          <w:sz w:val="18"/>
          <w:szCs w:val="18"/>
        </w:rPr>
        <w:t>reg,t</w:t>
      </w:r>
      <w:proofErr w:type="gramEnd"/>
      <w:r>
        <w:rPr>
          <w:rFonts w:ascii="Palatino Linotype" w:eastAsia="Palatino Linotype" w:hAnsi="Palatino Linotype" w:cs="Palatino Linotype"/>
          <w:sz w:val="18"/>
          <w:szCs w:val="18"/>
        </w:rPr>
        <w:t>-1 + 3×r_</w:t>
      </w:r>
      <w:proofErr w:type="gramStart"/>
      <w:r>
        <w:rPr>
          <w:rFonts w:ascii="Palatino Linotype" w:eastAsia="Palatino Linotype" w:hAnsi="Palatino Linotype" w:cs="Palatino Linotype"/>
          <w:sz w:val="18"/>
          <w:szCs w:val="18"/>
        </w:rPr>
        <w:t>reg,t</w:t>
      </w:r>
      <w:proofErr w:type="gramEnd"/>
      <w:r>
        <w:rPr>
          <w:rFonts w:ascii="Palatino Linotype" w:eastAsia="Palatino Linotype" w:hAnsi="Palatino Linotype" w:cs="Palatino Linotype"/>
          <w:sz w:val="18"/>
          <w:szCs w:val="18"/>
        </w:rPr>
        <w:t xml:space="preserve">-2 + 1×r_lg) / 13 + </w:t>
      </w:r>
      <w:proofErr w:type="spellStart"/>
      <w:r>
        <w:rPr>
          <w:rFonts w:ascii="Palatino Linotype" w:eastAsia="Palatino Linotype" w:hAnsi="Palatino Linotype" w:cs="Palatino Linotype"/>
          <w:sz w:val="18"/>
          <w:szCs w:val="18"/>
        </w:rPr>
        <w:t>age_delta</w:t>
      </w:r>
      <w:proofErr w:type="spellEnd"/>
    </w:p>
    <w:p w14:paraId="2E9F29A1" w14:textId="77777777" w:rsidR="000202A0" w:rsidRDefault="00000000">
      <w:pPr>
        <w:spacing w:after="80"/>
        <w:ind w:firstLine="431"/>
        <w:jc w:val="both"/>
      </w:pPr>
      <w:r>
        <w:rPr>
          <w:rFonts w:ascii="Palatino Linotype" w:eastAsia="Palatino Linotype" w:hAnsi="Palatino Linotype" w:cs="Palatino Linotype"/>
          <w:color w:val="000000"/>
          <w:sz w:val="18"/>
          <w:szCs w:val="18"/>
        </w:rPr>
        <w:t>Definition of terms:</w:t>
      </w:r>
    </w:p>
    <w:p w14:paraId="2B0CC148" w14:textId="77777777" w:rsidR="000202A0" w:rsidRDefault="00000000">
      <w:pPr>
        <w:spacing w:after="60"/>
        <w:ind w:left="431"/>
      </w:pPr>
      <w:r>
        <w:rPr>
          <w:rFonts w:ascii="Palatino Linotype" w:eastAsia="Palatino Linotype" w:hAnsi="Palatino Linotype" w:cs="Palatino Linotype"/>
          <w:sz w:val="18"/>
          <w:szCs w:val="18"/>
        </w:rPr>
        <w:t xml:space="preserve">• </w:t>
      </w:r>
      <w:proofErr w:type="spellStart"/>
      <w:r>
        <w:rPr>
          <w:rFonts w:ascii="Palatino Linotype" w:eastAsia="Palatino Linotype" w:hAnsi="Palatino Linotype" w:cs="Palatino Linotype"/>
          <w:sz w:val="18"/>
          <w:szCs w:val="18"/>
        </w:rPr>
        <w:t>r_reg</w:t>
      </w:r>
      <w:proofErr w:type="spellEnd"/>
      <w:r>
        <w:rPr>
          <w:rFonts w:ascii="Palatino Linotype" w:eastAsia="Palatino Linotype" w:hAnsi="Palatino Linotype" w:cs="Palatino Linotype"/>
          <w:sz w:val="18"/>
          <w:szCs w:val="18"/>
        </w:rPr>
        <w:t>, t = regressed rate statistic from the most recent season</w:t>
      </w:r>
    </w:p>
    <w:p w14:paraId="235FBF0D" w14:textId="77777777" w:rsidR="000202A0" w:rsidRDefault="00000000">
      <w:pPr>
        <w:spacing w:after="60"/>
        <w:ind w:left="431"/>
      </w:pPr>
      <w:r>
        <w:rPr>
          <w:rFonts w:ascii="Palatino Linotype" w:eastAsia="Palatino Linotype" w:hAnsi="Palatino Linotype" w:cs="Palatino Linotype"/>
          <w:sz w:val="18"/>
          <w:szCs w:val="18"/>
        </w:rPr>
        <w:t xml:space="preserve">• </w:t>
      </w:r>
      <w:proofErr w:type="spellStart"/>
      <w:r>
        <w:rPr>
          <w:rFonts w:ascii="Palatino Linotype" w:eastAsia="Palatino Linotype" w:hAnsi="Palatino Linotype" w:cs="Palatino Linotype"/>
          <w:sz w:val="18"/>
          <w:szCs w:val="18"/>
        </w:rPr>
        <w:t>r_reg</w:t>
      </w:r>
      <w:proofErr w:type="spellEnd"/>
      <w:r>
        <w:rPr>
          <w:rFonts w:ascii="Palatino Linotype" w:eastAsia="Palatino Linotype" w:hAnsi="Palatino Linotype" w:cs="Palatino Linotype"/>
          <w:sz w:val="18"/>
          <w:szCs w:val="18"/>
        </w:rPr>
        <w:t>, t-1 = regressed rate statistic from one season prior</w:t>
      </w:r>
    </w:p>
    <w:p w14:paraId="2B310BAC" w14:textId="77777777" w:rsidR="000202A0" w:rsidRDefault="00000000">
      <w:pPr>
        <w:spacing w:after="60"/>
        <w:ind w:left="431"/>
      </w:pPr>
      <w:r>
        <w:rPr>
          <w:rFonts w:ascii="Palatino Linotype" w:eastAsia="Palatino Linotype" w:hAnsi="Palatino Linotype" w:cs="Palatino Linotype"/>
          <w:sz w:val="18"/>
          <w:szCs w:val="18"/>
        </w:rPr>
        <w:t xml:space="preserve">• </w:t>
      </w:r>
      <w:proofErr w:type="spellStart"/>
      <w:r>
        <w:rPr>
          <w:rFonts w:ascii="Palatino Linotype" w:eastAsia="Palatino Linotype" w:hAnsi="Palatino Linotype" w:cs="Palatino Linotype"/>
          <w:sz w:val="18"/>
          <w:szCs w:val="18"/>
        </w:rPr>
        <w:t>r_reg</w:t>
      </w:r>
      <w:proofErr w:type="spellEnd"/>
      <w:r>
        <w:rPr>
          <w:rFonts w:ascii="Palatino Linotype" w:eastAsia="Palatino Linotype" w:hAnsi="Palatino Linotype" w:cs="Palatino Linotype"/>
          <w:sz w:val="18"/>
          <w:szCs w:val="18"/>
        </w:rPr>
        <w:t>, t-2 = regressed rate statistic from two seasons prior</w:t>
      </w:r>
    </w:p>
    <w:p w14:paraId="139996EF" w14:textId="77777777" w:rsidR="000202A0" w:rsidRDefault="00000000">
      <w:pPr>
        <w:spacing w:after="60"/>
        <w:ind w:left="431"/>
      </w:pPr>
      <w:r>
        <w:rPr>
          <w:rFonts w:ascii="Palatino Linotype" w:eastAsia="Palatino Linotype" w:hAnsi="Palatino Linotype" w:cs="Palatino Linotype"/>
          <w:sz w:val="18"/>
          <w:szCs w:val="18"/>
        </w:rPr>
        <w:t xml:space="preserve">• </w:t>
      </w:r>
      <w:proofErr w:type="spellStart"/>
      <w:r>
        <w:rPr>
          <w:rFonts w:ascii="Palatino Linotype" w:eastAsia="Palatino Linotype" w:hAnsi="Palatino Linotype" w:cs="Palatino Linotype"/>
          <w:sz w:val="18"/>
          <w:szCs w:val="18"/>
        </w:rPr>
        <w:t>r_lg</w:t>
      </w:r>
      <w:proofErr w:type="spellEnd"/>
      <w:r>
        <w:rPr>
          <w:rFonts w:ascii="Palatino Linotype" w:eastAsia="Palatino Linotype" w:hAnsi="Palatino Linotype" w:cs="Palatino Linotype"/>
          <w:sz w:val="18"/>
          <w:szCs w:val="18"/>
        </w:rPr>
        <w:t xml:space="preserve"> = league average for the most recent season</w:t>
      </w:r>
    </w:p>
    <w:p w14:paraId="06401350" w14:textId="77777777" w:rsidR="000202A0" w:rsidRDefault="00000000">
      <w:pPr>
        <w:spacing w:after="60"/>
        <w:ind w:left="431"/>
      </w:pPr>
      <w:r>
        <w:rPr>
          <w:rFonts w:ascii="Palatino Linotype" w:eastAsia="Palatino Linotype" w:hAnsi="Palatino Linotype" w:cs="Palatino Linotype"/>
          <w:sz w:val="18"/>
          <w:szCs w:val="18"/>
        </w:rPr>
        <w:t xml:space="preserve">• </w:t>
      </w:r>
      <w:proofErr w:type="spellStart"/>
      <w:r>
        <w:rPr>
          <w:rFonts w:ascii="Palatino Linotype" w:eastAsia="Palatino Linotype" w:hAnsi="Palatino Linotype" w:cs="Palatino Linotype"/>
          <w:sz w:val="18"/>
          <w:szCs w:val="18"/>
        </w:rPr>
        <w:t>age_delta</w:t>
      </w:r>
      <w:proofErr w:type="spellEnd"/>
      <w:r>
        <w:rPr>
          <w:rFonts w:ascii="Palatino Linotype" w:eastAsia="Palatino Linotype" w:hAnsi="Palatino Linotype" w:cs="Palatino Linotype"/>
          <w:sz w:val="18"/>
          <w:szCs w:val="18"/>
        </w:rPr>
        <w:t xml:space="preserve"> = single-year change from the cumulative aging curve at the player's projected age</w:t>
      </w:r>
    </w:p>
    <w:p w14:paraId="63319849" w14:textId="77777777" w:rsidR="000202A0" w:rsidRDefault="00000000">
      <w:pPr>
        <w:spacing w:after="60"/>
        <w:ind w:left="431"/>
      </w:pPr>
      <w:r>
        <w:rPr>
          <w:rFonts w:ascii="Palatino Linotype" w:eastAsia="Palatino Linotype" w:hAnsi="Palatino Linotype" w:cs="Palatino Linotype"/>
          <w:sz w:val="18"/>
          <w:szCs w:val="18"/>
        </w:rPr>
        <w:t>• Denominator = 13 (5 + 4 + 3 + 1) for players with three full seasons</w:t>
      </w:r>
    </w:p>
    <w:p w14:paraId="00AC1984" w14:textId="77777777" w:rsidR="000202A0" w:rsidRDefault="000202A0">
      <w:pPr>
        <w:spacing w:after="100"/>
      </w:pPr>
    </w:p>
    <w:p w14:paraId="655B8D21" w14:textId="77777777" w:rsidR="000202A0" w:rsidRDefault="00000000">
      <w:pPr>
        <w:spacing w:before="200" w:after="160"/>
      </w:pPr>
      <w:r>
        <w:rPr>
          <w:rFonts w:ascii="Palatino Linotype" w:eastAsia="Palatino Linotype" w:hAnsi="Palatino Linotype" w:cs="Palatino Linotype"/>
          <w:b/>
          <w:bCs/>
        </w:rPr>
        <w:t>4. Experimental Setup</w:t>
      </w:r>
    </w:p>
    <w:p w14:paraId="5A7F4B36" w14:textId="6BC94EED" w:rsidR="003F3DD5" w:rsidRDefault="00000000">
      <w:pPr>
        <w:spacing w:after="80"/>
        <w:ind w:firstLine="431"/>
        <w:jc w:val="both"/>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 xml:space="preserve">Statiz was used as the main KBO database to examine the 2016 to 2025 seasons, with 160 hitters (PA ≥ 300). </w:t>
      </w:r>
      <w:r w:rsidR="00FF1D2B">
        <w:rPr>
          <w:rFonts w:ascii="Palatino Linotype" w:eastAsia="Palatino Linotype" w:hAnsi="Palatino Linotype" w:cs="Palatino Linotype"/>
          <w:color w:val="000000"/>
          <w:sz w:val="18"/>
          <w:szCs w:val="18"/>
        </w:rPr>
        <w:t xml:space="preserve">The 300 PA threshold was selected to ensure statistical stability in the regression-to-the-mean estimates Below this threshold, single-season performance is heavily influenced by random variation, making the empirical Bayes correction unreliable. This cutoff is consistent with established practice in MLB projection research and reflects a deliberate trade-off; while excluding players below 300 PA improves projection reliability for qualified hitters, it limits the system’s coverage of bench players, platoon players, and younger developing hitters. This scope restriction is acknowledged as a limitation </w:t>
      </w:r>
      <w:r w:rsidR="003F3DD5">
        <w:rPr>
          <w:rFonts w:ascii="Palatino Linotype" w:eastAsia="Palatino Linotype" w:hAnsi="Palatino Linotype" w:cs="Palatino Linotype"/>
          <w:color w:val="000000"/>
          <w:sz w:val="18"/>
          <w:szCs w:val="18"/>
        </w:rPr>
        <w:t>of</w:t>
      </w:r>
      <w:r w:rsidR="00FF1D2B">
        <w:rPr>
          <w:rFonts w:ascii="Palatino Linotype" w:eastAsia="Palatino Linotype" w:hAnsi="Palatino Linotype" w:cs="Palatino Linotype"/>
          <w:color w:val="000000"/>
          <w:sz w:val="18"/>
          <w:szCs w:val="18"/>
        </w:rPr>
        <w:t xml:space="preserve"> the current study and represents a direction for future work. </w:t>
      </w:r>
      <w:r>
        <w:rPr>
          <w:rFonts w:ascii="Palatino Linotype" w:eastAsia="Palatino Linotype" w:hAnsi="Palatino Linotype" w:cs="Palatino Linotype"/>
          <w:color w:val="000000"/>
          <w:sz w:val="18"/>
          <w:szCs w:val="18"/>
        </w:rPr>
        <w:t xml:space="preserve">Seasons 2016 to 2020 were used as training data, while seasons 2021 to 2024 were held-out test seasons used for validation. </w:t>
      </w:r>
      <w:r w:rsidR="003F3DD5">
        <w:rPr>
          <w:rFonts w:ascii="Palatino Linotype" w:eastAsia="Palatino Linotype" w:hAnsi="Palatino Linotype" w:cs="Palatino Linotype"/>
          <w:color w:val="000000"/>
          <w:sz w:val="18"/>
          <w:szCs w:val="18"/>
        </w:rPr>
        <w:t xml:space="preserve">It is important to distinguish between two types of data used in this </w:t>
      </w:r>
      <w:r w:rsidR="003F3DD5">
        <w:rPr>
          <w:rFonts w:ascii="Palatino Linotype" w:eastAsia="Palatino Linotype" w:hAnsi="Palatino Linotype" w:cs="Palatino Linotype"/>
          <w:color w:val="000000"/>
          <w:sz w:val="18"/>
          <w:szCs w:val="18"/>
        </w:rPr>
        <w:lastRenderedPageBreak/>
        <w:t xml:space="preserve">system. Individual player projections are generated using only data available before each target year: player-level statistics, regression estimates, and league averages are strictly restricted to seasons prior to the year being projected, ensuring no leakage at the individual level. Aging curves, however, are estimated at the population level using the full dataset (2016-2025). This is intentional: the delta-method aging curves capture aggregate year-over-year changes across all players and represent a general prior on career trajectories rather than any individual player’s future performance. Using population-level aging parameters estimated on the full sample is analogous to using a fixed prior in Bayesian inference, the curves encode the general shape of aging in the KBO, not player-specific future outcomes. No individual players held-out season statistics contribute to the aging curve estimates in a way that would reveal their future performance to the projection model. </w:t>
      </w:r>
    </w:p>
    <w:p w14:paraId="04422354" w14:textId="123BB36F" w:rsidR="000202A0" w:rsidRDefault="0052151D">
      <w:pPr>
        <w:spacing w:after="80"/>
        <w:ind w:firstLine="431"/>
        <w:jc w:val="both"/>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Performance was evaluated using Mean Absolute Error (MAE) and Pearson correlation coefficient (r). MAE measures average prediction error in the original unit of each statistic, while Pearson r captures the degree to which the projection rankings align with actual outcomes across players.  This data was then examined using three research questions: Does Marcel outperform naive baselines on KBO statistics? Does each model component (regression, age adjustment) contribute measurably? Do the 2026 projections align with mid-season 2026 outcomes?</w:t>
      </w:r>
    </w:p>
    <w:p w14:paraId="47D66F6F" w14:textId="77777777" w:rsidR="00617F49" w:rsidRPr="00617F49" w:rsidRDefault="00617F49" w:rsidP="00617F49">
      <w:pPr>
        <w:spacing w:after="80"/>
        <w:ind w:firstLine="431"/>
        <w:jc w:val="both"/>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 xml:space="preserve">While more complex forecasting methods exist, two baselines were selected for comparison: a prior-year-only model, which uses only the most recent season with no regression or multi-year weighting, and a league-average model, which predicts the same value for every player. These represent the simplest plausible alternatives and bracket the range of naïve forecasting strategies. A more flexible baseline, a 3-year unweighted average, was also computed and produced results intermediate between the prior-year and Marcel models across all statistics, confirming that the weighted multi-year approach adds predictive value beyond simple averaging. </w:t>
      </w:r>
    </w:p>
    <w:p w14:paraId="4FA3F2D2" w14:textId="77777777" w:rsidR="00617F49" w:rsidRDefault="00617F49">
      <w:pPr>
        <w:spacing w:after="80"/>
        <w:ind w:firstLine="431"/>
        <w:jc w:val="both"/>
      </w:pPr>
    </w:p>
    <w:p w14:paraId="78520183" w14:textId="77777777" w:rsidR="000202A0" w:rsidRDefault="00000000">
      <w:pPr>
        <w:spacing w:before="200" w:after="160"/>
      </w:pPr>
      <w:r>
        <w:rPr>
          <w:rFonts w:ascii="Palatino Linotype" w:eastAsia="Palatino Linotype" w:hAnsi="Palatino Linotype" w:cs="Palatino Linotype"/>
          <w:b/>
          <w:bCs/>
        </w:rPr>
        <w:t>5. Results</w:t>
      </w:r>
    </w:p>
    <w:p w14:paraId="7D110109" w14:textId="77777777" w:rsidR="000202A0" w:rsidRDefault="00000000">
      <w:pPr>
        <w:spacing w:before="160" w:after="120"/>
      </w:pPr>
      <w:r>
        <w:rPr>
          <w:rFonts w:ascii="Palatino Linotype" w:eastAsia="Palatino Linotype" w:hAnsi="Palatino Linotype" w:cs="Palatino Linotype"/>
          <w:b/>
          <w:bCs/>
          <w:sz w:val="18"/>
          <w:szCs w:val="18"/>
        </w:rPr>
        <w:t>5.1 Backtest Accuracy</w:t>
      </w:r>
    </w:p>
    <w:p w14:paraId="1061BF9E" w14:textId="77777777" w:rsidR="000202A0" w:rsidRDefault="00000000">
      <w:pPr>
        <w:spacing w:after="80"/>
        <w:ind w:firstLine="431"/>
        <w:jc w:val="both"/>
      </w:pPr>
      <w:r>
        <w:rPr>
          <w:rFonts w:ascii="Palatino Linotype" w:eastAsia="Palatino Linotype" w:hAnsi="Palatino Linotype" w:cs="Palatino Linotype"/>
          <w:color w:val="000000"/>
          <w:sz w:val="18"/>
          <w:szCs w:val="18"/>
        </w:rPr>
        <w:t>The 300 PA threshold was selected as the qualifying minimum because it represents the point at which KBO hitter statistics stabilize sufficiently for projection. A player reaching 300 PA in the KBO's 144-game season must appear in roughly two-thirds of games, making it a natural filter for consistent, full-time contributors. This is consistent with the finding that m ≈ 1 for all five statistics — by 300 PA, observed rate statistics already carry enough information that minimal regression toward the mean is needed.</w:t>
      </w:r>
    </w:p>
    <w:p w14:paraId="1100C1EE" w14:textId="3B87C4B1" w:rsidR="000202A0" w:rsidRDefault="00000000">
      <w:pPr>
        <w:spacing w:after="80"/>
        <w:ind w:firstLine="431"/>
        <w:jc w:val="both"/>
      </w:pPr>
      <w:r>
        <w:rPr>
          <w:rFonts w:ascii="Palatino Linotype" w:eastAsia="Palatino Linotype" w:hAnsi="Palatino Linotype" w:cs="Palatino Linotype"/>
          <w:color w:val="000000"/>
          <w:sz w:val="18"/>
          <w:szCs w:val="18"/>
        </w:rPr>
        <w:t xml:space="preserve">Marcel produced lower MAE than both baselines </w:t>
      </w:r>
      <w:r w:rsidR="004E3C4F">
        <w:rPr>
          <w:rFonts w:ascii="Palatino Linotype" w:eastAsia="Palatino Linotype" w:hAnsi="Palatino Linotype" w:cs="Palatino Linotype"/>
          <w:color w:val="000000"/>
          <w:sz w:val="18"/>
          <w:szCs w:val="18"/>
        </w:rPr>
        <w:t>in three of the</w:t>
      </w:r>
      <w:r>
        <w:rPr>
          <w:rFonts w:ascii="Palatino Linotype" w:eastAsia="Palatino Linotype" w:hAnsi="Palatino Linotype" w:cs="Palatino Linotype"/>
          <w:color w:val="000000"/>
          <w:sz w:val="18"/>
          <w:szCs w:val="18"/>
        </w:rPr>
        <w:t xml:space="preserve"> four backtest years for wOBA, ISO, and HR% — the three statistics where multi-year smoothing matters the most. Examining wOBA MAE in 2021: Marcel = 0.0219 vs Prior Year = 0.0243, an 8% improvement. Looking specifically at the 2024 result, with the prior year outperforming Marcel in both MAE and Pearson r, this is attributed to the mid-season ABS adoption [1], which may have caused a structural break in counting statistics that a single prior season captured better than a weighted multi-year average. Looking at the overall performance of MAE across all five statistics, Marcel consistently outperforms predictions based solely on the prior year. With the evaluation of all five statistics, looking at Pearson r, the prior year outperforms Marcel on BB% and K% due to the fact that these are highly sticky statistics and tend to stabilize quickly, fluctuating very little from year to year, so the prior year is more informative when predicting the next season for these specific statistics.</w:t>
      </w:r>
    </w:p>
    <w:p w14:paraId="651C7D68" w14:textId="77777777" w:rsidR="000202A0" w:rsidRDefault="000202A0">
      <w:pPr>
        <w:spacing w:after="80"/>
      </w:pPr>
    </w:p>
    <w:p w14:paraId="1103F698" w14:textId="77777777" w:rsidR="000202A0" w:rsidRDefault="00000000">
      <w:pPr>
        <w:spacing w:before="160" w:after="60"/>
      </w:pPr>
      <w:r>
        <w:rPr>
          <w:rFonts w:ascii="Palatino Linotype" w:eastAsia="Palatino Linotype" w:hAnsi="Palatino Linotype" w:cs="Palatino Linotype"/>
          <w:b/>
          <w:bCs/>
          <w:sz w:val="16"/>
          <w:szCs w:val="16"/>
        </w:rPr>
        <w:t xml:space="preserve">Table 2a. </w:t>
      </w:r>
      <w:r>
        <w:rPr>
          <w:rFonts w:ascii="Palatino Linotype" w:eastAsia="Palatino Linotype" w:hAnsi="Palatino Linotype" w:cs="Palatino Linotype"/>
          <w:sz w:val="16"/>
          <w:szCs w:val="16"/>
        </w:rPr>
        <w:t>wOBA projection accuracy by backtest year (n = 30–41 hitters per year). Bold values indicate best performance in each column. Marcel consistently achieves the lowest MAE; Pearson r advantage holds in 3 of 4 years.</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4"/>
        <w:gridCol w:w="1050"/>
        <w:gridCol w:w="1287"/>
        <w:gridCol w:w="961"/>
        <w:gridCol w:w="1050"/>
        <w:gridCol w:w="1287"/>
        <w:gridCol w:w="961"/>
      </w:tblGrid>
      <w:tr w:rsidR="000202A0" w14:paraId="3750A51B" w14:textId="77777777">
        <w:tc>
          <w:tcPr>
            <w:tcW w:w="0" w:type="auto"/>
            <w:shd w:val="clear" w:color="auto" w:fill="1F3864"/>
            <w:tcMar>
              <w:top w:w="50" w:type="dxa"/>
              <w:left w:w="80" w:type="dxa"/>
              <w:bottom w:w="50" w:type="dxa"/>
              <w:right w:w="80" w:type="dxa"/>
            </w:tcMar>
            <w:vAlign w:val="center"/>
          </w:tcPr>
          <w:p w14:paraId="6017E9B4" w14:textId="77777777" w:rsidR="000202A0" w:rsidRDefault="000202A0">
            <w:pPr>
              <w:jc w:val="center"/>
            </w:pPr>
          </w:p>
        </w:tc>
        <w:tc>
          <w:tcPr>
            <w:tcW w:w="0" w:type="auto"/>
            <w:gridSpan w:val="3"/>
            <w:shd w:val="clear" w:color="auto" w:fill="1F3864"/>
            <w:tcMar>
              <w:top w:w="50" w:type="dxa"/>
              <w:left w:w="80" w:type="dxa"/>
              <w:bottom w:w="50" w:type="dxa"/>
              <w:right w:w="80" w:type="dxa"/>
            </w:tcMar>
            <w:vAlign w:val="center"/>
          </w:tcPr>
          <w:p w14:paraId="106D78FB" w14:textId="77777777" w:rsidR="000202A0" w:rsidRDefault="00000000">
            <w:pPr>
              <w:jc w:val="center"/>
            </w:pPr>
            <w:r>
              <w:rPr>
                <w:rFonts w:ascii="Palatino Linotype" w:eastAsia="Palatino Linotype" w:hAnsi="Palatino Linotype" w:cs="Palatino Linotype"/>
                <w:b/>
                <w:bCs/>
                <w:color w:val="FFFFFF"/>
                <w:sz w:val="16"/>
                <w:szCs w:val="16"/>
              </w:rPr>
              <w:t>MAE (lower = better)</w:t>
            </w:r>
          </w:p>
        </w:tc>
        <w:tc>
          <w:tcPr>
            <w:tcW w:w="0" w:type="auto"/>
            <w:gridSpan w:val="3"/>
            <w:shd w:val="clear" w:color="auto" w:fill="1F3864"/>
            <w:tcMar>
              <w:top w:w="50" w:type="dxa"/>
              <w:left w:w="80" w:type="dxa"/>
              <w:bottom w:w="50" w:type="dxa"/>
              <w:right w:w="80" w:type="dxa"/>
            </w:tcMar>
            <w:vAlign w:val="center"/>
          </w:tcPr>
          <w:p w14:paraId="52C6FFD0" w14:textId="77777777" w:rsidR="000202A0" w:rsidRDefault="00000000">
            <w:pPr>
              <w:jc w:val="center"/>
            </w:pPr>
            <w:r>
              <w:rPr>
                <w:rFonts w:ascii="Palatino Linotype" w:eastAsia="Palatino Linotype" w:hAnsi="Palatino Linotype" w:cs="Palatino Linotype"/>
                <w:b/>
                <w:bCs/>
                <w:color w:val="FFFFFF"/>
                <w:sz w:val="16"/>
                <w:szCs w:val="16"/>
              </w:rPr>
              <w:t>Pearson r (higher = better)</w:t>
            </w:r>
          </w:p>
        </w:tc>
      </w:tr>
      <w:tr w:rsidR="000202A0" w14:paraId="1FBA1263" w14:textId="77777777">
        <w:tc>
          <w:tcPr>
            <w:tcW w:w="0" w:type="auto"/>
            <w:shd w:val="clear" w:color="auto" w:fill="1F3864"/>
            <w:tcMar>
              <w:top w:w="50" w:type="dxa"/>
              <w:left w:w="80" w:type="dxa"/>
              <w:bottom w:w="50" w:type="dxa"/>
              <w:right w:w="80" w:type="dxa"/>
            </w:tcMar>
            <w:vAlign w:val="center"/>
          </w:tcPr>
          <w:p w14:paraId="2BDACEC8" w14:textId="77777777" w:rsidR="000202A0" w:rsidRDefault="00000000">
            <w:pPr>
              <w:jc w:val="center"/>
            </w:pPr>
            <w:r>
              <w:rPr>
                <w:rFonts w:ascii="Palatino Linotype" w:eastAsia="Palatino Linotype" w:hAnsi="Palatino Linotype" w:cs="Palatino Linotype"/>
                <w:b/>
                <w:bCs/>
                <w:color w:val="FFFFFF"/>
                <w:sz w:val="16"/>
                <w:szCs w:val="16"/>
              </w:rPr>
              <w:t>Year</w:t>
            </w:r>
          </w:p>
        </w:tc>
        <w:tc>
          <w:tcPr>
            <w:tcW w:w="0" w:type="auto"/>
            <w:shd w:val="clear" w:color="auto" w:fill="1F3864"/>
            <w:tcMar>
              <w:top w:w="50" w:type="dxa"/>
              <w:left w:w="80" w:type="dxa"/>
              <w:bottom w:w="50" w:type="dxa"/>
              <w:right w:w="80" w:type="dxa"/>
            </w:tcMar>
            <w:vAlign w:val="center"/>
          </w:tcPr>
          <w:p w14:paraId="043B9D8F" w14:textId="77777777" w:rsidR="000202A0" w:rsidRDefault="00000000">
            <w:pPr>
              <w:jc w:val="center"/>
            </w:pPr>
            <w:r>
              <w:rPr>
                <w:rFonts w:ascii="Palatino Linotype" w:eastAsia="Palatino Linotype" w:hAnsi="Palatino Linotype" w:cs="Palatino Linotype"/>
                <w:b/>
                <w:bCs/>
                <w:color w:val="FFFFFF"/>
                <w:sz w:val="16"/>
                <w:szCs w:val="16"/>
              </w:rPr>
              <w:t>Lg. Avg</w:t>
            </w:r>
          </w:p>
        </w:tc>
        <w:tc>
          <w:tcPr>
            <w:tcW w:w="0" w:type="auto"/>
            <w:shd w:val="clear" w:color="auto" w:fill="1F3864"/>
            <w:tcMar>
              <w:top w:w="50" w:type="dxa"/>
              <w:left w:w="80" w:type="dxa"/>
              <w:bottom w:w="50" w:type="dxa"/>
              <w:right w:w="80" w:type="dxa"/>
            </w:tcMar>
            <w:vAlign w:val="center"/>
          </w:tcPr>
          <w:p w14:paraId="7E1834B0" w14:textId="77777777" w:rsidR="000202A0" w:rsidRDefault="00000000">
            <w:pPr>
              <w:jc w:val="center"/>
            </w:pPr>
            <w:r>
              <w:rPr>
                <w:rFonts w:ascii="Palatino Linotype" w:eastAsia="Palatino Linotype" w:hAnsi="Palatino Linotype" w:cs="Palatino Linotype"/>
                <w:b/>
                <w:bCs/>
                <w:color w:val="FFFFFF"/>
                <w:sz w:val="16"/>
                <w:szCs w:val="16"/>
              </w:rPr>
              <w:t>Prior Year</w:t>
            </w:r>
          </w:p>
        </w:tc>
        <w:tc>
          <w:tcPr>
            <w:tcW w:w="0" w:type="auto"/>
            <w:shd w:val="clear" w:color="auto" w:fill="1F3864"/>
            <w:tcMar>
              <w:top w:w="50" w:type="dxa"/>
              <w:left w:w="80" w:type="dxa"/>
              <w:bottom w:w="50" w:type="dxa"/>
              <w:right w:w="80" w:type="dxa"/>
            </w:tcMar>
            <w:vAlign w:val="center"/>
          </w:tcPr>
          <w:p w14:paraId="01AA378E" w14:textId="77777777" w:rsidR="000202A0" w:rsidRDefault="00000000">
            <w:pPr>
              <w:jc w:val="center"/>
            </w:pPr>
            <w:r>
              <w:rPr>
                <w:rFonts w:ascii="Palatino Linotype" w:eastAsia="Palatino Linotype" w:hAnsi="Palatino Linotype" w:cs="Palatino Linotype"/>
                <w:b/>
                <w:bCs/>
                <w:color w:val="FFFFFF"/>
                <w:sz w:val="16"/>
                <w:szCs w:val="16"/>
              </w:rPr>
              <w:t>Marcel</w:t>
            </w:r>
          </w:p>
        </w:tc>
        <w:tc>
          <w:tcPr>
            <w:tcW w:w="0" w:type="auto"/>
            <w:shd w:val="clear" w:color="auto" w:fill="1F3864"/>
            <w:tcMar>
              <w:top w:w="50" w:type="dxa"/>
              <w:left w:w="80" w:type="dxa"/>
              <w:bottom w:w="50" w:type="dxa"/>
              <w:right w:w="80" w:type="dxa"/>
            </w:tcMar>
            <w:vAlign w:val="center"/>
          </w:tcPr>
          <w:p w14:paraId="7A22008C" w14:textId="77777777" w:rsidR="000202A0" w:rsidRDefault="00000000">
            <w:pPr>
              <w:jc w:val="center"/>
            </w:pPr>
            <w:r>
              <w:rPr>
                <w:rFonts w:ascii="Palatino Linotype" w:eastAsia="Palatino Linotype" w:hAnsi="Palatino Linotype" w:cs="Palatino Linotype"/>
                <w:b/>
                <w:bCs/>
                <w:color w:val="FFFFFF"/>
                <w:sz w:val="16"/>
                <w:szCs w:val="16"/>
              </w:rPr>
              <w:t>Lg. Avg</w:t>
            </w:r>
          </w:p>
        </w:tc>
        <w:tc>
          <w:tcPr>
            <w:tcW w:w="0" w:type="auto"/>
            <w:shd w:val="clear" w:color="auto" w:fill="1F3864"/>
            <w:tcMar>
              <w:top w:w="50" w:type="dxa"/>
              <w:left w:w="80" w:type="dxa"/>
              <w:bottom w:w="50" w:type="dxa"/>
              <w:right w:w="80" w:type="dxa"/>
            </w:tcMar>
            <w:vAlign w:val="center"/>
          </w:tcPr>
          <w:p w14:paraId="057C0362" w14:textId="77777777" w:rsidR="000202A0" w:rsidRDefault="00000000">
            <w:pPr>
              <w:jc w:val="center"/>
            </w:pPr>
            <w:r>
              <w:rPr>
                <w:rFonts w:ascii="Palatino Linotype" w:eastAsia="Palatino Linotype" w:hAnsi="Palatino Linotype" w:cs="Palatino Linotype"/>
                <w:b/>
                <w:bCs/>
                <w:color w:val="FFFFFF"/>
                <w:sz w:val="16"/>
                <w:szCs w:val="16"/>
              </w:rPr>
              <w:t>Prior Year</w:t>
            </w:r>
          </w:p>
        </w:tc>
        <w:tc>
          <w:tcPr>
            <w:tcW w:w="0" w:type="auto"/>
            <w:shd w:val="clear" w:color="auto" w:fill="1F3864"/>
            <w:tcMar>
              <w:top w:w="50" w:type="dxa"/>
              <w:left w:w="80" w:type="dxa"/>
              <w:bottom w:w="50" w:type="dxa"/>
              <w:right w:w="80" w:type="dxa"/>
            </w:tcMar>
            <w:vAlign w:val="center"/>
          </w:tcPr>
          <w:p w14:paraId="019A83AC" w14:textId="77777777" w:rsidR="000202A0" w:rsidRDefault="00000000">
            <w:pPr>
              <w:jc w:val="center"/>
            </w:pPr>
            <w:r>
              <w:rPr>
                <w:rFonts w:ascii="Palatino Linotype" w:eastAsia="Palatino Linotype" w:hAnsi="Palatino Linotype" w:cs="Palatino Linotype"/>
                <w:b/>
                <w:bCs/>
                <w:color w:val="FFFFFF"/>
                <w:sz w:val="16"/>
                <w:szCs w:val="16"/>
              </w:rPr>
              <w:t>Marcel</w:t>
            </w:r>
          </w:p>
        </w:tc>
      </w:tr>
      <w:tr w:rsidR="000202A0" w14:paraId="4FEE6675" w14:textId="77777777">
        <w:tc>
          <w:tcPr>
            <w:tcW w:w="0" w:type="auto"/>
            <w:tcMar>
              <w:top w:w="40" w:type="dxa"/>
              <w:left w:w="80" w:type="dxa"/>
              <w:bottom w:w="40" w:type="dxa"/>
              <w:right w:w="80" w:type="dxa"/>
            </w:tcMar>
            <w:vAlign w:val="center"/>
          </w:tcPr>
          <w:p w14:paraId="40601C95" w14:textId="77777777" w:rsidR="000202A0" w:rsidRDefault="00000000">
            <w:pPr>
              <w:jc w:val="center"/>
            </w:pPr>
            <w:r>
              <w:rPr>
                <w:rFonts w:ascii="Palatino Linotype" w:eastAsia="Palatino Linotype" w:hAnsi="Palatino Linotype" w:cs="Palatino Linotype"/>
                <w:color w:val="000000"/>
                <w:sz w:val="16"/>
                <w:szCs w:val="16"/>
              </w:rPr>
              <w:t>2021</w:t>
            </w:r>
          </w:p>
        </w:tc>
        <w:tc>
          <w:tcPr>
            <w:tcW w:w="0" w:type="auto"/>
            <w:tcMar>
              <w:top w:w="40" w:type="dxa"/>
              <w:left w:w="80" w:type="dxa"/>
              <w:bottom w:w="40" w:type="dxa"/>
              <w:right w:w="80" w:type="dxa"/>
            </w:tcMar>
            <w:vAlign w:val="center"/>
          </w:tcPr>
          <w:p w14:paraId="42356372" w14:textId="77777777" w:rsidR="000202A0" w:rsidRDefault="00000000">
            <w:pPr>
              <w:jc w:val="center"/>
            </w:pPr>
            <w:r>
              <w:rPr>
                <w:rFonts w:ascii="Palatino Linotype" w:eastAsia="Palatino Linotype" w:hAnsi="Palatino Linotype" w:cs="Palatino Linotype"/>
                <w:color w:val="000000"/>
                <w:sz w:val="16"/>
                <w:szCs w:val="16"/>
              </w:rPr>
              <w:t>0.0294</w:t>
            </w:r>
          </w:p>
        </w:tc>
        <w:tc>
          <w:tcPr>
            <w:tcW w:w="0" w:type="auto"/>
            <w:tcMar>
              <w:top w:w="40" w:type="dxa"/>
              <w:left w:w="80" w:type="dxa"/>
              <w:bottom w:w="40" w:type="dxa"/>
              <w:right w:w="80" w:type="dxa"/>
            </w:tcMar>
            <w:vAlign w:val="center"/>
          </w:tcPr>
          <w:p w14:paraId="1534F072" w14:textId="77777777" w:rsidR="000202A0" w:rsidRDefault="00000000">
            <w:pPr>
              <w:jc w:val="center"/>
            </w:pPr>
            <w:r>
              <w:rPr>
                <w:rFonts w:ascii="Palatino Linotype" w:eastAsia="Palatino Linotype" w:hAnsi="Palatino Linotype" w:cs="Palatino Linotype"/>
                <w:color w:val="000000"/>
                <w:sz w:val="16"/>
                <w:szCs w:val="16"/>
              </w:rPr>
              <w:t>0.0243</w:t>
            </w:r>
          </w:p>
        </w:tc>
        <w:tc>
          <w:tcPr>
            <w:tcW w:w="0" w:type="auto"/>
            <w:tcMar>
              <w:top w:w="40" w:type="dxa"/>
              <w:left w:w="80" w:type="dxa"/>
              <w:bottom w:w="40" w:type="dxa"/>
              <w:right w:w="80" w:type="dxa"/>
            </w:tcMar>
            <w:vAlign w:val="center"/>
          </w:tcPr>
          <w:p w14:paraId="2AF90BB3" w14:textId="77777777" w:rsidR="000202A0" w:rsidRDefault="00000000">
            <w:pPr>
              <w:jc w:val="center"/>
            </w:pPr>
            <w:r>
              <w:rPr>
                <w:rFonts w:ascii="Palatino Linotype" w:eastAsia="Palatino Linotype" w:hAnsi="Palatino Linotype" w:cs="Palatino Linotype"/>
                <w:b/>
                <w:bCs/>
                <w:color w:val="1A5276"/>
                <w:sz w:val="16"/>
                <w:szCs w:val="16"/>
              </w:rPr>
              <w:t>0.0219</w:t>
            </w:r>
          </w:p>
        </w:tc>
        <w:tc>
          <w:tcPr>
            <w:tcW w:w="0" w:type="auto"/>
            <w:tcMar>
              <w:top w:w="40" w:type="dxa"/>
              <w:left w:w="80" w:type="dxa"/>
              <w:bottom w:w="40" w:type="dxa"/>
              <w:right w:w="80" w:type="dxa"/>
            </w:tcMar>
            <w:vAlign w:val="center"/>
          </w:tcPr>
          <w:p w14:paraId="2F42940A" w14:textId="77777777" w:rsidR="000202A0" w:rsidRDefault="00000000">
            <w:pPr>
              <w:jc w:val="center"/>
            </w:pPr>
            <w:r>
              <w:rPr>
                <w:rFonts w:ascii="Palatino Linotype" w:eastAsia="Palatino Linotype" w:hAnsi="Palatino Linotype" w:cs="Palatino Linotype"/>
                <w:color w:val="000000"/>
                <w:sz w:val="16"/>
                <w:szCs w:val="16"/>
              </w:rPr>
              <w:t>—</w:t>
            </w:r>
          </w:p>
        </w:tc>
        <w:tc>
          <w:tcPr>
            <w:tcW w:w="0" w:type="auto"/>
            <w:tcMar>
              <w:top w:w="40" w:type="dxa"/>
              <w:left w:w="80" w:type="dxa"/>
              <w:bottom w:w="40" w:type="dxa"/>
              <w:right w:w="80" w:type="dxa"/>
            </w:tcMar>
            <w:vAlign w:val="center"/>
          </w:tcPr>
          <w:p w14:paraId="28361E73" w14:textId="77777777" w:rsidR="000202A0" w:rsidRDefault="00000000">
            <w:pPr>
              <w:jc w:val="center"/>
            </w:pPr>
            <w:r>
              <w:rPr>
                <w:rFonts w:ascii="Palatino Linotype" w:eastAsia="Palatino Linotype" w:hAnsi="Palatino Linotype" w:cs="Palatino Linotype"/>
                <w:color w:val="000000"/>
                <w:sz w:val="16"/>
                <w:szCs w:val="16"/>
              </w:rPr>
              <w:t>0.577</w:t>
            </w:r>
          </w:p>
        </w:tc>
        <w:tc>
          <w:tcPr>
            <w:tcW w:w="0" w:type="auto"/>
            <w:tcMar>
              <w:top w:w="40" w:type="dxa"/>
              <w:left w:w="80" w:type="dxa"/>
              <w:bottom w:w="40" w:type="dxa"/>
              <w:right w:w="80" w:type="dxa"/>
            </w:tcMar>
            <w:vAlign w:val="center"/>
          </w:tcPr>
          <w:p w14:paraId="3F3ADAF3" w14:textId="77777777" w:rsidR="000202A0" w:rsidRDefault="00000000">
            <w:pPr>
              <w:jc w:val="center"/>
            </w:pPr>
            <w:r>
              <w:rPr>
                <w:rFonts w:ascii="Palatino Linotype" w:eastAsia="Palatino Linotype" w:hAnsi="Palatino Linotype" w:cs="Palatino Linotype"/>
                <w:b/>
                <w:bCs/>
                <w:color w:val="1A5276"/>
                <w:sz w:val="16"/>
                <w:szCs w:val="16"/>
              </w:rPr>
              <w:t>0.561</w:t>
            </w:r>
          </w:p>
        </w:tc>
      </w:tr>
      <w:tr w:rsidR="000202A0" w14:paraId="3542C18C" w14:textId="77777777">
        <w:tc>
          <w:tcPr>
            <w:tcW w:w="0" w:type="auto"/>
            <w:shd w:val="clear" w:color="auto" w:fill="D6E4F0"/>
            <w:tcMar>
              <w:top w:w="40" w:type="dxa"/>
              <w:left w:w="80" w:type="dxa"/>
              <w:bottom w:w="40" w:type="dxa"/>
              <w:right w:w="80" w:type="dxa"/>
            </w:tcMar>
            <w:vAlign w:val="center"/>
          </w:tcPr>
          <w:p w14:paraId="07DD699A" w14:textId="77777777" w:rsidR="000202A0" w:rsidRDefault="00000000">
            <w:pPr>
              <w:jc w:val="center"/>
            </w:pPr>
            <w:r>
              <w:rPr>
                <w:rFonts w:ascii="Palatino Linotype" w:eastAsia="Palatino Linotype" w:hAnsi="Palatino Linotype" w:cs="Palatino Linotype"/>
                <w:color w:val="000000"/>
                <w:sz w:val="16"/>
                <w:szCs w:val="16"/>
              </w:rPr>
              <w:lastRenderedPageBreak/>
              <w:t>2022</w:t>
            </w:r>
          </w:p>
        </w:tc>
        <w:tc>
          <w:tcPr>
            <w:tcW w:w="0" w:type="auto"/>
            <w:shd w:val="clear" w:color="auto" w:fill="D6E4F0"/>
            <w:tcMar>
              <w:top w:w="40" w:type="dxa"/>
              <w:left w:w="80" w:type="dxa"/>
              <w:bottom w:w="40" w:type="dxa"/>
              <w:right w:w="80" w:type="dxa"/>
            </w:tcMar>
            <w:vAlign w:val="center"/>
          </w:tcPr>
          <w:p w14:paraId="5428FD47" w14:textId="77777777" w:rsidR="000202A0" w:rsidRDefault="00000000">
            <w:pPr>
              <w:jc w:val="center"/>
            </w:pPr>
            <w:r>
              <w:rPr>
                <w:rFonts w:ascii="Palatino Linotype" w:eastAsia="Palatino Linotype" w:hAnsi="Palatino Linotype" w:cs="Palatino Linotype"/>
                <w:color w:val="000000"/>
                <w:sz w:val="16"/>
                <w:szCs w:val="16"/>
              </w:rPr>
              <w:t>0.0275</w:t>
            </w:r>
          </w:p>
        </w:tc>
        <w:tc>
          <w:tcPr>
            <w:tcW w:w="0" w:type="auto"/>
            <w:shd w:val="clear" w:color="auto" w:fill="D6E4F0"/>
            <w:tcMar>
              <w:top w:w="40" w:type="dxa"/>
              <w:left w:w="80" w:type="dxa"/>
              <w:bottom w:w="40" w:type="dxa"/>
              <w:right w:w="80" w:type="dxa"/>
            </w:tcMar>
            <w:vAlign w:val="center"/>
          </w:tcPr>
          <w:p w14:paraId="43897FCF" w14:textId="77777777" w:rsidR="000202A0" w:rsidRDefault="00000000">
            <w:pPr>
              <w:jc w:val="center"/>
            </w:pPr>
            <w:r>
              <w:rPr>
                <w:rFonts w:ascii="Palatino Linotype" w:eastAsia="Palatino Linotype" w:hAnsi="Palatino Linotype" w:cs="Palatino Linotype"/>
                <w:color w:val="000000"/>
                <w:sz w:val="16"/>
                <w:szCs w:val="16"/>
              </w:rPr>
              <w:t>0.0263</w:t>
            </w:r>
          </w:p>
        </w:tc>
        <w:tc>
          <w:tcPr>
            <w:tcW w:w="0" w:type="auto"/>
            <w:shd w:val="clear" w:color="auto" w:fill="D6E4F0"/>
            <w:tcMar>
              <w:top w:w="40" w:type="dxa"/>
              <w:left w:w="80" w:type="dxa"/>
              <w:bottom w:w="40" w:type="dxa"/>
              <w:right w:w="80" w:type="dxa"/>
            </w:tcMar>
            <w:vAlign w:val="center"/>
          </w:tcPr>
          <w:p w14:paraId="0CF8FB13" w14:textId="77777777" w:rsidR="000202A0" w:rsidRDefault="00000000">
            <w:pPr>
              <w:jc w:val="center"/>
            </w:pPr>
            <w:r>
              <w:rPr>
                <w:rFonts w:ascii="Palatino Linotype" w:eastAsia="Palatino Linotype" w:hAnsi="Palatino Linotype" w:cs="Palatino Linotype"/>
                <w:b/>
                <w:bCs/>
                <w:color w:val="1A5276"/>
                <w:sz w:val="16"/>
                <w:szCs w:val="16"/>
              </w:rPr>
              <w:t>0.0192</w:t>
            </w:r>
          </w:p>
        </w:tc>
        <w:tc>
          <w:tcPr>
            <w:tcW w:w="0" w:type="auto"/>
            <w:shd w:val="clear" w:color="auto" w:fill="D6E4F0"/>
            <w:tcMar>
              <w:top w:w="40" w:type="dxa"/>
              <w:left w:w="80" w:type="dxa"/>
              <w:bottom w:w="40" w:type="dxa"/>
              <w:right w:w="80" w:type="dxa"/>
            </w:tcMar>
            <w:vAlign w:val="center"/>
          </w:tcPr>
          <w:p w14:paraId="46C4B755" w14:textId="77777777" w:rsidR="000202A0" w:rsidRDefault="00000000">
            <w:pPr>
              <w:jc w:val="center"/>
            </w:pPr>
            <w:r>
              <w:rPr>
                <w:rFonts w:ascii="Palatino Linotype" w:eastAsia="Palatino Linotype" w:hAnsi="Palatino Linotype" w:cs="Palatino Linotype"/>
                <w:color w:val="000000"/>
                <w:sz w:val="16"/>
                <w:szCs w:val="16"/>
              </w:rPr>
              <w:t>—</w:t>
            </w:r>
          </w:p>
        </w:tc>
        <w:tc>
          <w:tcPr>
            <w:tcW w:w="0" w:type="auto"/>
            <w:shd w:val="clear" w:color="auto" w:fill="D6E4F0"/>
            <w:tcMar>
              <w:top w:w="40" w:type="dxa"/>
              <w:left w:w="80" w:type="dxa"/>
              <w:bottom w:w="40" w:type="dxa"/>
              <w:right w:w="80" w:type="dxa"/>
            </w:tcMar>
            <w:vAlign w:val="center"/>
          </w:tcPr>
          <w:p w14:paraId="03BA10E6" w14:textId="77777777" w:rsidR="000202A0" w:rsidRDefault="00000000">
            <w:pPr>
              <w:jc w:val="center"/>
            </w:pPr>
            <w:r>
              <w:rPr>
                <w:rFonts w:ascii="Palatino Linotype" w:eastAsia="Palatino Linotype" w:hAnsi="Palatino Linotype" w:cs="Palatino Linotype"/>
                <w:color w:val="000000"/>
                <w:sz w:val="16"/>
                <w:szCs w:val="16"/>
              </w:rPr>
              <w:t>0.583</w:t>
            </w:r>
          </w:p>
        </w:tc>
        <w:tc>
          <w:tcPr>
            <w:tcW w:w="0" w:type="auto"/>
            <w:shd w:val="clear" w:color="auto" w:fill="D6E4F0"/>
            <w:tcMar>
              <w:top w:w="40" w:type="dxa"/>
              <w:left w:w="80" w:type="dxa"/>
              <w:bottom w:w="40" w:type="dxa"/>
              <w:right w:w="80" w:type="dxa"/>
            </w:tcMar>
            <w:vAlign w:val="center"/>
          </w:tcPr>
          <w:p w14:paraId="1426F2F1" w14:textId="77777777" w:rsidR="000202A0" w:rsidRDefault="00000000">
            <w:pPr>
              <w:jc w:val="center"/>
            </w:pPr>
            <w:r>
              <w:rPr>
                <w:rFonts w:ascii="Palatino Linotype" w:eastAsia="Palatino Linotype" w:hAnsi="Palatino Linotype" w:cs="Palatino Linotype"/>
                <w:b/>
                <w:bCs/>
                <w:color w:val="1A5276"/>
                <w:sz w:val="16"/>
                <w:szCs w:val="16"/>
              </w:rPr>
              <w:t>0.692</w:t>
            </w:r>
          </w:p>
        </w:tc>
      </w:tr>
      <w:tr w:rsidR="000202A0" w14:paraId="60D1643C" w14:textId="77777777">
        <w:tc>
          <w:tcPr>
            <w:tcW w:w="0" w:type="auto"/>
            <w:tcMar>
              <w:top w:w="40" w:type="dxa"/>
              <w:left w:w="80" w:type="dxa"/>
              <w:bottom w:w="40" w:type="dxa"/>
              <w:right w:w="80" w:type="dxa"/>
            </w:tcMar>
            <w:vAlign w:val="center"/>
          </w:tcPr>
          <w:p w14:paraId="5D07E1F6" w14:textId="77777777" w:rsidR="000202A0" w:rsidRDefault="00000000">
            <w:pPr>
              <w:jc w:val="center"/>
            </w:pPr>
            <w:r>
              <w:rPr>
                <w:rFonts w:ascii="Palatino Linotype" w:eastAsia="Palatino Linotype" w:hAnsi="Palatino Linotype" w:cs="Palatino Linotype"/>
                <w:color w:val="000000"/>
                <w:sz w:val="16"/>
                <w:szCs w:val="16"/>
              </w:rPr>
              <w:t>2023</w:t>
            </w:r>
          </w:p>
        </w:tc>
        <w:tc>
          <w:tcPr>
            <w:tcW w:w="0" w:type="auto"/>
            <w:tcMar>
              <w:top w:w="40" w:type="dxa"/>
              <w:left w:w="80" w:type="dxa"/>
              <w:bottom w:w="40" w:type="dxa"/>
              <w:right w:w="80" w:type="dxa"/>
            </w:tcMar>
            <w:vAlign w:val="center"/>
          </w:tcPr>
          <w:p w14:paraId="12748CDC" w14:textId="77777777" w:rsidR="000202A0" w:rsidRDefault="00000000">
            <w:pPr>
              <w:jc w:val="center"/>
            </w:pPr>
            <w:r>
              <w:rPr>
                <w:rFonts w:ascii="Palatino Linotype" w:eastAsia="Palatino Linotype" w:hAnsi="Palatino Linotype" w:cs="Palatino Linotype"/>
                <w:color w:val="000000"/>
                <w:sz w:val="16"/>
                <w:szCs w:val="16"/>
              </w:rPr>
              <w:t>0.0250</w:t>
            </w:r>
          </w:p>
        </w:tc>
        <w:tc>
          <w:tcPr>
            <w:tcW w:w="0" w:type="auto"/>
            <w:tcMar>
              <w:top w:w="40" w:type="dxa"/>
              <w:left w:w="80" w:type="dxa"/>
              <w:bottom w:w="40" w:type="dxa"/>
              <w:right w:w="80" w:type="dxa"/>
            </w:tcMar>
            <w:vAlign w:val="center"/>
          </w:tcPr>
          <w:p w14:paraId="1C4C9C61" w14:textId="77777777" w:rsidR="000202A0" w:rsidRDefault="00000000">
            <w:pPr>
              <w:jc w:val="center"/>
            </w:pPr>
            <w:r>
              <w:rPr>
                <w:rFonts w:ascii="Palatino Linotype" w:eastAsia="Palatino Linotype" w:hAnsi="Palatino Linotype" w:cs="Palatino Linotype"/>
                <w:color w:val="000000"/>
                <w:sz w:val="16"/>
                <w:szCs w:val="16"/>
              </w:rPr>
              <w:t>0.0261</w:t>
            </w:r>
          </w:p>
        </w:tc>
        <w:tc>
          <w:tcPr>
            <w:tcW w:w="0" w:type="auto"/>
            <w:tcMar>
              <w:top w:w="40" w:type="dxa"/>
              <w:left w:w="80" w:type="dxa"/>
              <w:bottom w:w="40" w:type="dxa"/>
              <w:right w:w="80" w:type="dxa"/>
            </w:tcMar>
            <w:vAlign w:val="center"/>
          </w:tcPr>
          <w:p w14:paraId="42180184" w14:textId="77777777" w:rsidR="000202A0" w:rsidRDefault="00000000">
            <w:pPr>
              <w:jc w:val="center"/>
            </w:pPr>
            <w:r>
              <w:rPr>
                <w:rFonts w:ascii="Palatino Linotype" w:eastAsia="Palatino Linotype" w:hAnsi="Palatino Linotype" w:cs="Palatino Linotype"/>
                <w:b/>
                <w:bCs/>
                <w:color w:val="1A5276"/>
                <w:sz w:val="16"/>
                <w:szCs w:val="16"/>
              </w:rPr>
              <w:t>0.0202</w:t>
            </w:r>
          </w:p>
        </w:tc>
        <w:tc>
          <w:tcPr>
            <w:tcW w:w="0" w:type="auto"/>
            <w:tcMar>
              <w:top w:w="40" w:type="dxa"/>
              <w:left w:w="80" w:type="dxa"/>
              <w:bottom w:w="40" w:type="dxa"/>
              <w:right w:w="80" w:type="dxa"/>
            </w:tcMar>
            <w:vAlign w:val="center"/>
          </w:tcPr>
          <w:p w14:paraId="2DFEFB59" w14:textId="77777777" w:rsidR="000202A0" w:rsidRDefault="00000000">
            <w:pPr>
              <w:jc w:val="center"/>
            </w:pPr>
            <w:r>
              <w:rPr>
                <w:rFonts w:ascii="Palatino Linotype" w:eastAsia="Palatino Linotype" w:hAnsi="Palatino Linotype" w:cs="Palatino Linotype"/>
                <w:color w:val="000000"/>
                <w:sz w:val="16"/>
                <w:szCs w:val="16"/>
              </w:rPr>
              <w:t>—</w:t>
            </w:r>
          </w:p>
        </w:tc>
        <w:tc>
          <w:tcPr>
            <w:tcW w:w="0" w:type="auto"/>
            <w:tcMar>
              <w:top w:w="40" w:type="dxa"/>
              <w:left w:w="80" w:type="dxa"/>
              <w:bottom w:w="40" w:type="dxa"/>
              <w:right w:w="80" w:type="dxa"/>
            </w:tcMar>
            <w:vAlign w:val="center"/>
          </w:tcPr>
          <w:p w14:paraId="29FD495E" w14:textId="77777777" w:rsidR="000202A0" w:rsidRDefault="00000000">
            <w:pPr>
              <w:jc w:val="center"/>
            </w:pPr>
            <w:r>
              <w:rPr>
                <w:rFonts w:ascii="Palatino Linotype" w:eastAsia="Palatino Linotype" w:hAnsi="Palatino Linotype" w:cs="Palatino Linotype"/>
                <w:color w:val="000000"/>
                <w:sz w:val="16"/>
                <w:szCs w:val="16"/>
              </w:rPr>
              <w:t>0.371</w:t>
            </w:r>
          </w:p>
        </w:tc>
        <w:tc>
          <w:tcPr>
            <w:tcW w:w="0" w:type="auto"/>
            <w:tcMar>
              <w:top w:w="40" w:type="dxa"/>
              <w:left w:w="80" w:type="dxa"/>
              <w:bottom w:w="40" w:type="dxa"/>
              <w:right w:w="80" w:type="dxa"/>
            </w:tcMar>
            <w:vAlign w:val="center"/>
          </w:tcPr>
          <w:p w14:paraId="74F4724A" w14:textId="77777777" w:rsidR="000202A0" w:rsidRDefault="00000000">
            <w:pPr>
              <w:jc w:val="center"/>
            </w:pPr>
            <w:r>
              <w:rPr>
                <w:rFonts w:ascii="Palatino Linotype" w:eastAsia="Palatino Linotype" w:hAnsi="Palatino Linotype" w:cs="Palatino Linotype"/>
                <w:b/>
                <w:bCs/>
                <w:color w:val="1A5276"/>
                <w:sz w:val="16"/>
                <w:szCs w:val="16"/>
              </w:rPr>
              <w:t>0.608</w:t>
            </w:r>
          </w:p>
        </w:tc>
      </w:tr>
      <w:tr w:rsidR="000202A0" w14:paraId="0448C278" w14:textId="77777777">
        <w:tc>
          <w:tcPr>
            <w:tcW w:w="0" w:type="auto"/>
            <w:shd w:val="clear" w:color="auto" w:fill="D6E4F0"/>
            <w:tcMar>
              <w:top w:w="40" w:type="dxa"/>
              <w:left w:w="80" w:type="dxa"/>
              <w:bottom w:w="40" w:type="dxa"/>
              <w:right w:w="80" w:type="dxa"/>
            </w:tcMar>
            <w:vAlign w:val="center"/>
          </w:tcPr>
          <w:p w14:paraId="5BFF4C74" w14:textId="77777777" w:rsidR="000202A0" w:rsidRDefault="00000000">
            <w:pPr>
              <w:jc w:val="center"/>
            </w:pPr>
            <w:r>
              <w:rPr>
                <w:rFonts w:ascii="Palatino Linotype" w:eastAsia="Palatino Linotype" w:hAnsi="Palatino Linotype" w:cs="Palatino Linotype"/>
                <w:color w:val="000000"/>
                <w:sz w:val="16"/>
                <w:szCs w:val="16"/>
              </w:rPr>
              <w:t>2024</w:t>
            </w:r>
          </w:p>
        </w:tc>
        <w:tc>
          <w:tcPr>
            <w:tcW w:w="0" w:type="auto"/>
            <w:shd w:val="clear" w:color="auto" w:fill="D6E4F0"/>
            <w:tcMar>
              <w:top w:w="40" w:type="dxa"/>
              <w:left w:w="80" w:type="dxa"/>
              <w:bottom w:w="40" w:type="dxa"/>
              <w:right w:w="80" w:type="dxa"/>
            </w:tcMar>
            <w:vAlign w:val="center"/>
          </w:tcPr>
          <w:p w14:paraId="6C24E53D" w14:textId="77777777" w:rsidR="000202A0" w:rsidRDefault="00000000">
            <w:pPr>
              <w:jc w:val="center"/>
            </w:pPr>
            <w:r>
              <w:rPr>
                <w:rFonts w:ascii="Palatino Linotype" w:eastAsia="Palatino Linotype" w:hAnsi="Palatino Linotype" w:cs="Palatino Linotype"/>
                <w:color w:val="000000"/>
                <w:sz w:val="16"/>
                <w:szCs w:val="16"/>
              </w:rPr>
              <w:t>0.0278</w:t>
            </w:r>
          </w:p>
        </w:tc>
        <w:tc>
          <w:tcPr>
            <w:tcW w:w="0" w:type="auto"/>
            <w:shd w:val="clear" w:color="auto" w:fill="D6E4F0"/>
            <w:tcMar>
              <w:top w:w="40" w:type="dxa"/>
              <w:left w:w="80" w:type="dxa"/>
              <w:bottom w:w="40" w:type="dxa"/>
              <w:right w:w="80" w:type="dxa"/>
            </w:tcMar>
            <w:vAlign w:val="center"/>
          </w:tcPr>
          <w:p w14:paraId="5E7B52F7" w14:textId="77777777" w:rsidR="000202A0" w:rsidRDefault="00000000">
            <w:pPr>
              <w:jc w:val="center"/>
            </w:pPr>
            <w:r>
              <w:rPr>
                <w:rFonts w:ascii="Palatino Linotype" w:eastAsia="Palatino Linotype" w:hAnsi="Palatino Linotype" w:cs="Palatino Linotype"/>
                <w:color w:val="000000"/>
                <w:sz w:val="16"/>
                <w:szCs w:val="16"/>
              </w:rPr>
              <w:t>0.0230</w:t>
            </w:r>
          </w:p>
        </w:tc>
        <w:tc>
          <w:tcPr>
            <w:tcW w:w="0" w:type="auto"/>
            <w:shd w:val="clear" w:color="auto" w:fill="D6E4F0"/>
            <w:tcMar>
              <w:top w:w="40" w:type="dxa"/>
              <w:left w:w="80" w:type="dxa"/>
              <w:bottom w:w="40" w:type="dxa"/>
              <w:right w:w="80" w:type="dxa"/>
            </w:tcMar>
            <w:vAlign w:val="center"/>
          </w:tcPr>
          <w:p w14:paraId="3C2AA6AC" w14:textId="77777777" w:rsidR="000202A0" w:rsidRDefault="00000000">
            <w:pPr>
              <w:jc w:val="center"/>
            </w:pPr>
            <w:r>
              <w:rPr>
                <w:rFonts w:ascii="Palatino Linotype" w:eastAsia="Palatino Linotype" w:hAnsi="Palatino Linotype" w:cs="Palatino Linotype"/>
                <w:b/>
                <w:bCs/>
                <w:color w:val="1A5276"/>
                <w:sz w:val="16"/>
                <w:szCs w:val="16"/>
              </w:rPr>
              <w:t>0.0276</w:t>
            </w:r>
          </w:p>
        </w:tc>
        <w:tc>
          <w:tcPr>
            <w:tcW w:w="0" w:type="auto"/>
            <w:shd w:val="clear" w:color="auto" w:fill="D6E4F0"/>
            <w:tcMar>
              <w:top w:w="40" w:type="dxa"/>
              <w:left w:w="80" w:type="dxa"/>
              <w:bottom w:w="40" w:type="dxa"/>
              <w:right w:w="80" w:type="dxa"/>
            </w:tcMar>
            <w:vAlign w:val="center"/>
          </w:tcPr>
          <w:p w14:paraId="4B48DF43" w14:textId="77777777" w:rsidR="000202A0" w:rsidRDefault="00000000">
            <w:pPr>
              <w:jc w:val="center"/>
            </w:pPr>
            <w:r>
              <w:rPr>
                <w:rFonts w:ascii="Palatino Linotype" w:eastAsia="Palatino Linotype" w:hAnsi="Palatino Linotype" w:cs="Palatino Linotype"/>
                <w:color w:val="000000"/>
                <w:sz w:val="16"/>
                <w:szCs w:val="16"/>
              </w:rPr>
              <w:t>—</w:t>
            </w:r>
          </w:p>
        </w:tc>
        <w:tc>
          <w:tcPr>
            <w:tcW w:w="0" w:type="auto"/>
            <w:shd w:val="clear" w:color="auto" w:fill="D6E4F0"/>
            <w:tcMar>
              <w:top w:w="40" w:type="dxa"/>
              <w:left w:w="80" w:type="dxa"/>
              <w:bottom w:w="40" w:type="dxa"/>
              <w:right w:w="80" w:type="dxa"/>
            </w:tcMar>
            <w:vAlign w:val="center"/>
          </w:tcPr>
          <w:p w14:paraId="45A9F1D2" w14:textId="77777777" w:rsidR="000202A0" w:rsidRDefault="00000000">
            <w:pPr>
              <w:jc w:val="center"/>
            </w:pPr>
            <w:r>
              <w:rPr>
                <w:rFonts w:ascii="Palatino Linotype" w:eastAsia="Palatino Linotype" w:hAnsi="Palatino Linotype" w:cs="Palatino Linotype"/>
                <w:color w:val="000000"/>
                <w:sz w:val="16"/>
                <w:szCs w:val="16"/>
              </w:rPr>
              <w:t>0.726</w:t>
            </w:r>
          </w:p>
        </w:tc>
        <w:tc>
          <w:tcPr>
            <w:tcW w:w="0" w:type="auto"/>
            <w:shd w:val="clear" w:color="auto" w:fill="D6E4F0"/>
            <w:tcMar>
              <w:top w:w="40" w:type="dxa"/>
              <w:left w:w="80" w:type="dxa"/>
              <w:bottom w:w="40" w:type="dxa"/>
              <w:right w:w="80" w:type="dxa"/>
            </w:tcMar>
            <w:vAlign w:val="center"/>
          </w:tcPr>
          <w:p w14:paraId="23AECF05" w14:textId="77777777" w:rsidR="000202A0" w:rsidRDefault="00000000">
            <w:pPr>
              <w:jc w:val="center"/>
            </w:pPr>
            <w:r>
              <w:rPr>
                <w:rFonts w:ascii="Palatino Linotype" w:eastAsia="Palatino Linotype" w:hAnsi="Palatino Linotype" w:cs="Palatino Linotype"/>
                <w:b/>
                <w:bCs/>
                <w:color w:val="1A5276"/>
                <w:sz w:val="16"/>
                <w:szCs w:val="16"/>
              </w:rPr>
              <w:t>0.596</w:t>
            </w:r>
          </w:p>
        </w:tc>
      </w:tr>
      <w:tr w:rsidR="000202A0" w14:paraId="61F5687B" w14:textId="77777777">
        <w:tc>
          <w:tcPr>
            <w:tcW w:w="0" w:type="auto"/>
            <w:tcMar>
              <w:top w:w="40" w:type="dxa"/>
              <w:left w:w="80" w:type="dxa"/>
              <w:bottom w:w="40" w:type="dxa"/>
              <w:right w:w="80" w:type="dxa"/>
            </w:tcMar>
            <w:vAlign w:val="center"/>
          </w:tcPr>
          <w:p w14:paraId="76592C4A" w14:textId="77777777" w:rsidR="000202A0" w:rsidRDefault="00000000">
            <w:pPr>
              <w:jc w:val="center"/>
            </w:pPr>
            <w:r>
              <w:rPr>
                <w:rFonts w:ascii="Palatino Linotype" w:eastAsia="Palatino Linotype" w:hAnsi="Palatino Linotype" w:cs="Palatino Linotype"/>
                <w:b/>
                <w:bCs/>
                <w:color w:val="1A5276"/>
                <w:sz w:val="16"/>
                <w:szCs w:val="16"/>
              </w:rPr>
              <w:t>Avg</w:t>
            </w:r>
          </w:p>
        </w:tc>
        <w:tc>
          <w:tcPr>
            <w:tcW w:w="0" w:type="auto"/>
            <w:tcMar>
              <w:top w:w="40" w:type="dxa"/>
              <w:left w:w="80" w:type="dxa"/>
              <w:bottom w:w="40" w:type="dxa"/>
              <w:right w:w="80" w:type="dxa"/>
            </w:tcMar>
            <w:vAlign w:val="center"/>
          </w:tcPr>
          <w:p w14:paraId="560503A6" w14:textId="77777777" w:rsidR="000202A0" w:rsidRDefault="00000000">
            <w:pPr>
              <w:jc w:val="center"/>
            </w:pPr>
            <w:r>
              <w:rPr>
                <w:rFonts w:ascii="Palatino Linotype" w:eastAsia="Palatino Linotype" w:hAnsi="Palatino Linotype" w:cs="Palatino Linotype"/>
                <w:color w:val="000000"/>
                <w:sz w:val="16"/>
                <w:szCs w:val="16"/>
              </w:rPr>
              <w:t>0.0274</w:t>
            </w:r>
          </w:p>
        </w:tc>
        <w:tc>
          <w:tcPr>
            <w:tcW w:w="0" w:type="auto"/>
            <w:tcMar>
              <w:top w:w="40" w:type="dxa"/>
              <w:left w:w="80" w:type="dxa"/>
              <w:bottom w:w="40" w:type="dxa"/>
              <w:right w:w="80" w:type="dxa"/>
            </w:tcMar>
            <w:vAlign w:val="center"/>
          </w:tcPr>
          <w:p w14:paraId="1969DF62" w14:textId="77777777" w:rsidR="000202A0" w:rsidRDefault="00000000">
            <w:pPr>
              <w:jc w:val="center"/>
            </w:pPr>
            <w:r>
              <w:rPr>
                <w:rFonts w:ascii="Palatino Linotype" w:eastAsia="Palatino Linotype" w:hAnsi="Palatino Linotype" w:cs="Palatino Linotype"/>
                <w:color w:val="000000"/>
                <w:sz w:val="16"/>
                <w:szCs w:val="16"/>
              </w:rPr>
              <w:t>0.0249</w:t>
            </w:r>
          </w:p>
        </w:tc>
        <w:tc>
          <w:tcPr>
            <w:tcW w:w="0" w:type="auto"/>
            <w:tcMar>
              <w:top w:w="40" w:type="dxa"/>
              <w:left w:w="80" w:type="dxa"/>
              <w:bottom w:w="40" w:type="dxa"/>
              <w:right w:w="80" w:type="dxa"/>
            </w:tcMar>
            <w:vAlign w:val="center"/>
          </w:tcPr>
          <w:p w14:paraId="0DAB718B" w14:textId="77777777" w:rsidR="000202A0" w:rsidRDefault="00000000">
            <w:pPr>
              <w:jc w:val="center"/>
            </w:pPr>
            <w:r>
              <w:rPr>
                <w:rFonts w:ascii="Palatino Linotype" w:eastAsia="Palatino Linotype" w:hAnsi="Palatino Linotype" w:cs="Palatino Linotype"/>
                <w:b/>
                <w:bCs/>
                <w:color w:val="1A5276"/>
                <w:sz w:val="16"/>
                <w:szCs w:val="16"/>
              </w:rPr>
              <w:t>0.0222</w:t>
            </w:r>
          </w:p>
        </w:tc>
        <w:tc>
          <w:tcPr>
            <w:tcW w:w="0" w:type="auto"/>
            <w:tcMar>
              <w:top w:w="40" w:type="dxa"/>
              <w:left w:w="80" w:type="dxa"/>
              <w:bottom w:w="40" w:type="dxa"/>
              <w:right w:w="80" w:type="dxa"/>
            </w:tcMar>
            <w:vAlign w:val="center"/>
          </w:tcPr>
          <w:p w14:paraId="052FAB28" w14:textId="77777777" w:rsidR="000202A0" w:rsidRDefault="00000000">
            <w:pPr>
              <w:jc w:val="center"/>
            </w:pPr>
            <w:r>
              <w:rPr>
                <w:rFonts w:ascii="Palatino Linotype" w:eastAsia="Palatino Linotype" w:hAnsi="Palatino Linotype" w:cs="Palatino Linotype"/>
                <w:color w:val="000000"/>
                <w:sz w:val="16"/>
                <w:szCs w:val="16"/>
              </w:rPr>
              <w:t>—</w:t>
            </w:r>
          </w:p>
        </w:tc>
        <w:tc>
          <w:tcPr>
            <w:tcW w:w="0" w:type="auto"/>
            <w:tcMar>
              <w:top w:w="40" w:type="dxa"/>
              <w:left w:w="80" w:type="dxa"/>
              <w:bottom w:w="40" w:type="dxa"/>
              <w:right w:w="80" w:type="dxa"/>
            </w:tcMar>
            <w:vAlign w:val="center"/>
          </w:tcPr>
          <w:p w14:paraId="10C5BFDA" w14:textId="77777777" w:rsidR="000202A0" w:rsidRDefault="00000000">
            <w:pPr>
              <w:jc w:val="center"/>
            </w:pPr>
            <w:r>
              <w:rPr>
                <w:rFonts w:ascii="Palatino Linotype" w:eastAsia="Palatino Linotype" w:hAnsi="Palatino Linotype" w:cs="Palatino Linotype"/>
                <w:color w:val="000000"/>
                <w:sz w:val="16"/>
                <w:szCs w:val="16"/>
              </w:rPr>
              <w:t>0.564</w:t>
            </w:r>
          </w:p>
        </w:tc>
        <w:tc>
          <w:tcPr>
            <w:tcW w:w="0" w:type="auto"/>
            <w:tcMar>
              <w:top w:w="40" w:type="dxa"/>
              <w:left w:w="80" w:type="dxa"/>
              <w:bottom w:w="40" w:type="dxa"/>
              <w:right w:w="80" w:type="dxa"/>
            </w:tcMar>
            <w:vAlign w:val="center"/>
          </w:tcPr>
          <w:p w14:paraId="0D5DC904" w14:textId="77777777" w:rsidR="000202A0" w:rsidRDefault="00000000">
            <w:pPr>
              <w:jc w:val="center"/>
            </w:pPr>
            <w:r>
              <w:rPr>
                <w:rFonts w:ascii="Palatino Linotype" w:eastAsia="Palatino Linotype" w:hAnsi="Palatino Linotype" w:cs="Palatino Linotype"/>
                <w:b/>
                <w:bCs/>
                <w:color w:val="1A5276"/>
                <w:sz w:val="16"/>
                <w:szCs w:val="16"/>
              </w:rPr>
              <w:t>0.614</w:t>
            </w:r>
          </w:p>
        </w:tc>
      </w:tr>
    </w:tbl>
    <w:p w14:paraId="1EB62235" w14:textId="77777777" w:rsidR="000202A0" w:rsidRDefault="000202A0">
      <w:pPr>
        <w:spacing w:after="80"/>
      </w:pPr>
    </w:p>
    <w:p w14:paraId="4C4B17D5" w14:textId="77777777" w:rsidR="000202A0" w:rsidRDefault="00000000">
      <w:pPr>
        <w:spacing w:before="160" w:after="60"/>
      </w:pPr>
      <w:r>
        <w:rPr>
          <w:rFonts w:ascii="Palatino Linotype" w:eastAsia="Palatino Linotype" w:hAnsi="Palatino Linotype" w:cs="Palatino Linotype"/>
          <w:b/>
          <w:bCs/>
          <w:sz w:val="16"/>
          <w:szCs w:val="16"/>
        </w:rPr>
        <w:t xml:space="preserve">Table 2b. </w:t>
      </w:r>
      <w:r>
        <w:rPr>
          <w:rFonts w:ascii="Palatino Linotype" w:eastAsia="Palatino Linotype" w:hAnsi="Palatino Linotype" w:cs="Palatino Linotype"/>
          <w:sz w:val="16"/>
          <w:szCs w:val="16"/>
        </w:rPr>
        <w:t>Average accuracy across all five hitter statistics (2021–2024). League-average baseline omitted; Marcel vs. Prior Year shown. Bold values indicate best performance per row.</w:t>
      </w:r>
    </w:p>
    <w:tbl>
      <w:tblPr>
        <w:tblW w:w="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1144"/>
        <w:gridCol w:w="853"/>
        <w:gridCol w:w="1387"/>
        <w:gridCol w:w="1035"/>
      </w:tblGrid>
      <w:tr w:rsidR="000202A0" w14:paraId="7F6556FA" w14:textId="77777777">
        <w:tc>
          <w:tcPr>
            <w:tcW w:w="0" w:type="auto"/>
            <w:shd w:val="clear" w:color="auto" w:fill="1F3864"/>
            <w:tcMar>
              <w:top w:w="50" w:type="dxa"/>
              <w:left w:w="80" w:type="dxa"/>
              <w:bottom w:w="50" w:type="dxa"/>
              <w:right w:w="80" w:type="dxa"/>
            </w:tcMar>
            <w:vAlign w:val="center"/>
          </w:tcPr>
          <w:p w14:paraId="77DE1247" w14:textId="77777777" w:rsidR="000202A0" w:rsidRDefault="000202A0">
            <w:pPr>
              <w:jc w:val="center"/>
            </w:pPr>
          </w:p>
        </w:tc>
        <w:tc>
          <w:tcPr>
            <w:tcW w:w="0" w:type="auto"/>
            <w:gridSpan w:val="2"/>
            <w:shd w:val="clear" w:color="auto" w:fill="1F3864"/>
            <w:tcMar>
              <w:top w:w="50" w:type="dxa"/>
              <w:left w:w="80" w:type="dxa"/>
              <w:bottom w:w="50" w:type="dxa"/>
              <w:right w:w="80" w:type="dxa"/>
            </w:tcMar>
            <w:vAlign w:val="center"/>
          </w:tcPr>
          <w:p w14:paraId="1D702E13" w14:textId="77777777" w:rsidR="000202A0" w:rsidRDefault="00000000">
            <w:pPr>
              <w:jc w:val="center"/>
            </w:pPr>
            <w:r>
              <w:rPr>
                <w:rFonts w:ascii="Palatino Linotype" w:eastAsia="Palatino Linotype" w:hAnsi="Palatino Linotype" w:cs="Palatino Linotype"/>
                <w:b/>
                <w:bCs/>
                <w:color w:val="FFFFFF"/>
                <w:sz w:val="16"/>
                <w:szCs w:val="16"/>
              </w:rPr>
              <w:t>MAE (lower = better)</w:t>
            </w:r>
          </w:p>
        </w:tc>
        <w:tc>
          <w:tcPr>
            <w:tcW w:w="0" w:type="auto"/>
            <w:gridSpan w:val="2"/>
            <w:shd w:val="clear" w:color="auto" w:fill="1F3864"/>
            <w:tcMar>
              <w:top w:w="50" w:type="dxa"/>
              <w:left w:w="80" w:type="dxa"/>
              <w:bottom w:w="50" w:type="dxa"/>
              <w:right w:w="80" w:type="dxa"/>
            </w:tcMar>
            <w:vAlign w:val="center"/>
          </w:tcPr>
          <w:p w14:paraId="73A4412D" w14:textId="77777777" w:rsidR="000202A0" w:rsidRDefault="00000000">
            <w:pPr>
              <w:jc w:val="center"/>
            </w:pPr>
            <w:r>
              <w:rPr>
                <w:rFonts w:ascii="Palatino Linotype" w:eastAsia="Palatino Linotype" w:hAnsi="Palatino Linotype" w:cs="Palatino Linotype"/>
                <w:b/>
                <w:bCs/>
                <w:color w:val="FFFFFF"/>
                <w:sz w:val="16"/>
                <w:szCs w:val="16"/>
              </w:rPr>
              <w:t>Pearson r (higher = better)</w:t>
            </w:r>
          </w:p>
        </w:tc>
      </w:tr>
      <w:tr w:rsidR="000202A0" w14:paraId="079E510F" w14:textId="77777777">
        <w:tc>
          <w:tcPr>
            <w:tcW w:w="0" w:type="auto"/>
            <w:shd w:val="clear" w:color="auto" w:fill="1F3864"/>
            <w:tcMar>
              <w:top w:w="50" w:type="dxa"/>
              <w:left w:w="80" w:type="dxa"/>
              <w:bottom w:w="50" w:type="dxa"/>
              <w:right w:w="80" w:type="dxa"/>
            </w:tcMar>
            <w:vAlign w:val="center"/>
          </w:tcPr>
          <w:p w14:paraId="6DC6A9C8" w14:textId="77777777" w:rsidR="000202A0" w:rsidRDefault="00000000">
            <w:pPr>
              <w:jc w:val="center"/>
            </w:pPr>
            <w:r>
              <w:rPr>
                <w:rFonts w:ascii="Palatino Linotype" w:eastAsia="Palatino Linotype" w:hAnsi="Palatino Linotype" w:cs="Palatino Linotype"/>
                <w:b/>
                <w:bCs/>
                <w:color w:val="FFFFFF"/>
                <w:sz w:val="16"/>
                <w:szCs w:val="16"/>
              </w:rPr>
              <w:t>Statistic</w:t>
            </w:r>
          </w:p>
        </w:tc>
        <w:tc>
          <w:tcPr>
            <w:tcW w:w="0" w:type="auto"/>
            <w:shd w:val="clear" w:color="auto" w:fill="1F3864"/>
            <w:tcMar>
              <w:top w:w="50" w:type="dxa"/>
              <w:left w:w="80" w:type="dxa"/>
              <w:bottom w:w="50" w:type="dxa"/>
              <w:right w:w="80" w:type="dxa"/>
            </w:tcMar>
            <w:vAlign w:val="center"/>
          </w:tcPr>
          <w:p w14:paraId="796C4C52" w14:textId="77777777" w:rsidR="000202A0" w:rsidRDefault="00000000">
            <w:pPr>
              <w:jc w:val="center"/>
            </w:pPr>
            <w:r>
              <w:rPr>
                <w:rFonts w:ascii="Palatino Linotype" w:eastAsia="Palatino Linotype" w:hAnsi="Palatino Linotype" w:cs="Palatino Linotype"/>
                <w:b/>
                <w:bCs/>
                <w:color w:val="FFFFFF"/>
                <w:sz w:val="16"/>
                <w:szCs w:val="16"/>
              </w:rPr>
              <w:t>Prior Year</w:t>
            </w:r>
          </w:p>
        </w:tc>
        <w:tc>
          <w:tcPr>
            <w:tcW w:w="0" w:type="auto"/>
            <w:shd w:val="clear" w:color="auto" w:fill="1F3864"/>
            <w:tcMar>
              <w:top w:w="50" w:type="dxa"/>
              <w:left w:w="80" w:type="dxa"/>
              <w:bottom w:w="50" w:type="dxa"/>
              <w:right w:w="80" w:type="dxa"/>
            </w:tcMar>
            <w:vAlign w:val="center"/>
          </w:tcPr>
          <w:p w14:paraId="4AB8F0EE" w14:textId="77777777" w:rsidR="000202A0" w:rsidRDefault="00000000">
            <w:pPr>
              <w:jc w:val="center"/>
            </w:pPr>
            <w:r>
              <w:rPr>
                <w:rFonts w:ascii="Palatino Linotype" w:eastAsia="Palatino Linotype" w:hAnsi="Palatino Linotype" w:cs="Palatino Linotype"/>
                <w:b/>
                <w:bCs/>
                <w:color w:val="FFFFFF"/>
                <w:sz w:val="16"/>
                <w:szCs w:val="16"/>
              </w:rPr>
              <w:t>Marcel</w:t>
            </w:r>
          </w:p>
        </w:tc>
        <w:tc>
          <w:tcPr>
            <w:tcW w:w="0" w:type="auto"/>
            <w:shd w:val="clear" w:color="auto" w:fill="1F3864"/>
            <w:tcMar>
              <w:top w:w="50" w:type="dxa"/>
              <w:left w:w="80" w:type="dxa"/>
              <w:bottom w:w="50" w:type="dxa"/>
              <w:right w:w="80" w:type="dxa"/>
            </w:tcMar>
            <w:vAlign w:val="center"/>
          </w:tcPr>
          <w:p w14:paraId="33FFC024" w14:textId="77777777" w:rsidR="000202A0" w:rsidRDefault="00000000">
            <w:pPr>
              <w:jc w:val="center"/>
            </w:pPr>
            <w:r>
              <w:rPr>
                <w:rFonts w:ascii="Palatino Linotype" w:eastAsia="Palatino Linotype" w:hAnsi="Palatino Linotype" w:cs="Palatino Linotype"/>
                <w:b/>
                <w:bCs/>
                <w:color w:val="FFFFFF"/>
                <w:sz w:val="16"/>
                <w:szCs w:val="16"/>
              </w:rPr>
              <w:t>Prior Year</w:t>
            </w:r>
          </w:p>
        </w:tc>
        <w:tc>
          <w:tcPr>
            <w:tcW w:w="0" w:type="auto"/>
            <w:shd w:val="clear" w:color="auto" w:fill="1F3864"/>
            <w:tcMar>
              <w:top w:w="50" w:type="dxa"/>
              <w:left w:w="80" w:type="dxa"/>
              <w:bottom w:w="50" w:type="dxa"/>
              <w:right w:w="80" w:type="dxa"/>
            </w:tcMar>
            <w:vAlign w:val="center"/>
          </w:tcPr>
          <w:p w14:paraId="757AEB35" w14:textId="77777777" w:rsidR="000202A0" w:rsidRDefault="00000000">
            <w:pPr>
              <w:jc w:val="center"/>
            </w:pPr>
            <w:r>
              <w:rPr>
                <w:rFonts w:ascii="Palatino Linotype" w:eastAsia="Palatino Linotype" w:hAnsi="Palatino Linotype" w:cs="Palatino Linotype"/>
                <w:b/>
                <w:bCs/>
                <w:color w:val="FFFFFF"/>
                <w:sz w:val="16"/>
                <w:szCs w:val="16"/>
              </w:rPr>
              <w:t>Marcel</w:t>
            </w:r>
          </w:p>
        </w:tc>
      </w:tr>
      <w:tr w:rsidR="000202A0" w14:paraId="23C3B014" w14:textId="77777777">
        <w:tc>
          <w:tcPr>
            <w:tcW w:w="0" w:type="auto"/>
            <w:tcMar>
              <w:top w:w="40" w:type="dxa"/>
              <w:left w:w="80" w:type="dxa"/>
              <w:bottom w:w="40" w:type="dxa"/>
              <w:right w:w="80" w:type="dxa"/>
            </w:tcMar>
            <w:vAlign w:val="center"/>
          </w:tcPr>
          <w:p w14:paraId="5F986937" w14:textId="77777777" w:rsidR="000202A0" w:rsidRDefault="00000000">
            <w:pPr>
              <w:jc w:val="center"/>
            </w:pPr>
            <w:r>
              <w:rPr>
                <w:rFonts w:ascii="Palatino Linotype" w:eastAsia="Palatino Linotype" w:hAnsi="Palatino Linotype" w:cs="Palatino Linotype"/>
                <w:b/>
                <w:bCs/>
                <w:color w:val="1A5276"/>
                <w:sz w:val="16"/>
                <w:szCs w:val="16"/>
              </w:rPr>
              <w:t>BB%</w:t>
            </w:r>
          </w:p>
        </w:tc>
        <w:tc>
          <w:tcPr>
            <w:tcW w:w="0" w:type="auto"/>
            <w:tcMar>
              <w:top w:w="40" w:type="dxa"/>
              <w:left w:w="80" w:type="dxa"/>
              <w:bottom w:w="40" w:type="dxa"/>
              <w:right w:w="80" w:type="dxa"/>
            </w:tcMar>
            <w:vAlign w:val="center"/>
          </w:tcPr>
          <w:p w14:paraId="750948BB" w14:textId="77777777" w:rsidR="000202A0" w:rsidRDefault="00000000">
            <w:pPr>
              <w:jc w:val="center"/>
            </w:pPr>
            <w:r>
              <w:rPr>
                <w:rFonts w:ascii="Palatino Linotype" w:eastAsia="Palatino Linotype" w:hAnsi="Palatino Linotype" w:cs="Palatino Linotype"/>
                <w:color w:val="000000"/>
                <w:sz w:val="16"/>
                <w:szCs w:val="16"/>
              </w:rPr>
              <w:t>0.0171</w:t>
            </w:r>
          </w:p>
        </w:tc>
        <w:tc>
          <w:tcPr>
            <w:tcW w:w="0" w:type="auto"/>
            <w:tcMar>
              <w:top w:w="40" w:type="dxa"/>
              <w:left w:w="80" w:type="dxa"/>
              <w:bottom w:w="40" w:type="dxa"/>
              <w:right w:w="80" w:type="dxa"/>
            </w:tcMar>
            <w:vAlign w:val="center"/>
          </w:tcPr>
          <w:p w14:paraId="00382167" w14:textId="77777777" w:rsidR="000202A0" w:rsidRDefault="00000000">
            <w:pPr>
              <w:jc w:val="center"/>
            </w:pPr>
            <w:r>
              <w:rPr>
                <w:rFonts w:ascii="Palatino Linotype" w:eastAsia="Palatino Linotype" w:hAnsi="Palatino Linotype" w:cs="Palatino Linotype"/>
                <w:b/>
                <w:bCs/>
                <w:color w:val="1A5276"/>
                <w:sz w:val="16"/>
                <w:szCs w:val="16"/>
              </w:rPr>
              <w:t>0.0157</w:t>
            </w:r>
          </w:p>
        </w:tc>
        <w:tc>
          <w:tcPr>
            <w:tcW w:w="0" w:type="auto"/>
            <w:tcMar>
              <w:top w:w="40" w:type="dxa"/>
              <w:left w:w="80" w:type="dxa"/>
              <w:bottom w:w="40" w:type="dxa"/>
              <w:right w:w="80" w:type="dxa"/>
            </w:tcMar>
            <w:vAlign w:val="center"/>
          </w:tcPr>
          <w:p w14:paraId="04661C73" w14:textId="77777777" w:rsidR="000202A0" w:rsidRDefault="00000000">
            <w:pPr>
              <w:jc w:val="center"/>
            </w:pPr>
            <w:r>
              <w:rPr>
                <w:rFonts w:ascii="Palatino Linotype" w:eastAsia="Palatino Linotype" w:hAnsi="Palatino Linotype" w:cs="Palatino Linotype"/>
                <w:b/>
                <w:bCs/>
                <w:color w:val="1A5276"/>
                <w:sz w:val="16"/>
                <w:szCs w:val="16"/>
              </w:rPr>
              <w:t>0.668</w:t>
            </w:r>
          </w:p>
        </w:tc>
        <w:tc>
          <w:tcPr>
            <w:tcW w:w="0" w:type="auto"/>
            <w:tcMar>
              <w:top w:w="40" w:type="dxa"/>
              <w:left w:w="80" w:type="dxa"/>
              <w:bottom w:w="40" w:type="dxa"/>
              <w:right w:w="80" w:type="dxa"/>
            </w:tcMar>
            <w:vAlign w:val="center"/>
          </w:tcPr>
          <w:p w14:paraId="5C5E2BD0" w14:textId="77777777" w:rsidR="000202A0" w:rsidRDefault="00000000">
            <w:pPr>
              <w:jc w:val="center"/>
            </w:pPr>
            <w:r>
              <w:rPr>
                <w:rFonts w:ascii="Palatino Linotype" w:eastAsia="Palatino Linotype" w:hAnsi="Palatino Linotype" w:cs="Palatino Linotype"/>
                <w:color w:val="000000"/>
                <w:sz w:val="16"/>
                <w:szCs w:val="16"/>
              </w:rPr>
              <w:t>0.626</w:t>
            </w:r>
          </w:p>
        </w:tc>
      </w:tr>
      <w:tr w:rsidR="000202A0" w14:paraId="7642B7A4" w14:textId="77777777">
        <w:tc>
          <w:tcPr>
            <w:tcW w:w="0" w:type="auto"/>
            <w:shd w:val="clear" w:color="auto" w:fill="D6E4F0"/>
            <w:tcMar>
              <w:top w:w="40" w:type="dxa"/>
              <w:left w:w="80" w:type="dxa"/>
              <w:bottom w:w="40" w:type="dxa"/>
              <w:right w:w="80" w:type="dxa"/>
            </w:tcMar>
            <w:vAlign w:val="center"/>
          </w:tcPr>
          <w:p w14:paraId="2546B6F9" w14:textId="77777777" w:rsidR="000202A0" w:rsidRDefault="00000000">
            <w:pPr>
              <w:jc w:val="center"/>
            </w:pPr>
            <w:r>
              <w:rPr>
                <w:rFonts w:ascii="Palatino Linotype" w:eastAsia="Palatino Linotype" w:hAnsi="Palatino Linotype" w:cs="Palatino Linotype"/>
                <w:b/>
                <w:bCs/>
                <w:color w:val="1A5276"/>
                <w:sz w:val="16"/>
                <w:szCs w:val="16"/>
              </w:rPr>
              <w:t>K%</w:t>
            </w:r>
          </w:p>
        </w:tc>
        <w:tc>
          <w:tcPr>
            <w:tcW w:w="0" w:type="auto"/>
            <w:shd w:val="clear" w:color="auto" w:fill="D6E4F0"/>
            <w:tcMar>
              <w:top w:w="40" w:type="dxa"/>
              <w:left w:w="80" w:type="dxa"/>
              <w:bottom w:w="40" w:type="dxa"/>
              <w:right w:w="80" w:type="dxa"/>
            </w:tcMar>
            <w:vAlign w:val="center"/>
          </w:tcPr>
          <w:p w14:paraId="24E641C7" w14:textId="77777777" w:rsidR="000202A0" w:rsidRDefault="00000000">
            <w:pPr>
              <w:jc w:val="center"/>
            </w:pPr>
            <w:r>
              <w:rPr>
                <w:rFonts w:ascii="Palatino Linotype" w:eastAsia="Palatino Linotype" w:hAnsi="Palatino Linotype" w:cs="Palatino Linotype"/>
                <w:color w:val="000000"/>
                <w:sz w:val="16"/>
                <w:szCs w:val="16"/>
              </w:rPr>
              <w:t>0.0219</w:t>
            </w:r>
          </w:p>
        </w:tc>
        <w:tc>
          <w:tcPr>
            <w:tcW w:w="0" w:type="auto"/>
            <w:shd w:val="clear" w:color="auto" w:fill="D6E4F0"/>
            <w:tcMar>
              <w:top w:w="40" w:type="dxa"/>
              <w:left w:w="80" w:type="dxa"/>
              <w:bottom w:w="40" w:type="dxa"/>
              <w:right w:w="80" w:type="dxa"/>
            </w:tcMar>
            <w:vAlign w:val="center"/>
          </w:tcPr>
          <w:p w14:paraId="30764889" w14:textId="77777777" w:rsidR="000202A0" w:rsidRDefault="00000000">
            <w:pPr>
              <w:jc w:val="center"/>
            </w:pPr>
            <w:r>
              <w:rPr>
                <w:rFonts w:ascii="Palatino Linotype" w:eastAsia="Palatino Linotype" w:hAnsi="Palatino Linotype" w:cs="Palatino Linotype"/>
                <w:b/>
                <w:bCs/>
                <w:color w:val="1A5276"/>
                <w:sz w:val="16"/>
                <w:szCs w:val="16"/>
              </w:rPr>
              <w:t>0.0214</w:t>
            </w:r>
          </w:p>
        </w:tc>
        <w:tc>
          <w:tcPr>
            <w:tcW w:w="0" w:type="auto"/>
            <w:shd w:val="clear" w:color="auto" w:fill="D6E4F0"/>
            <w:tcMar>
              <w:top w:w="40" w:type="dxa"/>
              <w:left w:w="80" w:type="dxa"/>
              <w:bottom w:w="40" w:type="dxa"/>
              <w:right w:w="80" w:type="dxa"/>
            </w:tcMar>
            <w:vAlign w:val="center"/>
          </w:tcPr>
          <w:p w14:paraId="44C9700F" w14:textId="77777777" w:rsidR="000202A0" w:rsidRDefault="00000000">
            <w:pPr>
              <w:jc w:val="center"/>
            </w:pPr>
            <w:r>
              <w:rPr>
                <w:rFonts w:ascii="Palatino Linotype" w:eastAsia="Palatino Linotype" w:hAnsi="Palatino Linotype" w:cs="Palatino Linotype"/>
                <w:b/>
                <w:bCs/>
                <w:color w:val="1A5276"/>
                <w:sz w:val="16"/>
                <w:szCs w:val="16"/>
              </w:rPr>
              <w:t>0.891</w:t>
            </w:r>
          </w:p>
        </w:tc>
        <w:tc>
          <w:tcPr>
            <w:tcW w:w="0" w:type="auto"/>
            <w:shd w:val="clear" w:color="auto" w:fill="D6E4F0"/>
            <w:tcMar>
              <w:top w:w="40" w:type="dxa"/>
              <w:left w:w="80" w:type="dxa"/>
              <w:bottom w:w="40" w:type="dxa"/>
              <w:right w:w="80" w:type="dxa"/>
            </w:tcMar>
            <w:vAlign w:val="center"/>
          </w:tcPr>
          <w:p w14:paraId="7EDCC371" w14:textId="77777777" w:rsidR="000202A0" w:rsidRDefault="00000000">
            <w:pPr>
              <w:jc w:val="center"/>
            </w:pPr>
            <w:r>
              <w:rPr>
                <w:rFonts w:ascii="Palatino Linotype" w:eastAsia="Palatino Linotype" w:hAnsi="Palatino Linotype" w:cs="Palatino Linotype"/>
                <w:color w:val="000000"/>
                <w:sz w:val="16"/>
                <w:szCs w:val="16"/>
              </w:rPr>
              <w:t>0.874</w:t>
            </w:r>
          </w:p>
        </w:tc>
      </w:tr>
      <w:tr w:rsidR="000202A0" w14:paraId="0E50FE20" w14:textId="77777777">
        <w:tc>
          <w:tcPr>
            <w:tcW w:w="0" w:type="auto"/>
            <w:tcMar>
              <w:top w:w="40" w:type="dxa"/>
              <w:left w:w="80" w:type="dxa"/>
              <w:bottom w:w="40" w:type="dxa"/>
              <w:right w:w="80" w:type="dxa"/>
            </w:tcMar>
            <w:vAlign w:val="center"/>
          </w:tcPr>
          <w:p w14:paraId="788BF680" w14:textId="77777777" w:rsidR="000202A0" w:rsidRDefault="00000000">
            <w:pPr>
              <w:jc w:val="center"/>
            </w:pPr>
            <w:r>
              <w:rPr>
                <w:rFonts w:ascii="Palatino Linotype" w:eastAsia="Palatino Linotype" w:hAnsi="Palatino Linotype" w:cs="Palatino Linotype"/>
                <w:b/>
                <w:bCs/>
                <w:color w:val="1A5276"/>
                <w:sz w:val="16"/>
                <w:szCs w:val="16"/>
              </w:rPr>
              <w:t>HR%</w:t>
            </w:r>
          </w:p>
        </w:tc>
        <w:tc>
          <w:tcPr>
            <w:tcW w:w="0" w:type="auto"/>
            <w:tcMar>
              <w:top w:w="40" w:type="dxa"/>
              <w:left w:w="80" w:type="dxa"/>
              <w:bottom w:w="40" w:type="dxa"/>
              <w:right w:w="80" w:type="dxa"/>
            </w:tcMar>
            <w:vAlign w:val="center"/>
          </w:tcPr>
          <w:p w14:paraId="2C7C8A4E" w14:textId="77777777" w:rsidR="000202A0" w:rsidRDefault="00000000">
            <w:pPr>
              <w:jc w:val="center"/>
            </w:pPr>
            <w:r>
              <w:rPr>
                <w:rFonts w:ascii="Palatino Linotype" w:eastAsia="Palatino Linotype" w:hAnsi="Palatino Linotype" w:cs="Palatino Linotype"/>
                <w:color w:val="000000"/>
                <w:sz w:val="16"/>
                <w:szCs w:val="16"/>
              </w:rPr>
              <w:t>0.0095</w:t>
            </w:r>
          </w:p>
        </w:tc>
        <w:tc>
          <w:tcPr>
            <w:tcW w:w="0" w:type="auto"/>
            <w:tcMar>
              <w:top w:w="40" w:type="dxa"/>
              <w:left w:w="80" w:type="dxa"/>
              <w:bottom w:w="40" w:type="dxa"/>
              <w:right w:w="80" w:type="dxa"/>
            </w:tcMar>
            <w:vAlign w:val="center"/>
          </w:tcPr>
          <w:p w14:paraId="40D2AB47" w14:textId="77777777" w:rsidR="000202A0" w:rsidRDefault="00000000">
            <w:pPr>
              <w:jc w:val="center"/>
            </w:pPr>
            <w:r>
              <w:rPr>
                <w:rFonts w:ascii="Palatino Linotype" w:eastAsia="Palatino Linotype" w:hAnsi="Palatino Linotype" w:cs="Palatino Linotype"/>
                <w:b/>
                <w:bCs/>
                <w:color w:val="1A5276"/>
                <w:sz w:val="16"/>
                <w:szCs w:val="16"/>
              </w:rPr>
              <w:t>0.0084</w:t>
            </w:r>
          </w:p>
        </w:tc>
        <w:tc>
          <w:tcPr>
            <w:tcW w:w="0" w:type="auto"/>
            <w:tcMar>
              <w:top w:w="40" w:type="dxa"/>
              <w:left w:w="80" w:type="dxa"/>
              <w:bottom w:w="40" w:type="dxa"/>
              <w:right w:w="80" w:type="dxa"/>
            </w:tcMar>
            <w:vAlign w:val="center"/>
          </w:tcPr>
          <w:p w14:paraId="6D018D92" w14:textId="77777777" w:rsidR="000202A0" w:rsidRDefault="00000000">
            <w:pPr>
              <w:jc w:val="center"/>
            </w:pPr>
            <w:r>
              <w:rPr>
                <w:rFonts w:ascii="Palatino Linotype" w:eastAsia="Palatino Linotype" w:hAnsi="Palatino Linotype" w:cs="Palatino Linotype"/>
                <w:color w:val="000000"/>
                <w:sz w:val="16"/>
                <w:szCs w:val="16"/>
              </w:rPr>
              <w:t>0.741</w:t>
            </w:r>
          </w:p>
        </w:tc>
        <w:tc>
          <w:tcPr>
            <w:tcW w:w="0" w:type="auto"/>
            <w:tcMar>
              <w:top w:w="40" w:type="dxa"/>
              <w:left w:w="80" w:type="dxa"/>
              <w:bottom w:w="40" w:type="dxa"/>
              <w:right w:w="80" w:type="dxa"/>
            </w:tcMar>
            <w:vAlign w:val="center"/>
          </w:tcPr>
          <w:p w14:paraId="6FA0FE84" w14:textId="77777777" w:rsidR="000202A0" w:rsidRDefault="00000000">
            <w:pPr>
              <w:jc w:val="center"/>
            </w:pPr>
            <w:r>
              <w:rPr>
                <w:rFonts w:ascii="Palatino Linotype" w:eastAsia="Palatino Linotype" w:hAnsi="Palatino Linotype" w:cs="Palatino Linotype"/>
                <w:b/>
                <w:bCs/>
                <w:color w:val="1A5276"/>
                <w:sz w:val="16"/>
                <w:szCs w:val="16"/>
              </w:rPr>
              <w:t>0.811</w:t>
            </w:r>
          </w:p>
        </w:tc>
      </w:tr>
      <w:tr w:rsidR="000202A0" w14:paraId="0D138C15" w14:textId="77777777">
        <w:tc>
          <w:tcPr>
            <w:tcW w:w="0" w:type="auto"/>
            <w:shd w:val="clear" w:color="auto" w:fill="D6E4F0"/>
            <w:tcMar>
              <w:top w:w="40" w:type="dxa"/>
              <w:left w:w="80" w:type="dxa"/>
              <w:bottom w:w="40" w:type="dxa"/>
              <w:right w:w="80" w:type="dxa"/>
            </w:tcMar>
            <w:vAlign w:val="center"/>
          </w:tcPr>
          <w:p w14:paraId="5431C1F4" w14:textId="77777777" w:rsidR="000202A0" w:rsidRDefault="00000000">
            <w:pPr>
              <w:jc w:val="center"/>
            </w:pPr>
            <w:r>
              <w:rPr>
                <w:rFonts w:ascii="Palatino Linotype" w:eastAsia="Palatino Linotype" w:hAnsi="Palatino Linotype" w:cs="Palatino Linotype"/>
                <w:b/>
                <w:bCs/>
                <w:color w:val="1A5276"/>
                <w:sz w:val="16"/>
                <w:szCs w:val="16"/>
              </w:rPr>
              <w:t>ISO</w:t>
            </w:r>
          </w:p>
        </w:tc>
        <w:tc>
          <w:tcPr>
            <w:tcW w:w="0" w:type="auto"/>
            <w:shd w:val="clear" w:color="auto" w:fill="D6E4F0"/>
            <w:tcMar>
              <w:top w:w="40" w:type="dxa"/>
              <w:left w:w="80" w:type="dxa"/>
              <w:bottom w:w="40" w:type="dxa"/>
              <w:right w:w="80" w:type="dxa"/>
            </w:tcMar>
            <w:vAlign w:val="center"/>
          </w:tcPr>
          <w:p w14:paraId="13EA8D8D" w14:textId="77777777" w:rsidR="000202A0" w:rsidRDefault="00000000">
            <w:pPr>
              <w:jc w:val="center"/>
            </w:pPr>
            <w:r>
              <w:rPr>
                <w:rFonts w:ascii="Palatino Linotype" w:eastAsia="Palatino Linotype" w:hAnsi="Palatino Linotype" w:cs="Palatino Linotype"/>
                <w:color w:val="000000"/>
                <w:sz w:val="16"/>
                <w:szCs w:val="16"/>
              </w:rPr>
              <w:t>0.0354</w:t>
            </w:r>
          </w:p>
        </w:tc>
        <w:tc>
          <w:tcPr>
            <w:tcW w:w="0" w:type="auto"/>
            <w:shd w:val="clear" w:color="auto" w:fill="D6E4F0"/>
            <w:tcMar>
              <w:top w:w="40" w:type="dxa"/>
              <w:left w:w="80" w:type="dxa"/>
              <w:bottom w:w="40" w:type="dxa"/>
              <w:right w:w="80" w:type="dxa"/>
            </w:tcMar>
            <w:vAlign w:val="center"/>
          </w:tcPr>
          <w:p w14:paraId="284520E2" w14:textId="77777777" w:rsidR="000202A0" w:rsidRDefault="00000000">
            <w:pPr>
              <w:jc w:val="center"/>
            </w:pPr>
            <w:r>
              <w:rPr>
                <w:rFonts w:ascii="Palatino Linotype" w:eastAsia="Palatino Linotype" w:hAnsi="Palatino Linotype" w:cs="Palatino Linotype"/>
                <w:b/>
                <w:bCs/>
                <w:color w:val="1A5276"/>
                <w:sz w:val="16"/>
                <w:szCs w:val="16"/>
              </w:rPr>
              <w:t>0.0304</w:t>
            </w:r>
          </w:p>
        </w:tc>
        <w:tc>
          <w:tcPr>
            <w:tcW w:w="0" w:type="auto"/>
            <w:shd w:val="clear" w:color="auto" w:fill="D6E4F0"/>
            <w:tcMar>
              <w:top w:w="40" w:type="dxa"/>
              <w:left w:w="80" w:type="dxa"/>
              <w:bottom w:w="40" w:type="dxa"/>
              <w:right w:w="80" w:type="dxa"/>
            </w:tcMar>
            <w:vAlign w:val="center"/>
          </w:tcPr>
          <w:p w14:paraId="7F0B3C97" w14:textId="77777777" w:rsidR="000202A0" w:rsidRDefault="00000000">
            <w:pPr>
              <w:jc w:val="center"/>
            </w:pPr>
            <w:r>
              <w:rPr>
                <w:rFonts w:ascii="Palatino Linotype" w:eastAsia="Palatino Linotype" w:hAnsi="Palatino Linotype" w:cs="Palatino Linotype"/>
                <w:color w:val="000000"/>
                <w:sz w:val="16"/>
                <w:szCs w:val="16"/>
              </w:rPr>
              <w:t>0.723</w:t>
            </w:r>
          </w:p>
        </w:tc>
        <w:tc>
          <w:tcPr>
            <w:tcW w:w="0" w:type="auto"/>
            <w:shd w:val="clear" w:color="auto" w:fill="D6E4F0"/>
            <w:tcMar>
              <w:top w:w="40" w:type="dxa"/>
              <w:left w:w="80" w:type="dxa"/>
              <w:bottom w:w="40" w:type="dxa"/>
              <w:right w:w="80" w:type="dxa"/>
            </w:tcMar>
            <w:vAlign w:val="center"/>
          </w:tcPr>
          <w:p w14:paraId="6D20596D" w14:textId="77777777" w:rsidR="000202A0" w:rsidRDefault="00000000">
            <w:pPr>
              <w:jc w:val="center"/>
            </w:pPr>
            <w:r>
              <w:rPr>
                <w:rFonts w:ascii="Palatino Linotype" w:eastAsia="Palatino Linotype" w:hAnsi="Palatino Linotype" w:cs="Palatino Linotype"/>
                <w:b/>
                <w:bCs/>
                <w:color w:val="1A5276"/>
                <w:sz w:val="16"/>
                <w:szCs w:val="16"/>
              </w:rPr>
              <w:t>0.791</w:t>
            </w:r>
          </w:p>
        </w:tc>
      </w:tr>
      <w:tr w:rsidR="000202A0" w14:paraId="1D7A139C" w14:textId="77777777">
        <w:tc>
          <w:tcPr>
            <w:tcW w:w="0" w:type="auto"/>
            <w:tcMar>
              <w:top w:w="40" w:type="dxa"/>
              <w:left w:w="80" w:type="dxa"/>
              <w:bottom w:w="40" w:type="dxa"/>
              <w:right w:w="80" w:type="dxa"/>
            </w:tcMar>
            <w:vAlign w:val="center"/>
          </w:tcPr>
          <w:p w14:paraId="41F1C13E" w14:textId="77777777" w:rsidR="000202A0" w:rsidRDefault="00000000">
            <w:pPr>
              <w:jc w:val="center"/>
            </w:pPr>
            <w:r>
              <w:rPr>
                <w:rFonts w:ascii="Palatino Linotype" w:eastAsia="Palatino Linotype" w:hAnsi="Palatino Linotype" w:cs="Palatino Linotype"/>
                <w:b/>
                <w:bCs/>
                <w:color w:val="1A5276"/>
                <w:sz w:val="16"/>
                <w:szCs w:val="16"/>
              </w:rPr>
              <w:t>wOBA</w:t>
            </w:r>
          </w:p>
        </w:tc>
        <w:tc>
          <w:tcPr>
            <w:tcW w:w="0" w:type="auto"/>
            <w:tcMar>
              <w:top w:w="40" w:type="dxa"/>
              <w:left w:w="80" w:type="dxa"/>
              <w:bottom w:w="40" w:type="dxa"/>
              <w:right w:w="80" w:type="dxa"/>
            </w:tcMar>
            <w:vAlign w:val="center"/>
          </w:tcPr>
          <w:p w14:paraId="728F4987" w14:textId="77777777" w:rsidR="000202A0" w:rsidRDefault="00000000">
            <w:pPr>
              <w:jc w:val="center"/>
            </w:pPr>
            <w:r>
              <w:rPr>
                <w:rFonts w:ascii="Palatino Linotype" w:eastAsia="Palatino Linotype" w:hAnsi="Palatino Linotype" w:cs="Palatino Linotype"/>
                <w:color w:val="000000"/>
                <w:sz w:val="16"/>
                <w:szCs w:val="16"/>
              </w:rPr>
              <w:t>0.0249</w:t>
            </w:r>
          </w:p>
        </w:tc>
        <w:tc>
          <w:tcPr>
            <w:tcW w:w="0" w:type="auto"/>
            <w:tcMar>
              <w:top w:w="40" w:type="dxa"/>
              <w:left w:w="80" w:type="dxa"/>
              <w:bottom w:w="40" w:type="dxa"/>
              <w:right w:w="80" w:type="dxa"/>
            </w:tcMar>
            <w:vAlign w:val="center"/>
          </w:tcPr>
          <w:p w14:paraId="7E04B05B" w14:textId="77777777" w:rsidR="000202A0" w:rsidRDefault="00000000">
            <w:pPr>
              <w:jc w:val="center"/>
            </w:pPr>
            <w:r>
              <w:rPr>
                <w:rFonts w:ascii="Palatino Linotype" w:eastAsia="Palatino Linotype" w:hAnsi="Palatino Linotype" w:cs="Palatino Linotype"/>
                <w:b/>
                <w:bCs/>
                <w:color w:val="1A5276"/>
                <w:sz w:val="16"/>
                <w:szCs w:val="16"/>
              </w:rPr>
              <w:t>0.0222</w:t>
            </w:r>
          </w:p>
        </w:tc>
        <w:tc>
          <w:tcPr>
            <w:tcW w:w="0" w:type="auto"/>
            <w:tcMar>
              <w:top w:w="40" w:type="dxa"/>
              <w:left w:w="80" w:type="dxa"/>
              <w:bottom w:w="40" w:type="dxa"/>
              <w:right w:w="80" w:type="dxa"/>
            </w:tcMar>
            <w:vAlign w:val="center"/>
          </w:tcPr>
          <w:p w14:paraId="14EE9E0E" w14:textId="77777777" w:rsidR="000202A0" w:rsidRDefault="00000000">
            <w:pPr>
              <w:jc w:val="center"/>
            </w:pPr>
            <w:r>
              <w:rPr>
                <w:rFonts w:ascii="Palatino Linotype" w:eastAsia="Palatino Linotype" w:hAnsi="Palatino Linotype" w:cs="Palatino Linotype"/>
                <w:color w:val="000000"/>
                <w:sz w:val="16"/>
                <w:szCs w:val="16"/>
              </w:rPr>
              <w:t>0.564</w:t>
            </w:r>
          </w:p>
        </w:tc>
        <w:tc>
          <w:tcPr>
            <w:tcW w:w="0" w:type="auto"/>
            <w:tcMar>
              <w:top w:w="40" w:type="dxa"/>
              <w:left w:w="80" w:type="dxa"/>
              <w:bottom w:w="40" w:type="dxa"/>
              <w:right w:w="80" w:type="dxa"/>
            </w:tcMar>
            <w:vAlign w:val="center"/>
          </w:tcPr>
          <w:p w14:paraId="21323077" w14:textId="77777777" w:rsidR="000202A0" w:rsidRDefault="00000000">
            <w:pPr>
              <w:jc w:val="center"/>
            </w:pPr>
            <w:r>
              <w:rPr>
                <w:rFonts w:ascii="Palatino Linotype" w:eastAsia="Palatino Linotype" w:hAnsi="Palatino Linotype" w:cs="Palatino Linotype"/>
                <w:b/>
                <w:bCs/>
                <w:color w:val="1A5276"/>
                <w:sz w:val="16"/>
                <w:szCs w:val="16"/>
              </w:rPr>
              <w:t>0.614</w:t>
            </w:r>
          </w:p>
        </w:tc>
      </w:tr>
    </w:tbl>
    <w:p w14:paraId="6F4EFAFF" w14:textId="77777777" w:rsidR="000202A0" w:rsidRDefault="000202A0">
      <w:pPr>
        <w:spacing w:after="80"/>
      </w:pPr>
    </w:p>
    <w:p w14:paraId="43FFF2BC" w14:textId="77777777" w:rsidR="000202A0" w:rsidRDefault="00000000">
      <w:pPr>
        <w:spacing w:before="60" w:after="60"/>
        <w:jc w:val="center"/>
      </w:pPr>
      <w:r>
        <w:rPr>
          <w:noProof/>
        </w:rPr>
        <w:drawing>
          <wp:inline distT="0" distB="0" distL="0" distR="0" wp14:anchorId="72956405" wp14:editId="682B04E2">
            <wp:extent cx="5760720" cy="2008616"/>
            <wp:effectExtent l="0" t="0" r="0" b="0"/>
            <wp:docPr id="1905475668" name="Picture 1905475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2008616"/>
                    </a:xfrm>
                    <a:prstGeom prst="rect">
                      <a:avLst/>
                    </a:prstGeom>
                  </pic:spPr>
                </pic:pic>
              </a:graphicData>
            </a:graphic>
          </wp:inline>
        </w:drawing>
      </w:r>
    </w:p>
    <w:p w14:paraId="4D0FF7EE" w14:textId="77777777" w:rsidR="000202A0" w:rsidRDefault="00000000">
      <w:pPr>
        <w:spacing w:before="60" w:after="160"/>
        <w:jc w:val="both"/>
      </w:pPr>
      <w:r>
        <w:rPr>
          <w:rFonts w:ascii="Palatino Linotype" w:eastAsia="Palatino Linotype" w:hAnsi="Palatino Linotype" w:cs="Palatino Linotype"/>
          <w:b/>
          <w:bCs/>
          <w:sz w:val="16"/>
          <w:szCs w:val="16"/>
        </w:rPr>
        <w:t xml:space="preserve">Figure 3. </w:t>
      </w:r>
      <w:r>
        <w:rPr>
          <w:rFonts w:ascii="Palatino Linotype" w:eastAsia="Palatino Linotype" w:hAnsi="Palatino Linotype" w:cs="Palatino Linotype"/>
          <w:sz w:val="16"/>
          <w:szCs w:val="16"/>
        </w:rPr>
        <w:t xml:space="preserve">Predicted versus actual wOBA for three projection models across the 2021–2024 out-of-sample backtest (n = 153 player-seasons). Each panel plots projected wOBA on the x-axis against actual </w:t>
      </w:r>
      <w:proofErr w:type="gramStart"/>
      <w:r>
        <w:rPr>
          <w:rFonts w:ascii="Palatino Linotype" w:eastAsia="Palatino Linotype" w:hAnsi="Palatino Linotype" w:cs="Palatino Linotype"/>
          <w:sz w:val="16"/>
          <w:szCs w:val="16"/>
        </w:rPr>
        <w:t>next-season</w:t>
      </w:r>
      <w:proofErr w:type="gramEnd"/>
      <w:r>
        <w:rPr>
          <w:rFonts w:ascii="Palatino Linotype" w:eastAsia="Palatino Linotype" w:hAnsi="Palatino Linotype" w:cs="Palatino Linotype"/>
          <w:sz w:val="16"/>
          <w:szCs w:val="16"/>
        </w:rPr>
        <w:t xml:space="preserve"> wOBA on the y-axis. The dashed diagonal represents perfect prediction. Pearson r and MAE are reported in each panel title. The league-average panel produces a vertical scatter because all players receive the same predicted value. Marcel (full system) achieves the tightest clustering around the diagonal, reflecting the lowest MAE and highest Pearson r among the three models.</w:t>
      </w:r>
    </w:p>
    <w:p w14:paraId="78A732EF" w14:textId="77777777" w:rsidR="000202A0" w:rsidRDefault="00000000">
      <w:pPr>
        <w:spacing w:before="60" w:after="60"/>
        <w:jc w:val="center"/>
      </w:pPr>
      <w:r>
        <w:rPr>
          <w:noProof/>
        </w:rPr>
        <w:drawing>
          <wp:inline distT="0" distB="0" distL="0" distR="0" wp14:anchorId="55672FB0" wp14:editId="729D47C1">
            <wp:extent cx="5760720" cy="2224143"/>
            <wp:effectExtent l="0" t="0" r="0" b="0"/>
            <wp:docPr id="800835896" name="Picture 80083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2224143"/>
                    </a:xfrm>
                    <a:prstGeom prst="rect">
                      <a:avLst/>
                    </a:prstGeom>
                  </pic:spPr>
                </pic:pic>
              </a:graphicData>
            </a:graphic>
          </wp:inline>
        </w:drawing>
      </w:r>
    </w:p>
    <w:p w14:paraId="4159F3FC" w14:textId="77777777" w:rsidR="000202A0" w:rsidRDefault="00000000">
      <w:pPr>
        <w:spacing w:before="60" w:after="160"/>
        <w:jc w:val="both"/>
      </w:pPr>
      <w:r>
        <w:rPr>
          <w:rFonts w:ascii="Palatino Linotype" w:eastAsia="Palatino Linotype" w:hAnsi="Palatino Linotype" w:cs="Palatino Linotype"/>
          <w:b/>
          <w:bCs/>
          <w:sz w:val="16"/>
          <w:szCs w:val="16"/>
        </w:rPr>
        <w:lastRenderedPageBreak/>
        <w:t xml:space="preserve">Figure 4. </w:t>
      </w:r>
      <w:r>
        <w:rPr>
          <w:rFonts w:ascii="Palatino Linotype" w:eastAsia="Palatino Linotype" w:hAnsi="Palatino Linotype" w:cs="Palatino Linotype"/>
          <w:sz w:val="16"/>
          <w:szCs w:val="16"/>
        </w:rPr>
        <w:t>Comparison of Mean Absolute Error (MAE, left) and Pearson r (right) across five hitter statistics and three projection models, aggregated over the 2021–2024 backtest window. Lower MAE indicates greater absolute accuracy; higher Pearson r indicates stronger ability to rank players by relative performance. Marcel Projection bars are shown in dark blue; Prior Year Only in medium gray; League Average in light gray. League-average Pearson r values are at or below zero, confirming that the model has no individual-level predictive power.</w:t>
      </w:r>
    </w:p>
    <w:p w14:paraId="32F1D973" w14:textId="77777777" w:rsidR="000202A0" w:rsidRDefault="00000000">
      <w:pPr>
        <w:spacing w:before="160" w:after="120"/>
      </w:pPr>
      <w:r>
        <w:rPr>
          <w:rFonts w:ascii="Palatino Linotype" w:eastAsia="Palatino Linotype" w:hAnsi="Palatino Linotype" w:cs="Palatino Linotype"/>
          <w:b/>
          <w:bCs/>
          <w:sz w:val="18"/>
          <w:szCs w:val="18"/>
        </w:rPr>
        <w:t>5.2 Component Contribution</w:t>
      </w:r>
    </w:p>
    <w:p w14:paraId="032FCE86" w14:textId="465D2885" w:rsidR="000202A0" w:rsidRDefault="00000000">
      <w:pPr>
        <w:spacing w:after="80"/>
        <w:ind w:firstLine="431"/>
        <w:jc w:val="both"/>
      </w:pPr>
      <w:r>
        <w:rPr>
          <w:rFonts w:ascii="Palatino Linotype" w:eastAsia="Palatino Linotype" w:hAnsi="Palatino Linotype" w:cs="Palatino Linotype"/>
          <w:color w:val="000000"/>
          <w:sz w:val="18"/>
          <w:szCs w:val="18"/>
        </w:rPr>
        <w:t xml:space="preserve">Each component adds +0.009 Pearson r on wOBA. With more stable statistics, such as BB% and K%, Marcel, with and without age, performs worse than the prior year only because these statistics generally do not change dramatically between seasons. Thus, with Marcel factoring in and weighting prior seasons, it makes slightly worse predictions than just using the prior year. The drops in Marcel without age and in Marcel with age in HR rate and ISO are both less than 0.002, which is well within the noise level, indicating no substantial performance difference. </w:t>
      </w:r>
      <w:r w:rsidR="004E3C4F">
        <w:rPr>
          <w:rFonts w:ascii="Palatino Linotype" w:eastAsia="Palatino Linotype" w:hAnsi="Palatino Linotype" w:cs="Palatino Linotype"/>
          <w:color w:val="000000"/>
          <w:sz w:val="18"/>
          <w:szCs w:val="18"/>
        </w:rPr>
        <w:t xml:space="preserve">The modest underperformance on HR% and ISO may reflect the higher inherent volatility of power statistics relative to contact-based metrics such as BB and K%, rather than any artifact of the age anchor. Power output is more susceptible to year-to-year fluctuation driven by injury, playing time changes, and small sample variation, making it inherently harder to project accurately regardless of anchoring choice. </w:t>
      </w:r>
    </w:p>
    <w:p w14:paraId="5C129191" w14:textId="77777777" w:rsidR="000202A0" w:rsidRDefault="00000000">
      <w:pPr>
        <w:spacing w:before="60" w:after="60"/>
        <w:jc w:val="center"/>
      </w:pPr>
      <w:r>
        <w:rPr>
          <w:noProof/>
        </w:rPr>
        <w:drawing>
          <wp:inline distT="0" distB="0" distL="0" distR="0" wp14:anchorId="16D6A8A2" wp14:editId="44100985">
            <wp:extent cx="5760720" cy="1876666"/>
            <wp:effectExtent l="0" t="0" r="0" b="0"/>
            <wp:docPr id="720851123" name="Picture 72085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1876666"/>
                    </a:xfrm>
                    <a:prstGeom prst="rect">
                      <a:avLst/>
                    </a:prstGeom>
                  </pic:spPr>
                </pic:pic>
              </a:graphicData>
            </a:graphic>
          </wp:inline>
        </w:drawing>
      </w:r>
    </w:p>
    <w:p w14:paraId="4F674BEE" w14:textId="77777777" w:rsidR="000202A0" w:rsidRDefault="00000000">
      <w:pPr>
        <w:spacing w:before="60" w:after="160"/>
        <w:jc w:val="both"/>
      </w:pPr>
      <w:r>
        <w:rPr>
          <w:rFonts w:ascii="Palatino Linotype" w:eastAsia="Palatino Linotype" w:hAnsi="Palatino Linotype" w:cs="Palatino Linotype"/>
          <w:b/>
          <w:bCs/>
          <w:sz w:val="16"/>
          <w:szCs w:val="16"/>
        </w:rPr>
        <w:t xml:space="preserve">Figure 5. </w:t>
      </w:r>
      <w:r>
        <w:rPr>
          <w:rFonts w:ascii="Palatino Linotype" w:eastAsia="Palatino Linotype" w:hAnsi="Palatino Linotype" w:cs="Palatino Linotype"/>
          <w:sz w:val="16"/>
          <w:szCs w:val="16"/>
        </w:rPr>
        <w:t>Ablation study results showing Pearson r with actual next-season values for four model variants across five hitter statistics (KBO, 2021–2024 backtest). From left to right within each panel: league average only, prior year only, Marcel without age adjustment, and Marcel with full age adjustment. Each additional component produces a measurable improvement in predictive accuracy, isolating the contribution of multi-year weighting and age adjustment independently.</w:t>
      </w:r>
    </w:p>
    <w:p w14:paraId="48D8DBA7" w14:textId="77777777" w:rsidR="000202A0" w:rsidRDefault="00000000">
      <w:pPr>
        <w:spacing w:before="160" w:after="120"/>
      </w:pPr>
      <w:r>
        <w:rPr>
          <w:rFonts w:ascii="Palatino Linotype" w:eastAsia="Palatino Linotype" w:hAnsi="Palatino Linotype" w:cs="Palatino Linotype"/>
          <w:b/>
          <w:bCs/>
          <w:sz w:val="18"/>
          <w:szCs w:val="18"/>
        </w:rPr>
        <w:t>5.3 2026 Mid-Season Validation</w:t>
      </w:r>
    </w:p>
    <w:p w14:paraId="426F689D" w14:textId="77777777" w:rsidR="000202A0" w:rsidRDefault="00000000">
      <w:pPr>
        <w:spacing w:after="80"/>
        <w:ind w:firstLine="431"/>
        <w:jc w:val="both"/>
      </w:pPr>
      <w:r>
        <w:rPr>
          <w:rFonts w:ascii="Palatino Linotype" w:eastAsia="Palatino Linotype" w:hAnsi="Palatino Linotype" w:cs="Palatino Linotype"/>
          <w:color w:val="000000"/>
          <w:sz w:val="18"/>
          <w:szCs w:val="18"/>
        </w:rPr>
        <w:t>Marcel's pre-season projections achieved a Pearson r of 0.587 and a Spearman rank correlation of ρ = 0.688 (p = 0.007) against actual mid-season OPS for 14 matched hitters, indicating the system has meaningful prospective validity. Figure 6 plots projected OPS against actual mid-season OPS and shows rank agreement for all 14 matched players.</w:t>
      </w:r>
    </w:p>
    <w:p w14:paraId="470D2BCC" w14:textId="77777777" w:rsidR="000202A0" w:rsidRDefault="00000000">
      <w:pPr>
        <w:spacing w:before="60" w:after="60"/>
        <w:jc w:val="center"/>
      </w:pPr>
      <w:r>
        <w:rPr>
          <w:noProof/>
        </w:rPr>
        <w:lastRenderedPageBreak/>
        <w:drawing>
          <wp:inline distT="0" distB="0" distL="0" distR="0" wp14:anchorId="364A15C6" wp14:editId="53321A54">
            <wp:extent cx="5760720" cy="2675274"/>
            <wp:effectExtent l="0" t="0" r="0" b="0"/>
            <wp:docPr id="130257993" name="Picture 13025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2675274"/>
                    </a:xfrm>
                    <a:prstGeom prst="rect">
                      <a:avLst/>
                    </a:prstGeom>
                  </pic:spPr>
                </pic:pic>
              </a:graphicData>
            </a:graphic>
          </wp:inline>
        </w:drawing>
      </w:r>
    </w:p>
    <w:p w14:paraId="5F560600" w14:textId="77777777" w:rsidR="000202A0" w:rsidRDefault="00000000">
      <w:pPr>
        <w:spacing w:before="60" w:after="160"/>
        <w:jc w:val="both"/>
      </w:pPr>
      <w:r>
        <w:rPr>
          <w:rFonts w:ascii="Palatino Linotype" w:eastAsia="Palatino Linotype" w:hAnsi="Palatino Linotype" w:cs="Palatino Linotype"/>
          <w:b/>
          <w:bCs/>
          <w:sz w:val="16"/>
          <w:szCs w:val="16"/>
        </w:rPr>
        <w:t xml:space="preserve">Figure 6. </w:t>
      </w:r>
      <w:r>
        <w:rPr>
          <w:rFonts w:ascii="Palatino Linotype" w:eastAsia="Palatino Linotype" w:hAnsi="Palatino Linotype" w:cs="Palatino Linotype"/>
          <w:sz w:val="16"/>
          <w:szCs w:val="16"/>
        </w:rPr>
        <w:t>Mid-season 2026 validation of Marcel hitter projections (n = 14 matched players). The left panel plots pre-season projected OPS against actual mid-season OPS (through July 2026), with the dashed diagonal representing perfect prediction. Pearson r = 0.587 and Spearman ρ = 0.688 (p = 0.007) indicate strong agreement between projected and observed performance. The right panel shows the projected versus actual rank for each matched player, ordered by projected rank. Bars closest in length indicate the most accurate projections. Kim Do-young (projected 1st, actual 3rd) and Koo Ja-</w:t>
      </w:r>
      <w:proofErr w:type="spellStart"/>
      <w:r>
        <w:rPr>
          <w:rFonts w:ascii="Palatino Linotype" w:eastAsia="Palatino Linotype" w:hAnsi="Palatino Linotype" w:cs="Palatino Linotype"/>
          <w:sz w:val="16"/>
          <w:szCs w:val="16"/>
        </w:rPr>
        <w:t>wook</w:t>
      </w:r>
      <w:proofErr w:type="spellEnd"/>
      <w:r>
        <w:rPr>
          <w:rFonts w:ascii="Palatino Linotype" w:eastAsia="Palatino Linotype" w:hAnsi="Palatino Linotype" w:cs="Palatino Linotype"/>
          <w:sz w:val="16"/>
          <w:szCs w:val="16"/>
        </w:rPr>
        <w:t xml:space="preserve"> (projected 4th, actual 5th) represent the system's strongest individual predictions.</w:t>
      </w:r>
    </w:p>
    <w:p w14:paraId="0231267D" w14:textId="77777777" w:rsidR="000202A0" w:rsidRDefault="00000000">
      <w:pPr>
        <w:spacing w:after="80"/>
        <w:ind w:firstLine="431"/>
        <w:jc w:val="both"/>
      </w:pPr>
      <w:r>
        <w:rPr>
          <w:rFonts w:ascii="Palatino Linotype" w:eastAsia="Palatino Linotype" w:hAnsi="Palatino Linotype" w:cs="Palatino Linotype"/>
          <w:color w:val="000000"/>
          <w:sz w:val="18"/>
          <w:szCs w:val="18"/>
        </w:rPr>
        <w:t>Five of the top six matched players had a projected-to-actual rank difference of one or less. Kim Do-young was projected first and is performing third. Koo Ja-</w:t>
      </w:r>
      <w:proofErr w:type="spellStart"/>
      <w:r>
        <w:rPr>
          <w:rFonts w:ascii="Palatino Linotype" w:eastAsia="Palatino Linotype" w:hAnsi="Palatino Linotype" w:cs="Palatino Linotype"/>
          <w:color w:val="000000"/>
          <w:sz w:val="18"/>
          <w:szCs w:val="18"/>
        </w:rPr>
        <w:t>wook</w:t>
      </w:r>
      <w:proofErr w:type="spellEnd"/>
      <w:r>
        <w:rPr>
          <w:rFonts w:ascii="Palatino Linotype" w:eastAsia="Palatino Linotype" w:hAnsi="Palatino Linotype" w:cs="Palatino Linotype"/>
          <w:color w:val="000000"/>
          <w:sz w:val="18"/>
          <w:szCs w:val="18"/>
        </w:rPr>
        <w:t xml:space="preserve"> was projected fourth and is performing fifth. Choi Jeong was projected third and is performing second. The largest discrepancies were Yang Eui-ji (projected 7th, performing 14th) and Diaz (projected 2nd, performing 9th). Yang Eui-</w:t>
      </w:r>
      <w:proofErr w:type="spellStart"/>
      <w:r>
        <w:rPr>
          <w:rFonts w:ascii="Palatino Linotype" w:eastAsia="Palatino Linotype" w:hAnsi="Palatino Linotype" w:cs="Palatino Linotype"/>
          <w:color w:val="000000"/>
          <w:sz w:val="18"/>
          <w:szCs w:val="18"/>
        </w:rPr>
        <w:t>ji's</w:t>
      </w:r>
      <w:proofErr w:type="spellEnd"/>
      <w:r>
        <w:rPr>
          <w:rFonts w:ascii="Palatino Linotype" w:eastAsia="Palatino Linotype" w:hAnsi="Palatino Linotype" w:cs="Palatino Linotype"/>
          <w:color w:val="000000"/>
          <w:sz w:val="18"/>
          <w:szCs w:val="18"/>
        </w:rPr>
        <w:t xml:space="preserve"> underperformance is consistent with the age-curve findings, as veteran players beyond age 35 are the most difficult to project accurately due to small sample sizes in the age-curve data. Diaz's overestimation likely reflects the known limitation that </w:t>
      </w:r>
      <w:proofErr w:type="gramStart"/>
      <w:r>
        <w:rPr>
          <w:rFonts w:ascii="Palatino Linotype" w:eastAsia="Palatino Linotype" w:hAnsi="Palatino Linotype" w:cs="Palatino Linotype"/>
          <w:color w:val="000000"/>
          <w:sz w:val="18"/>
          <w:szCs w:val="18"/>
        </w:rPr>
        <w:t>foreign imports</w:t>
      </w:r>
      <w:proofErr w:type="gramEnd"/>
      <w:r>
        <w:rPr>
          <w:rFonts w:ascii="Palatino Linotype" w:eastAsia="Palatino Linotype" w:hAnsi="Palatino Linotype" w:cs="Palatino Linotype"/>
          <w:color w:val="000000"/>
          <w:sz w:val="18"/>
          <w:szCs w:val="18"/>
        </w:rPr>
        <w:t xml:space="preserve"> are not subject to park factor adjustment. Notably, Austin was projected 5th but is currently performing 1st by OPS. As a foreign import projected without an age adjustment, this suggests the system may conservatively underestimate </w:t>
      </w:r>
      <w:proofErr w:type="gramStart"/>
      <w:r>
        <w:rPr>
          <w:rFonts w:ascii="Palatino Linotype" w:eastAsia="Palatino Linotype" w:hAnsi="Palatino Linotype" w:cs="Palatino Linotype"/>
          <w:color w:val="000000"/>
          <w:sz w:val="18"/>
          <w:szCs w:val="18"/>
        </w:rPr>
        <w:t>foreign imports</w:t>
      </w:r>
      <w:proofErr w:type="gramEnd"/>
      <w:r>
        <w:rPr>
          <w:rFonts w:ascii="Palatino Linotype" w:eastAsia="Palatino Linotype" w:hAnsi="Palatino Linotype" w:cs="Palatino Linotype"/>
          <w:color w:val="000000"/>
          <w:sz w:val="18"/>
          <w:szCs w:val="18"/>
        </w:rPr>
        <w:t xml:space="preserve"> who are performing at peak career levels.</w:t>
      </w:r>
    </w:p>
    <w:p w14:paraId="329E3FE2" w14:textId="77777777" w:rsidR="000202A0" w:rsidRDefault="00000000">
      <w:pPr>
        <w:spacing w:before="60" w:after="60"/>
        <w:jc w:val="center"/>
      </w:pPr>
      <w:r>
        <w:rPr>
          <w:noProof/>
        </w:rPr>
        <w:lastRenderedPageBreak/>
        <w:drawing>
          <wp:inline distT="0" distB="0" distL="0" distR="0" wp14:anchorId="4428FAB5" wp14:editId="7326C4B2">
            <wp:extent cx="4114800" cy="4552011"/>
            <wp:effectExtent l="0" t="0" r="0" b="0"/>
            <wp:docPr id="521634145" name="Picture 52163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4552011"/>
                    </a:xfrm>
                    <a:prstGeom prst="rect">
                      <a:avLst/>
                    </a:prstGeom>
                  </pic:spPr>
                </pic:pic>
              </a:graphicData>
            </a:graphic>
          </wp:inline>
        </w:drawing>
      </w:r>
    </w:p>
    <w:p w14:paraId="7C059CF6" w14:textId="77777777" w:rsidR="000202A0" w:rsidRDefault="00000000">
      <w:pPr>
        <w:spacing w:before="60" w:after="160"/>
        <w:jc w:val="both"/>
      </w:pPr>
      <w:r>
        <w:rPr>
          <w:rFonts w:ascii="Palatino Linotype" w:eastAsia="Palatino Linotype" w:hAnsi="Palatino Linotype" w:cs="Palatino Linotype"/>
          <w:b/>
          <w:bCs/>
          <w:sz w:val="16"/>
          <w:szCs w:val="16"/>
        </w:rPr>
        <w:t xml:space="preserve">Figure 7. </w:t>
      </w:r>
      <w:r>
        <w:rPr>
          <w:rFonts w:ascii="Palatino Linotype" w:eastAsia="Palatino Linotype" w:hAnsi="Palatino Linotype" w:cs="Palatino Linotype"/>
          <w:sz w:val="16"/>
          <w:szCs w:val="16"/>
        </w:rPr>
        <w:t xml:space="preserve">Top 20 KBO hitters ranked by projected 2026 wOBA, generated by the full Marcel system (5/4/3 multi-year weights, empirical Bayes regression, age adjustment). The dashed vertical line indicates the </w:t>
      </w:r>
      <w:proofErr w:type="gramStart"/>
      <w:r>
        <w:rPr>
          <w:rFonts w:ascii="Palatino Linotype" w:eastAsia="Palatino Linotype" w:hAnsi="Palatino Linotype" w:cs="Palatino Linotype"/>
          <w:sz w:val="16"/>
          <w:szCs w:val="16"/>
        </w:rPr>
        <w:t>top-20</w:t>
      </w:r>
      <w:proofErr w:type="gramEnd"/>
      <w:r>
        <w:rPr>
          <w:rFonts w:ascii="Palatino Linotype" w:eastAsia="Palatino Linotype" w:hAnsi="Palatino Linotype" w:cs="Palatino Linotype"/>
          <w:sz w:val="16"/>
          <w:szCs w:val="16"/>
        </w:rPr>
        <w:t xml:space="preserve"> median projected wOBA. Player ages are shown in parentheses where available.</w:t>
      </w:r>
    </w:p>
    <w:p w14:paraId="7E6394BB" w14:textId="77777777" w:rsidR="000202A0" w:rsidRDefault="00000000">
      <w:pPr>
        <w:spacing w:before="200" w:after="160"/>
      </w:pPr>
      <w:r>
        <w:rPr>
          <w:rFonts w:ascii="Palatino Linotype" w:eastAsia="Palatino Linotype" w:hAnsi="Palatino Linotype" w:cs="Palatino Linotype"/>
          <w:b/>
          <w:bCs/>
        </w:rPr>
        <w:t>6. Discussion</w:t>
      </w:r>
    </w:p>
    <w:p w14:paraId="4D4DC471" w14:textId="0044F70C" w:rsidR="000202A0" w:rsidRDefault="00000000">
      <w:pPr>
        <w:spacing w:after="80"/>
        <w:ind w:firstLine="431"/>
        <w:jc w:val="both"/>
      </w:pPr>
      <w:r>
        <w:rPr>
          <w:rFonts w:ascii="Palatino Linotype" w:eastAsia="Palatino Linotype" w:hAnsi="Palatino Linotype" w:cs="Palatino Linotype"/>
          <w:color w:val="000000"/>
          <w:sz w:val="18"/>
          <w:szCs w:val="18"/>
        </w:rPr>
        <w:t xml:space="preserve">The finding of m ≈ 1 indicates that players who accumulate 300+ PA in a KBO season are a highly selected group. The threshold itself acts as a natural filter; only consistent, reliable performers reach it. By the time a player has 300 PA, their observed rate statistics are already a reliable signal of true skill. Conversely, Marcel systems calibrated on MLB data use m values ranging from 200 to 700, depending on the statistic being tested. The difference is not that KBO players are more consistent; it is that the 300 PA qualifying threshold in a </w:t>
      </w:r>
      <w:r w:rsidR="004E3C4F">
        <w:rPr>
          <w:rFonts w:ascii="Palatino Linotype" w:eastAsia="Palatino Linotype" w:hAnsi="Palatino Linotype" w:cs="Palatino Linotype"/>
          <w:color w:val="000000"/>
          <w:sz w:val="18"/>
          <w:szCs w:val="18"/>
        </w:rPr>
        <w:t xml:space="preserve">shorter season filters </w:t>
      </w:r>
      <w:r>
        <w:rPr>
          <w:rFonts w:ascii="Palatino Linotype" w:eastAsia="Palatino Linotype" w:hAnsi="Palatino Linotype" w:cs="Palatino Linotype"/>
          <w:color w:val="000000"/>
          <w:sz w:val="18"/>
          <w:szCs w:val="18"/>
        </w:rPr>
        <w:t>more aggressively than the equivalent MLB threshold.</w:t>
      </w:r>
    </w:p>
    <w:p w14:paraId="3B75FC4A" w14:textId="77777777" w:rsidR="000202A0" w:rsidRDefault="00000000">
      <w:pPr>
        <w:spacing w:after="80"/>
        <w:ind w:firstLine="431"/>
        <w:jc w:val="both"/>
      </w:pPr>
      <w:r>
        <w:rPr>
          <w:rFonts w:ascii="Palatino Linotype" w:eastAsia="Palatino Linotype" w:hAnsi="Palatino Linotype" w:cs="Palatino Linotype"/>
          <w:color w:val="000000"/>
          <w:sz w:val="18"/>
          <w:szCs w:val="18"/>
        </w:rPr>
        <w:t>Another novel result from this experiment was the discovery of distinct age-related trends in the KBO. In terms of KBO players' peak ages, wOBA peaks early, with positive deltas only seen at ages 21–23, followed by declines beginning around age 24. This suggests KBO hitters peak slightly earlier than the MLB convention age of 27, which was used as the anchor. Future work should derive the KBO-specific peak age empirically rather than relying on the MLB convention. ISO declines the most steeply and earliest, with positive deltas disappearing by age 24, and the sharpest drops occur at ages 29, 31, and 33. Notably, the choice of anchor age does not affect projection accuracy, as Marcel applies single-year deltas rather than absolute cumulative adjustments; the anchor serves only as a reference frame for interpreting the aging curves.</w:t>
      </w:r>
    </w:p>
    <w:p w14:paraId="385C8989" w14:textId="10951F24" w:rsidR="000202A0" w:rsidRDefault="00000000">
      <w:pPr>
        <w:spacing w:after="80"/>
        <w:ind w:firstLine="431"/>
        <w:jc w:val="both"/>
      </w:pPr>
      <w:r>
        <w:rPr>
          <w:rFonts w:ascii="Palatino Linotype" w:eastAsia="Palatino Linotype" w:hAnsi="Palatino Linotype" w:cs="Palatino Linotype"/>
          <w:color w:val="000000"/>
          <w:sz w:val="18"/>
          <w:szCs w:val="18"/>
        </w:rPr>
        <w:t xml:space="preserve">While pitcher projections were generated using the same Marcel framework applied to FIP, the pitcher validation sample was too small (6 matched players) to draw reliable conclusions. Pitcher projections are </w:t>
      </w:r>
      <w:r>
        <w:rPr>
          <w:rFonts w:ascii="Palatino Linotype" w:eastAsia="Palatino Linotype" w:hAnsi="Palatino Linotype" w:cs="Palatino Linotype"/>
          <w:color w:val="000000"/>
          <w:sz w:val="18"/>
          <w:szCs w:val="18"/>
        </w:rPr>
        <w:lastRenderedPageBreak/>
        <w:t>excluded from the results; evaluating pitcher accuracy against a full end-of-season sample is left for future work.</w:t>
      </w:r>
      <w:r w:rsidR="003F3DD5">
        <w:rPr>
          <w:rFonts w:ascii="Palatino Linotype" w:eastAsia="Palatino Linotype" w:hAnsi="Palatino Linotype" w:cs="Palatino Linotype"/>
          <w:color w:val="000000"/>
          <w:sz w:val="18"/>
          <w:szCs w:val="18"/>
        </w:rPr>
        <w:t xml:space="preserve"> Additionally, the 300 PA minimum threshold excludes a meaningful portion of the KBO roster, particularly younger and part-time players whose developmental trajectories may be of analytical interest. </w:t>
      </w:r>
    </w:p>
    <w:p w14:paraId="511520C3" w14:textId="77777777" w:rsidR="000202A0" w:rsidRDefault="00000000">
      <w:pPr>
        <w:spacing w:before="200" w:after="160"/>
      </w:pPr>
      <w:r>
        <w:rPr>
          <w:rFonts w:ascii="Palatino Linotype" w:eastAsia="Palatino Linotype" w:hAnsi="Palatino Linotype" w:cs="Palatino Linotype"/>
          <w:b/>
          <w:bCs/>
        </w:rPr>
        <w:t>7. Conclusion</w:t>
      </w:r>
    </w:p>
    <w:p w14:paraId="3296CA6F" w14:textId="77777777" w:rsidR="000202A0" w:rsidRDefault="00000000">
      <w:pPr>
        <w:spacing w:after="80"/>
        <w:ind w:firstLine="431"/>
        <w:jc w:val="both"/>
      </w:pPr>
      <w:r>
        <w:rPr>
          <w:rFonts w:ascii="Palatino Linotype" w:eastAsia="Palatino Linotype" w:hAnsi="Palatino Linotype" w:cs="Palatino Linotype"/>
          <w:color w:val="000000"/>
          <w:sz w:val="18"/>
          <w:szCs w:val="18"/>
        </w:rPr>
        <w:t>In this research, a Marcel-style projection system was built for the KBO and calibrated entirely using Korean baseball data. It combines empirical Bayes regression to the mean with delta-method aging curves and multi-year weighted projections. The system was validated against four held-out seasons and benchmarked against two naive baselines. This is the first such system documented for Korean professional baseball.</w:t>
      </w:r>
    </w:p>
    <w:p w14:paraId="5DE0C5E3" w14:textId="77777777" w:rsidR="000202A0" w:rsidRDefault="00000000">
      <w:pPr>
        <w:spacing w:after="80"/>
        <w:ind w:firstLine="431"/>
        <w:jc w:val="both"/>
      </w:pPr>
      <w:r>
        <w:rPr>
          <w:rFonts w:ascii="Palatino Linotype" w:eastAsia="Palatino Linotype" w:hAnsi="Palatino Linotype" w:cs="Palatino Linotype"/>
          <w:color w:val="000000"/>
          <w:sz w:val="18"/>
          <w:szCs w:val="18"/>
        </w:rPr>
        <w:t>There were three concrete findings from this research. First, the Marcel system outperforms both naive baselines on hitter statistics across all four backtest years. Second, optimal regression coefficients converge to m ≈ 1 for qualified KBO starters, indicating observed rate statistics are already reliable at the 300 PA threshold. Lastly, the model components of multi-year weighting and age adjustment both contribute measurable improvements of approximately +0.009 Pearson r on wOBA.</w:t>
      </w:r>
    </w:p>
    <w:p w14:paraId="13146CD6" w14:textId="3F138592" w:rsidR="000202A0" w:rsidRDefault="00000000">
      <w:pPr>
        <w:spacing w:after="80"/>
        <w:ind w:firstLine="431"/>
        <w:jc w:val="both"/>
      </w:pPr>
      <w:r>
        <w:rPr>
          <w:rFonts w:ascii="Palatino Linotype" w:eastAsia="Palatino Linotype" w:hAnsi="Palatino Linotype" w:cs="Palatino Linotype"/>
          <w:color w:val="000000"/>
          <w:sz w:val="18"/>
          <w:szCs w:val="18"/>
        </w:rPr>
        <w:t xml:space="preserve">Teams in the KBO </w:t>
      </w:r>
      <w:r w:rsidR="004E3C4F">
        <w:rPr>
          <w:rFonts w:ascii="Palatino Linotype" w:eastAsia="Palatino Linotype" w:hAnsi="Palatino Linotype" w:cs="Palatino Linotype"/>
          <w:color w:val="000000"/>
          <w:sz w:val="18"/>
          <w:szCs w:val="18"/>
        </w:rPr>
        <w:t>may find it useful to</w:t>
      </w:r>
      <w:r>
        <w:rPr>
          <w:rFonts w:ascii="Palatino Linotype" w:eastAsia="Palatino Linotype" w:hAnsi="Palatino Linotype" w:cs="Palatino Linotype"/>
          <w:color w:val="000000"/>
          <w:sz w:val="18"/>
          <w:szCs w:val="18"/>
        </w:rPr>
        <w:t xml:space="preserve"> use a transparent, reproducible statistical framework for player valuation and roster decisions rather than relying on surface statistics and judgment alone. The aging curves also provide the first empirical, bias-corrected picture of how KBO players age, information that </w:t>
      </w:r>
      <w:r w:rsidR="006A7A14">
        <w:rPr>
          <w:rFonts w:ascii="Palatino Linotype" w:eastAsia="Palatino Linotype" w:hAnsi="Palatino Linotype" w:cs="Palatino Linotype"/>
          <w:color w:val="000000"/>
          <w:sz w:val="18"/>
          <w:szCs w:val="18"/>
        </w:rPr>
        <w:t>may be valuable</w:t>
      </w:r>
      <w:r>
        <w:rPr>
          <w:rFonts w:ascii="Palatino Linotype" w:eastAsia="Palatino Linotype" w:hAnsi="Palatino Linotype" w:cs="Palatino Linotype"/>
          <w:color w:val="000000"/>
          <w:sz w:val="18"/>
          <w:szCs w:val="18"/>
        </w:rPr>
        <w:t xml:space="preserve"> for contract-length decisions and player development planning. This system </w:t>
      </w:r>
      <w:r w:rsidR="004E3C4F">
        <w:rPr>
          <w:rFonts w:ascii="Palatino Linotype" w:eastAsia="Palatino Linotype" w:hAnsi="Palatino Linotype" w:cs="Palatino Linotype"/>
          <w:color w:val="000000"/>
          <w:sz w:val="18"/>
          <w:szCs w:val="18"/>
        </w:rPr>
        <w:t>may</w:t>
      </w:r>
      <w:r>
        <w:rPr>
          <w:rFonts w:ascii="Palatino Linotype" w:eastAsia="Palatino Linotype" w:hAnsi="Palatino Linotype" w:cs="Palatino Linotype"/>
          <w:color w:val="000000"/>
          <w:sz w:val="18"/>
          <w:szCs w:val="18"/>
        </w:rPr>
        <w:t xml:space="preserve"> help improve front-office player valuation and contract decisions, while also expanding fantasy baseball projections for the growing KBO fantasy community.</w:t>
      </w:r>
    </w:p>
    <w:p w14:paraId="119FF947" w14:textId="77777777" w:rsidR="000202A0" w:rsidRDefault="000202A0">
      <w:pPr>
        <w:spacing w:after="120"/>
      </w:pPr>
    </w:p>
    <w:p w14:paraId="412AE0B9" w14:textId="77777777" w:rsidR="000202A0" w:rsidRDefault="00000000">
      <w:pPr>
        <w:spacing w:after="80"/>
        <w:jc w:val="both"/>
      </w:pPr>
      <w:r>
        <w:rPr>
          <w:rFonts w:ascii="Palatino Linotype" w:eastAsia="Palatino Linotype" w:hAnsi="Palatino Linotype" w:cs="Palatino Linotype"/>
          <w:b/>
          <w:bCs/>
          <w:sz w:val="18"/>
          <w:szCs w:val="18"/>
        </w:rPr>
        <w:t xml:space="preserve">Author Contributions: </w:t>
      </w:r>
      <w:r>
        <w:rPr>
          <w:rFonts w:ascii="Palatino Linotype" w:eastAsia="Palatino Linotype" w:hAnsi="Palatino Linotype" w:cs="Palatino Linotype"/>
          <w:sz w:val="18"/>
          <w:szCs w:val="18"/>
        </w:rPr>
        <w:t>Conceptualization, K.T.; methodology, K.T.; software, K.T.; writing—original draft preparation, K.T.; supervision, I.A. All authors have read and agreed to the published version of the manuscript.</w:t>
      </w:r>
    </w:p>
    <w:p w14:paraId="24FC016F" w14:textId="77777777" w:rsidR="000202A0" w:rsidRDefault="00000000">
      <w:pPr>
        <w:spacing w:after="80"/>
        <w:jc w:val="both"/>
      </w:pPr>
      <w:r>
        <w:rPr>
          <w:rFonts w:ascii="Palatino Linotype" w:eastAsia="Palatino Linotype" w:hAnsi="Palatino Linotype" w:cs="Palatino Linotype"/>
          <w:b/>
          <w:bCs/>
          <w:sz w:val="18"/>
          <w:szCs w:val="18"/>
        </w:rPr>
        <w:t xml:space="preserve">Funding: </w:t>
      </w:r>
      <w:r>
        <w:rPr>
          <w:rFonts w:ascii="Palatino Linotype" w:eastAsia="Palatino Linotype" w:hAnsi="Palatino Linotype" w:cs="Palatino Linotype"/>
          <w:sz w:val="18"/>
          <w:szCs w:val="18"/>
        </w:rPr>
        <w:t>This research received no external funding.</w:t>
      </w:r>
    </w:p>
    <w:p w14:paraId="72CFCC33" w14:textId="77777777" w:rsidR="000202A0" w:rsidRDefault="00000000">
      <w:pPr>
        <w:spacing w:after="80"/>
        <w:jc w:val="both"/>
      </w:pPr>
      <w:r>
        <w:rPr>
          <w:rFonts w:ascii="Palatino Linotype" w:eastAsia="Palatino Linotype" w:hAnsi="Palatino Linotype" w:cs="Palatino Linotype"/>
          <w:b/>
          <w:bCs/>
          <w:sz w:val="18"/>
          <w:szCs w:val="18"/>
        </w:rPr>
        <w:t xml:space="preserve">Data Availability Statement: </w:t>
      </w:r>
      <w:r>
        <w:rPr>
          <w:rFonts w:ascii="Palatino Linotype" w:eastAsia="Palatino Linotype" w:hAnsi="Palatino Linotype" w:cs="Palatino Linotype"/>
          <w:sz w:val="18"/>
          <w:szCs w:val="18"/>
        </w:rPr>
        <w:t>Project data and code are available at https://github.com/kellytodhunter/KBO-Player-Analysis.</w:t>
      </w:r>
    </w:p>
    <w:p w14:paraId="28D9A84E" w14:textId="77777777" w:rsidR="000202A0" w:rsidRDefault="00000000">
      <w:pPr>
        <w:spacing w:after="200"/>
        <w:jc w:val="both"/>
      </w:pPr>
      <w:r>
        <w:rPr>
          <w:rFonts w:ascii="Palatino Linotype" w:eastAsia="Palatino Linotype" w:hAnsi="Palatino Linotype" w:cs="Palatino Linotype"/>
          <w:b/>
          <w:bCs/>
          <w:sz w:val="18"/>
          <w:szCs w:val="18"/>
        </w:rPr>
        <w:t xml:space="preserve">Conflicts of Interest: </w:t>
      </w:r>
      <w:r>
        <w:rPr>
          <w:rFonts w:ascii="Palatino Linotype" w:eastAsia="Palatino Linotype" w:hAnsi="Palatino Linotype" w:cs="Palatino Linotype"/>
          <w:sz w:val="18"/>
          <w:szCs w:val="18"/>
        </w:rPr>
        <w:t>The authors declare no conflicts of interest.</w:t>
      </w:r>
    </w:p>
    <w:p w14:paraId="411A81D7" w14:textId="165742A7" w:rsidR="000202A0" w:rsidRDefault="00000000">
      <w:pPr>
        <w:spacing w:before="200" w:after="160"/>
      </w:pPr>
      <w:r>
        <w:rPr>
          <w:rFonts w:ascii="Palatino Linotype" w:eastAsia="Palatino Linotype" w:hAnsi="Palatino Linotype" w:cs="Palatino Linotype"/>
          <w:b/>
          <w:bCs/>
        </w:rPr>
        <w:t>References</w:t>
      </w:r>
    </w:p>
    <w:p w14:paraId="30F3F637" w14:textId="0DA31D06" w:rsidR="000202A0" w:rsidRDefault="00000000">
      <w:pPr>
        <w:spacing w:after="80"/>
        <w:ind w:left="504" w:hanging="504"/>
      </w:pPr>
      <w:r>
        <w:rPr>
          <w:rFonts w:ascii="Palatino Linotype" w:eastAsia="Palatino Linotype" w:hAnsi="Palatino Linotype" w:cs="Palatino Linotype"/>
          <w:b/>
          <w:bCs/>
          <w:sz w:val="18"/>
          <w:szCs w:val="18"/>
        </w:rPr>
        <w:t>1.</w:t>
      </w:r>
      <w:r w:rsidR="006A7A14">
        <w:rPr>
          <w:rFonts w:ascii="Palatino Linotype" w:eastAsia="Palatino Linotype" w:hAnsi="Palatino Linotype" w:cs="Palatino Linotype"/>
          <w:b/>
          <w:bCs/>
          <w:sz w:val="18"/>
          <w:szCs w:val="18"/>
        </w:rPr>
        <w:t xml:space="preserve"> </w:t>
      </w:r>
      <w:r>
        <w:rPr>
          <w:rFonts w:ascii="Palatino Linotype" w:eastAsia="Palatino Linotype" w:hAnsi="Palatino Linotype" w:cs="Palatino Linotype"/>
          <w:sz w:val="18"/>
          <w:szCs w:val="18"/>
        </w:rPr>
        <w:t>Lee, K.; Han, K.; Ko, J. Analyzing the impact of the automatic ball strike system in professional baseball through a case study on KBO league data. Scientific Reports 2025, 15, Article 44459. https://doi.org/10.1038/s41598-025-28142-y</w:t>
      </w:r>
    </w:p>
    <w:p w14:paraId="1A395F0B" w14:textId="7DE37F4C" w:rsidR="000202A0" w:rsidRPr="00217E88" w:rsidRDefault="00000000">
      <w:pPr>
        <w:spacing w:after="80"/>
        <w:ind w:left="504" w:hanging="504"/>
      </w:pPr>
      <w:r>
        <w:rPr>
          <w:rFonts w:ascii="Palatino Linotype" w:eastAsia="Palatino Linotype" w:hAnsi="Palatino Linotype" w:cs="Palatino Linotype"/>
          <w:b/>
          <w:bCs/>
          <w:sz w:val="18"/>
          <w:szCs w:val="18"/>
        </w:rPr>
        <w:t>2.</w:t>
      </w:r>
      <w:r w:rsidR="006A7A14">
        <w:rPr>
          <w:rFonts w:ascii="Palatino Linotype" w:eastAsia="Palatino Linotype" w:hAnsi="Palatino Linotype" w:cs="Palatino Linotype"/>
          <w:b/>
          <w:bCs/>
          <w:sz w:val="18"/>
          <w:szCs w:val="18"/>
        </w:rPr>
        <w:t xml:space="preserve"> </w:t>
      </w:r>
      <w:r w:rsidRPr="00217E88">
        <w:rPr>
          <w:rFonts w:ascii="Palatino Linotype" w:eastAsia="Palatino Linotype" w:hAnsi="Palatino Linotype" w:cs="Palatino Linotype"/>
          <w:sz w:val="18"/>
          <w:szCs w:val="18"/>
        </w:rPr>
        <w:t>Tango, T.M.; Lichtman, M.G.; Dolphin, A.E. The Book: Playing the Percentages in Baseball; Potomac Books: Washington, DC, USA, 2007.</w:t>
      </w:r>
    </w:p>
    <w:p w14:paraId="25FFF247" w14:textId="325363EB" w:rsidR="000202A0" w:rsidRDefault="00000000">
      <w:pPr>
        <w:spacing w:after="80"/>
        <w:ind w:left="504" w:hanging="504"/>
      </w:pPr>
      <w:r>
        <w:rPr>
          <w:rFonts w:ascii="Palatino Linotype" w:eastAsia="Palatino Linotype" w:hAnsi="Palatino Linotype" w:cs="Palatino Linotype"/>
          <w:b/>
          <w:bCs/>
          <w:sz w:val="18"/>
          <w:szCs w:val="18"/>
        </w:rPr>
        <w:t>3.</w:t>
      </w:r>
      <w:r w:rsidR="006A7A14">
        <w:rPr>
          <w:rFonts w:ascii="Palatino Linotype" w:eastAsia="Palatino Linotype" w:hAnsi="Palatino Linotype" w:cs="Palatino Linotype"/>
          <w:b/>
          <w:bCs/>
          <w:sz w:val="18"/>
          <w:szCs w:val="18"/>
        </w:rPr>
        <w:t xml:space="preserve"> </w:t>
      </w:r>
      <w:r w:rsidRPr="00217E88">
        <w:rPr>
          <w:rFonts w:ascii="Palatino Linotype" w:eastAsia="Palatino Linotype" w:hAnsi="Palatino Linotype" w:cs="Palatino Linotype"/>
          <w:sz w:val="18"/>
          <w:szCs w:val="18"/>
        </w:rPr>
        <w:t>Jensen, S.T.; McShane, B.B.; Wyner, A.J. Hierarchical Bayesian modeling of hitting performance in baseball. Bayesian Analysis 2009, 4, 631–652. https://doi.org/10.1214/09-BA422</w:t>
      </w:r>
    </w:p>
    <w:p w14:paraId="66FE59FE" w14:textId="591B3B58" w:rsidR="000202A0" w:rsidRDefault="00000000">
      <w:pPr>
        <w:spacing w:after="80"/>
        <w:ind w:left="504" w:hanging="504"/>
      </w:pPr>
      <w:r>
        <w:rPr>
          <w:rFonts w:ascii="Palatino Linotype" w:eastAsia="Palatino Linotype" w:hAnsi="Palatino Linotype" w:cs="Palatino Linotype"/>
          <w:b/>
          <w:bCs/>
          <w:sz w:val="18"/>
          <w:szCs w:val="18"/>
        </w:rPr>
        <w:t>4.</w:t>
      </w:r>
      <w:r w:rsidR="006A7A14">
        <w:rPr>
          <w:rFonts w:ascii="Palatino Linotype" w:eastAsia="Palatino Linotype" w:hAnsi="Palatino Linotype" w:cs="Palatino Linotype"/>
          <w:b/>
          <w:bCs/>
          <w:sz w:val="18"/>
          <w:szCs w:val="18"/>
        </w:rPr>
        <w:t xml:space="preserve"> </w:t>
      </w:r>
      <w:r>
        <w:rPr>
          <w:rFonts w:ascii="Palatino Linotype" w:eastAsia="Palatino Linotype" w:hAnsi="Palatino Linotype" w:cs="Palatino Linotype"/>
          <w:sz w:val="18"/>
          <w:szCs w:val="18"/>
        </w:rPr>
        <w:t>Sun, H.-C.; Lin, T.-Y.; Tsai, Y.-L. Performance prediction in Major League Baseball by long short-term memory networks. arXiv 2022. https://arxiv.org/abs/2206.09654</w:t>
      </w:r>
    </w:p>
    <w:p w14:paraId="46CF5B10" w14:textId="5D7F4902" w:rsidR="000202A0" w:rsidRDefault="00000000">
      <w:pPr>
        <w:spacing w:after="80"/>
        <w:ind w:left="504" w:hanging="504"/>
      </w:pPr>
      <w:r>
        <w:rPr>
          <w:rFonts w:ascii="Palatino Linotype" w:eastAsia="Palatino Linotype" w:hAnsi="Palatino Linotype" w:cs="Palatino Linotype"/>
          <w:b/>
          <w:bCs/>
          <w:sz w:val="18"/>
          <w:szCs w:val="18"/>
        </w:rPr>
        <w:t>5.</w:t>
      </w:r>
      <w:r w:rsidR="006A7A14">
        <w:rPr>
          <w:rFonts w:ascii="Palatino Linotype" w:eastAsia="Palatino Linotype" w:hAnsi="Palatino Linotype" w:cs="Palatino Linotype"/>
          <w:b/>
          <w:bCs/>
          <w:sz w:val="18"/>
          <w:szCs w:val="18"/>
        </w:rPr>
        <w:t xml:space="preserve"> </w:t>
      </w:r>
      <w:r w:rsidRPr="00217E88">
        <w:rPr>
          <w:rFonts w:ascii="Palatino Linotype" w:eastAsia="Palatino Linotype" w:hAnsi="Palatino Linotype" w:cs="Palatino Linotype"/>
          <w:sz w:val="18"/>
          <w:szCs w:val="18"/>
        </w:rPr>
        <w:t>Zhao, W.; Akella, V.S.; Yang, S.; Luo, X. Machine learning in baseball analytics: Sabermetrics and beyond. Information 2025, 16, 361. https://doi.org/10.3390/info16050361</w:t>
      </w:r>
    </w:p>
    <w:p w14:paraId="1BE53CF9" w14:textId="183F9735" w:rsidR="000202A0" w:rsidRDefault="00000000">
      <w:pPr>
        <w:spacing w:after="80"/>
        <w:ind w:left="504" w:hanging="504"/>
      </w:pPr>
      <w:r>
        <w:rPr>
          <w:rFonts w:ascii="Palatino Linotype" w:eastAsia="Palatino Linotype" w:hAnsi="Palatino Linotype" w:cs="Palatino Linotype"/>
          <w:b/>
          <w:bCs/>
          <w:sz w:val="18"/>
          <w:szCs w:val="18"/>
        </w:rPr>
        <w:t>6.</w:t>
      </w:r>
      <w:r w:rsidR="006A7A14">
        <w:rPr>
          <w:rFonts w:ascii="Palatino Linotype" w:eastAsia="Palatino Linotype" w:hAnsi="Palatino Linotype" w:cs="Palatino Linotype"/>
          <w:b/>
          <w:bCs/>
          <w:sz w:val="18"/>
          <w:szCs w:val="18"/>
        </w:rPr>
        <w:t xml:space="preserve"> </w:t>
      </w:r>
      <w:r>
        <w:rPr>
          <w:rFonts w:ascii="Palatino Linotype" w:eastAsia="Palatino Linotype" w:hAnsi="Palatino Linotype" w:cs="Palatino Linotype"/>
          <w:sz w:val="18"/>
          <w:szCs w:val="18"/>
        </w:rPr>
        <w:t>Mizels, J.; Erickson, B.; Chalmers, P. Current state of data and analytics research in baseball. Current Reviews in Musculoskeletal Medicine 2022, 15(4), 283–290. https://doi.org/10.1007/s12178-022-09763-6</w:t>
      </w:r>
    </w:p>
    <w:p w14:paraId="4460CCDC" w14:textId="7DB5ED62" w:rsidR="000202A0" w:rsidRDefault="00000000">
      <w:pPr>
        <w:spacing w:after="80"/>
        <w:ind w:left="504" w:hanging="504"/>
      </w:pPr>
      <w:r>
        <w:rPr>
          <w:rFonts w:ascii="Palatino Linotype" w:eastAsia="Palatino Linotype" w:hAnsi="Palatino Linotype" w:cs="Palatino Linotype"/>
          <w:b/>
          <w:bCs/>
          <w:sz w:val="18"/>
          <w:szCs w:val="18"/>
        </w:rPr>
        <w:lastRenderedPageBreak/>
        <w:t>7</w:t>
      </w:r>
      <w:r w:rsidR="006A7A14">
        <w:rPr>
          <w:rFonts w:ascii="Palatino Linotype" w:eastAsia="Palatino Linotype" w:hAnsi="Palatino Linotype" w:cs="Palatino Linotype"/>
          <w:b/>
          <w:bCs/>
          <w:sz w:val="18"/>
          <w:szCs w:val="18"/>
        </w:rPr>
        <w:t xml:space="preserve">. </w:t>
      </w:r>
      <w:r>
        <w:rPr>
          <w:rFonts w:ascii="Palatino Linotype" w:eastAsia="Palatino Linotype" w:hAnsi="Palatino Linotype" w:cs="Palatino Linotype"/>
          <w:sz w:val="18"/>
          <w:szCs w:val="18"/>
        </w:rPr>
        <w:t>Mun, K.; Cha, B.; Lee, J.; Kim, J.; Jo, H. CompeteNet: Siamese networks for predicting win-loss outcomes in baseball games. In Proceedings of the 2023 IEEE International Conference on Big Data and Smart Computing (BigComp), 2023, 1–8. https://doi.org/10.1109/BigComp57234.2023.00010</w:t>
      </w:r>
    </w:p>
    <w:p w14:paraId="509FFACC" w14:textId="1837FE7B" w:rsidR="000202A0" w:rsidRDefault="00000000">
      <w:pPr>
        <w:spacing w:after="80"/>
        <w:ind w:left="504" w:hanging="504"/>
      </w:pPr>
      <w:r>
        <w:rPr>
          <w:rFonts w:ascii="Palatino Linotype" w:eastAsia="Palatino Linotype" w:hAnsi="Palatino Linotype" w:cs="Palatino Linotype"/>
          <w:b/>
          <w:bCs/>
          <w:sz w:val="18"/>
          <w:szCs w:val="18"/>
        </w:rPr>
        <w:t>8.</w:t>
      </w:r>
      <w:r w:rsidR="006A7A14">
        <w:rPr>
          <w:rFonts w:ascii="Palatino Linotype" w:eastAsia="Palatino Linotype" w:hAnsi="Palatino Linotype" w:cs="Palatino Linotype"/>
          <w:b/>
          <w:bCs/>
          <w:sz w:val="18"/>
          <w:szCs w:val="18"/>
        </w:rPr>
        <w:t xml:space="preserve"> </w:t>
      </w:r>
      <w:r w:rsidRPr="00217E88">
        <w:rPr>
          <w:rFonts w:ascii="Palatino Linotype" w:eastAsia="Palatino Linotype" w:hAnsi="Palatino Linotype" w:cs="Palatino Linotype"/>
          <w:sz w:val="18"/>
          <w:szCs w:val="18"/>
        </w:rPr>
        <w:t>Chen, Z.; Robbins, T.; Gephardt, W.; Nestler, S. Reshaping baseball: The impact of analytics and technology. ORMS Today 2025. https://doi.org/10.1287/orms.2025.02.07</w:t>
      </w:r>
    </w:p>
    <w:p w14:paraId="24654D03" w14:textId="42D06121" w:rsidR="000202A0" w:rsidRDefault="00000000">
      <w:pPr>
        <w:spacing w:after="80"/>
        <w:ind w:left="504" w:hanging="504"/>
      </w:pPr>
      <w:r>
        <w:rPr>
          <w:rFonts w:ascii="Palatino Linotype" w:eastAsia="Palatino Linotype" w:hAnsi="Palatino Linotype" w:cs="Palatino Linotype"/>
          <w:b/>
          <w:bCs/>
          <w:sz w:val="18"/>
          <w:szCs w:val="18"/>
        </w:rPr>
        <w:t>9.</w:t>
      </w:r>
      <w:r w:rsidR="006A7A14">
        <w:rPr>
          <w:rFonts w:ascii="Palatino Linotype" w:eastAsia="Palatino Linotype" w:hAnsi="Palatino Linotype" w:cs="Palatino Linotype"/>
          <w:b/>
          <w:bCs/>
          <w:sz w:val="18"/>
          <w:szCs w:val="18"/>
        </w:rPr>
        <w:t xml:space="preserve"> </w:t>
      </w:r>
      <w:r w:rsidRPr="00217E88">
        <w:rPr>
          <w:rFonts w:ascii="Palatino Linotype" w:eastAsia="Palatino Linotype" w:hAnsi="Palatino Linotype" w:cs="Palatino Linotype"/>
          <w:sz w:val="18"/>
          <w:szCs w:val="18"/>
        </w:rPr>
        <w:t>Bae, J.-S.; Chiu, B.W. Machine learning-based classifications of team playoff advancement using pitching performance metrics in Korean professional baseball. Applied Sciences 2026, 16, 2215. https://doi.org/10.3390/app16052215</w:t>
      </w:r>
    </w:p>
    <w:p w14:paraId="5D482AF4" w14:textId="69806978" w:rsidR="000202A0" w:rsidRDefault="00000000">
      <w:pPr>
        <w:spacing w:after="80"/>
        <w:ind w:left="504" w:hanging="504"/>
        <w:rPr>
          <w:rFonts w:ascii="Palatino Linotype" w:eastAsia="Palatino Linotype" w:hAnsi="Palatino Linotype" w:cs="Palatino Linotype"/>
          <w:sz w:val="18"/>
          <w:szCs w:val="18"/>
        </w:rPr>
      </w:pPr>
      <w:r>
        <w:rPr>
          <w:rFonts w:ascii="Palatino Linotype" w:eastAsia="Palatino Linotype" w:hAnsi="Palatino Linotype" w:cs="Palatino Linotype"/>
          <w:b/>
          <w:bCs/>
          <w:sz w:val="18"/>
          <w:szCs w:val="18"/>
        </w:rPr>
        <w:t>10.</w:t>
      </w:r>
      <w:r w:rsidR="006A7A14">
        <w:rPr>
          <w:rFonts w:ascii="Palatino Linotype" w:eastAsia="Palatino Linotype" w:hAnsi="Palatino Linotype" w:cs="Palatino Linotype"/>
          <w:b/>
          <w:bCs/>
          <w:sz w:val="18"/>
          <w:szCs w:val="18"/>
        </w:rPr>
        <w:t xml:space="preserve"> </w:t>
      </w:r>
      <w:r w:rsidRPr="00217E88">
        <w:rPr>
          <w:rFonts w:ascii="Palatino Linotype" w:eastAsia="Palatino Linotype" w:hAnsi="Palatino Linotype" w:cs="Palatino Linotype"/>
          <w:sz w:val="18"/>
          <w:szCs w:val="18"/>
        </w:rPr>
        <w:t>Park, T.; Kim, J. Machine learning-based optimization of contract renewal predictions in Korea Baseball Organization. Heliyon 2023, 9, e23231. https://doi.org/10.1016/j.heliyon.2023.e23231</w:t>
      </w:r>
    </w:p>
    <w:p w14:paraId="1E9E96A4" w14:textId="301BC361" w:rsidR="00DE01C8" w:rsidRDefault="00DE01C8">
      <w:pPr>
        <w:spacing w:after="80"/>
        <w:ind w:left="504" w:hanging="504"/>
        <w:rPr>
          <w:rFonts w:ascii="Palatino Linotype" w:hAnsi="Palatino Linotype"/>
          <w:color w:val="000000" w:themeColor="text1"/>
          <w:sz w:val="18"/>
          <w:szCs w:val="18"/>
          <w:shd w:val="clear" w:color="auto" w:fill="FFFFFF"/>
        </w:rPr>
      </w:pPr>
      <w:r>
        <w:rPr>
          <w:rFonts w:ascii="Palatino Linotype" w:eastAsia="Palatino Linotype" w:hAnsi="Palatino Linotype" w:cs="Palatino Linotype"/>
          <w:b/>
          <w:bCs/>
          <w:sz w:val="18"/>
          <w:szCs w:val="18"/>
        </w:rPr>
        <w:t>11.</w:t>
      </w:r>
      <w:r w:rsidR="006A7A14">
        <w:rPr>
          <w:rFonts w:ascii="Palatino Linotype" w:eastAsia="Palatino Linotype" w:hAnsi="Palatino Linotype" w:cs="Palatino Linotype"/>
          <w:b/>
          <w:bCs/>
          <w:sz w:val="18"/>
          <w:szCs w:val="18"/>
        </w:rPr>
        <w:t xml:space="preserve"> </w:t>
      </w:r>
      <w:r w:rsidRPr="00217E88">
        <w:rPr>
          <w:rFonts w:ascii="Palatino Linotype" w:eastAsia="Palatino Linotype" w:hAnsi="Palatino Linotype" w:cs="Palatino Linotype"/>
          <w:sz w:val="18"/>
          <w:szCs w:val="18"/>
        </w:rPr>
        <w:t>Müller-Budack, E.; Theiner, J.; Rein, R.; Ewerth, R. Does 4-4-2 exist? An analytics approach to understand and classify football team formations in single match situations. In Proceedings of the 2nd International Workshop on Multimedia Content Analysis in Sports (MMSports 2019); ACM: New York, NY, USA, 2019; pp. 25–33. https://doi.org/10.1145/3347318.335552</w:t>
      </w:r>
      <w:hyperlink r:id="rId16" w:history="1"/>
    </w:p>
    <w:p w14:paraId="49586BA2" w14:textId="39AB6A84" w:rsidR="00DE01C8" w:rsidRDefault="00DE01C8" w:rsidP="00FF1D2B">
      <w:pPr>
        <w:spacing w:after="80"/>
        <w:ind w:left="504" w:hanging="504"/>
        <w:rPr>
          <w:rFonts w:ascii="Palatino Linotype" w:hAnsi="Palatino Linotype" w:cs="Arial"/>
          <w:color w:val="000000" w:themeColor="text1"/>
          <w:sz w:val="18"/>
          <w:szCs w:val="18"/>
          <w:shd w:val="clear" w:color="auto" w:fill="FFFFFF"/>
        </w:rPr>
      </w:pPr>
      <w:r w:rsidRPr="00DE01C8">
        <w:rPr>
          <w:rFonts w:ascii="Palatino Linotype" w:hAnsi="Palatino Linotype"/>
          <w:b/>
          <w:bCs/>
          <w:color w:val="000000" w:themeColor="text1"/>
          <w:sz w:val="18"/>
          <w:szCs w:val="18"/>
          <w:shd w:val="clear" w:color="auto" w:fill="FFFFFF"/>
        </w:rPr>
        <w:t>12.</w:t>
      </w:r>
      <w:r w:rsidR="00217E88">
        <w:rPr>
          <w:rFonts w:ascii="Palatino Linotype" w:hAnsi="Palatino Linotype"/>
          <w:b/>
          <w:bCs/>
          <w:color w:val="000000" w:themeColor="text1"/>
          <w:sz w:val="18"/>
          <w:szCs w:val="18"/>
          <w:shd w:val="clear" w:color="auto" w:fill="FFFFFF"/>
        </w:rPr>
        <w:t xml:space="preserve"> </w:t>
      </w:r>
      <w:r w:rsidRPr="00217E88">
        <w:rPr>
          <w:rFonts w:ascii="Palatino Linotype" w:hAnsi="Palatino Linotype"/>
          <w:color w:val="000000" w:themeColor="text1"/>
          <w:sz w:val="18"/>
          <w:szCs w:val="18"/>
          <w:shd w:val="clear" w:color="auto" w:fill="FFFFFF"/>
        </w:rPr>
        <w:t>Fair, R.C. Estimated age effects in baseball. Journal of Quantitative Analysis in Sports 2008, 4, 1–41. https://doi.org/10.2202/1559-0410.1074</w:t>
      </w:r>
      <w:hyperlink r:id="rId17" w:history="1"/>
      <w:hyperlink r:id="rId18" w:history="1"/>
    </w:p>
    <w:p w14:paraId="1EB54A12" w14:textId="7C94599F" w:rsidR="00FF1D2B" w:rsidRPr="00217E88" w:rsidRDefault="00FF1D2B" w:rsidP="00FF1D2B">
      <w:pPr>
        <w:spacing w:after="80"/>
        <w:ind w:left="504" w:hanging="504"/>
      </w:pPr>
      <w:r>
        <w:rPr>
          <w:rFonts w:ascii="Palatino Linotype" w:hAnsi="Palatino Linotype" w:cs="Arial"/>
          <w:b/>
          <w:bCs/>
          <w:color w:val="000000" w:themeColor="text1"/>
          <w:sz w:val="18"/>
          <w:szCs w:val="18"/>
          <w:shd w:val="clear" w:color="auto" w:fill="FFFFFF"/>
        </w:rPr>
        <w:t>13.</w:t>
      </w:r>
      <w:r w:rsidR="00217E88">
        <w:rPr>
          <w:rFonts w:ascii="Palatino Linotype" w:hAnsi="Palatino Linotype" w:cs="Arial"/>
          <w:b/>
          <w:bCs/>
          <w:color w:val="000000" w:themeColor="text1"/>
          <w:sz w:val="18"/>
          <w:szCs w:val="18"/>
          <w:shd w:val="clear" w:color="auto" w:fill="FFFFFF"/>
        </w:rPr>
        <w:t xml:space="preserve"> </w:t>
      </w:r>
      <w:r w:rsidRPr="00217E88">
        <w:rPr>
          <w:rFonts w:ascii="Palatino Linotype" w:hAnsi="Palatino Linotype" w:cs="Arial"/>
          <w:color w:val="000000" w:themeColor="text1"/>
          <w:sz w:val="18"/>
          <w:szCs w:val="18"/>
          <w:shd w:val="clear" w:color="auto" w:fill="FFFFFF"/>
        </w:rPr>
        <w:t>Ji, J. Football player value prediction using an LSTM–MLP late fusion model. In Proceedings of the 2025 2nd Symposium on Big Data, Neural Networks, and Deep Learning (BDNNDL '25); ACM: New York, NY, USA, 2025; pp. 197–203. https://doi.org/10.1145/3784013.3784044</w:t>
      </w:r>
    </w:p>
    <w:sectPr w:rsidR="00FF1D2B" w:rsidRPr="00217E88">
      <w:headerReference w:type="default" r:id="rId19"/>
      <w:footerReference w:type="default" r:id="rId20"/>
      <w:headerReference w:type="first" r:id="rId21"/>
      <w:pgSz w:w="12240" w:h="15840"/>
      <w:pgMar w:top="1440" w:right="1440" w:bottom="1440" w:left="2160" w:header="708" w:footer="708" w:gutter="0"/>
      <w:lnNumType w:countBy="1" w:distance="900"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73F34A" w14:textId="77777777" w:rsidR="009D15BF" w:rsidRDefault="009D15BF">
      <w:r>
        <w:separator/>
      </w:r>
    </w:p>
  </w:endnote>
  <w:endnote w:type="continuationSeparator" w:id="0">
    <w:p w14:paraId="7E69D4AD" w14:textId="77777777" w:rsidR="009D15BF" w:rsidRDefault="009D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559505" w14:textId="77777777" w:rsidR="000202A0" w:rsidRDefault="00000000">
    <w:r>
      <w:rPr>
        <w:noProof/>
      </w:rPr>
      <w:drawing>
        <wp:inline distT="0" distB="0" distL="0" distR="0" wp14:anchorId="07E3F75A" wp14:editId="4F94E88C">
          <wp:extent cx="523875" cy="190500"/>
          <wp:effectExtent l="0" t="0" r="0" b="0"/>
          <wp:docPr id="1717970706" name="Picture 171797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23875" cy="190500"/>
                  </a:xfrm>
                  <a:prstGeom prst="rect">
                    <a:avLst/>
                  </a:prstGeom>
                </pic:spPr>
              </pic:pic>
            </a:graphicData>
          </a:graphic>
        </wp:inline>
      </w:drawing>
    </w:r>
    <w:r>
      <w:rPr>
        <w:rFonts w:ascii="Palatino Linotype" w:eastAsia="Palatino Linotype" w:hAnsi="Palatino Linotype" w:cs="Palatino Linotype"/>
        <w:sz w:val="16"/>
        <w:szCs w:val="16"/>
      </w:rPr>
      <w:t xml:space="preserve"> © 2026 by the authors. Submitted for possible open access publication under the terms and conditions of the Creative Commons Attribution (CC BY) license (https://creativecommons.org/licenses/by/4.0/).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885753" w14:textId="77777777" w:rsidR="009D15BF" w:rsidRDefault="009D15BF">
      <w:r>
        <w:separator/>
      </w:r>
    </w:p>
  </w:footnote>
  <w:footnote w:type="continuationSeparator" w:id="0">
    <w:p w14:paraId="6E84451D" w14:textId="77777777" w:rsidR="009D15BF" w:rsidRDefault="009D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9CF77C" w14:textId="3D16D560" w:rsidR="000202A0" w:rsidRDefault="00000000">
    <w:pPr>
      <w:tabs>
        <w:tab w:val="right" w:pos="9360"/>
      </w:tabs>
    </w:pPr>
    <w:r>
      <w:rPr>
        <w:rFonts w:ascii="Palatino Linotype" w:eastAsia="Palatino Linotype" w:hAnsi="Palatino Linotype" w:cs="Palatino Linotype"/>
        <w:sz w:val="16"/>
        <w:szCs w:val="16"/>
      </w:rPr>
      <w:t xml:space="preserve">AAIRJ </w:t>
    </w:r>
    <w:r>
      <w:rPr>
        <w:rFonts w:ascii="Palatino Linotype" w:eastAsia="Palatino Linotype" w:hAnsi="Palatino Linotype" w:cs="Palatino Linotype"/>
        <w:b/>
        <w:bCs/>
        <w:sz w:val="16"/>
        <w:szCs w:val="16"/>
      </w:rPr>
      <w:t>2026</w:t>
    </w:r>
    <w:r>
      <w:rPr>
        <w:rFonts w:ascii="Palatino Linotype" w:eastAsia="Palatino Linotype" w:hAnsi="Palatino Linotype" w:cs="Palatino Linotype"/>
        <w:sz w:val="16"/>
        <w:szCs w:val="16"/>
      </w:rPr>
      <w:t>, x FOR PEER REVIEW</w:t>
    </w:r>
    <w:r>
      <w:rPr>
        <w:rFonts w:ascii="Palatino Linotype" w:eastAsia="Palatino Linotype" w:hAnsi="Palatino Linotype" w:cs="Palatino Linotype"/>
        <w:sz w:val="16"/>
        <w:szCs w:val="16"/>
      </w:rPr>
      <w:tab/>
    </w:r>
    <w:r>
      <w:rPr>
        <w:rFonts w:ascii="Palatino Linotype" w:eastAsia="Palatino Linotype" w:hAnsi="Palatino Linotype" w:cs="Palatino Linotype"/>
        <w:sz w:val="16"/>
        <w:szCs w:val="16"/>
      </w:rPr>
      <w:fldChar w:fldCharType="begin"/>
    </w:r>
    <w:r>
      <w:rPr>
        <w:rFonts w:ascii="Palatino Linotype" w:eastAsia="Palatino Linotype" w:hAnsi="Palatino Linotype" w:cs="Palatino Linotype"/>
        <w:sz w:val="16"/>
        <w:szCs w:val="16"/>
      </w:rPr>
      <w:instrText>PAGE</w:instrText>
    </w:r>
    <w:r>
      <w:rPr>
        <w:rFonts w:ascii="Palatino Linotype" w:eastAsia="Palatino Linotype" w:hAnsi="Palatino Linotype" w:cs="Palatino Linotype"/>
        <w:sz w:val="16"/>
        <w:szCs w:val="16"/>
      </w:rPr>
      <w:fldChar w:fldCharType="separate"/>
    </w:r>
    <w:r w:rsidR="000C43D9">
      <w:rPr>
        <w:rFonts w:ascii="Palatino Linotype" w:eastAsia="Palatino Linotype" w:hAnsi="Palatino Linotype" w:cs="Palatino Linotype"/>
        <w:noProof/>
        <w:sz w:val="16"/>
        <w:szCs w:val="16"/>
      </w:rPr>
      <w:t>2</w:t>
    </w:r>
    <w:r>
      <w:rPr>
        <w:rFonts w:ascii="Palatino Linotype" w:eastAsia="Palatino Linotype" w:hAnsi="Palatino Linotype" w:cs="Palatino Linotype"/>
        <w:sz w:val="16"/>
        <w:szCs w:val="16"/>
      </w:rPr>
      <w:fldChar w:fldCharType="end"/>
    </w:r>
    <w:r>
      <w:rPr>
        <w:rFonts w:ascii="Palatino Linotype" w:eastAsia="Palatino Linotype" w:hAnsi="Palatino Linotype" w:cs="Palatino Linotype"/>
        <w:sz w:val="16"/>
        <w:szCs w:val="16"/>
      </w:rPr>
      <w:t xml:space="preserve"> of </w:t>
    </w:r>
    <w:r>
      <w:rPr>
        <w:rFonts w:ascii="Palatino Linotype" w:eastAsia="Palatino Linotype" w:hAnsi="Palatino Linotype" w:cs="Palatino Linotype"/>
        <w:sz w:val="16"/>
        <w:szCs w:val="16"/>
      </w:rPr>
      <w:fldChar w:fldCharType="begin"/>
    </w:r>
    <w:r>
      <w:rPr>
        <w:rFonts w:ascii="Palatino Linotype" w:eastAsia="Palatino Linotype" w:hAnsi="Palatino Linotype" w:cs="Palatino Linotype"/>
        <w:sz w:val="16"/>
        <w:szCs w:val="16"/>
      </w:rPr>
      <w:instrText>NUMPAGES</w:instrText>
    </w:r>
    <w:r>
      <w:rPr>
        <w:rFonts w:ascii="Palatino Linotype" w:eastAsia="Palatino Linotype" w:hAnsi="Palatino Linotype" w:cs="Palatino Linotype"/>
        <w:sz w:val="16"/>
        <w:szCs w:val="16"/>
      </w:rPr>
      <w:fldChar w:fldCharType="separate"/>
    </w:r>
    <w:r w:rsidR="000C43D9">
      <w:rPr>
        <w:rFonts w:ascii="Palatino Linotype" w:eastAsia="Palatino Linotype" w:hAnsi="Palatino Linotype" w:cs="Palatino Linotype"/>
        <w:noProof/>
        <w:sz w:val="16"/>
        <w:szCs w:val="16"/>
      </w:rPr>
      <w:t>3</w:t>
    </w:r>
    <w:r>
      <w:rPr>
        <w:rFonts w:ascii="Palatino Linotype" w:eastAsia="Palatino Linotype" w:hAnsi="Palatino Linotype" w:cs="Palatino Linotype"/>
        <w:sz w:val="16"/>
        <w:szCs w:val="16"/>
      </w:rPr>
      <w:fldChar w:fldCharType="end"/>
    </w:r>
  </w:p>
  <w:p w14:paraId="46CF3905" w14:textId="77777777" w:rsidR="000202A0" w:rsidRDefault="000202A0">
    <w:pPr>
      <w:pBdr>
        <w:bottom w:val="single" w:sz="4" w:space="1" w:color="000000"/>
      </w:pBdr>
      <w:spacing w:after="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19C68E" w14:textId="77777777" w:rsidR="000202A0" w:rsidRDefault="00000000">
    <w:pPr>
      <w:spacing w:after="120"/>
      <w:jc w:val="right"/>
    </w:pPr>
    <w:r>
      <w:rPr>
        <w:noProof/>
      </w:rPr>
      <w:drawing>
        <wp:inline distT="0" distB="0" distL="0" distR="0" wp14:anchorId="1EAA2D2F" wp14:editId="01943440">
          <wp:extent cx="1790700" cy="600075"/>
          <wp:effectExtent l="0" t="0" r="0" b="0"/>
          <wp:docPr id="1681201953" name="Picture 168120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90700" cy="600075"/>
                  </a:xfrm>
                  <a:prstGeom prst="rect">
                    <a:avLst/>
                  </a:prstGeom>
                </pic:spPr>
              </pic:pic>
            </a:graphicData>
          </a:graphic>
        </wp:inline>
      </w:drawing>
    </w:r>
  </w:p>
  <w:p w14:paraId="49E33B42" w14:textId="77777777" w:rsidR="000202A0" w:rsidRDefault="000202A0">
    <w:pPr>
      <w:pBdr>
        <w:bottom w:val="single" w:sz="4" w:space="1" w:color="000000"/>
      </w:pBdr>
      <w:spacing w:after="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354F22"/>
    <w:multiLevelType w:val="hybridMultilevel"/>
    <w:tmpl w:val="10A63006"/>
    <w:lvl w:ilvl="0" w:tplc="A268F74A">
      <w:start w:val="1"/>
      <w:numFmt w:val="bullet"/>
      <w:lvlText w:val="●"/>
      <w:lvlJc w:val="left"/>
      <w:pPr>
        <w:ind w:left="720" w:hanging="360"/>
      </w:pPr>
    </w:lvl>
    <w:lvl w:ilvl="1" w:tplc="727209A6">
      <w:start w:val="1"/>
      <w:numFmt w:val="bullet"/>
      <w:lvlText w:val="○"/>
      <w:lvlJc w:val="left"/>
      <w:pPr>
        <w:ind w:left="1440" w:hanging="360"/>
      </w:pPr>
    </w:lvl>
    <w:lvl w:ilvl="2" w:tplc="A4D29FCE">
      <w:start w:val="1"/>
      <w:numFmt w:val="bullet"/>
      <w:lvlText w:val="■"/>
      <w:lvlJc w:val="left"/>
      <w:pPr>
        <w:ind w:left="2160" w:hanging="360"/>
      </w:pPr>
    </w:lvl>
    <w:lvl w:ilvl="3" w:tplc="47D2A8F2">
      <w:start w:val="1"/>
      <w:numFmt w:val="bullet"/>
      <w:lvlText w:val="●"/>
      <w:lvlJc w:val="left"/>
      <w:pPr>
        <w:ind w:left="2880" w:hanging="360"/>
      </w:pPr>
    </w:lvl>
    <w:lvl w:ilvl="4" w:tplc="F06A9500">
      <w:start w:val="1"/>
      <w:numFmt w:val="bullet"/>
      <w:lvlText w:val="○"/>
      <w:lvlJc w:val="left"/>
      <w:pPr>
        <w:ind w:left="3600" w:hanging="360"/>
      </w:pPr>
    </w:lvl>
    <w:lvl w:ilvl="5" w:tplc="C89A40E2">
      <w:start w:val="1"/>
      <w:numFmt w:val="bullet"/>
      <w:lvlText w:val="■"/>
      <w:lvlJc w:val="left"/>
      <w:pPr>
        <w:ind w:left="4320" w:hanging="360"/>
      </w:pPr>
    </w:lvl>
    <w:lvl w:ilvl="6" w:tplc="93D4B1BA">
      <w:start w:val="1"/>
      <w:numFmt w:val="bullet"/>
      <w:lvlText w:val="●"/>
      <w:lvlJc w:val="left"/>
      <w:pPr>
        <w:ind w:left="5040" w:hanging="360"/>
      </w:pPr>
    </w:lvl>
    <w:lvl w:ilvl="7" w:tplc="C7A21A60">
      <w:start w:val="1"/>
      <w:numFmt w:val="bullet"/>
      <w:lvlText w:val="●"/>
      <w:lvlJc w:val="left"/>
      <w:pPr>
        <w:ind w:left="5760" w:hanging="360"/>
      </w:pPr>
    </w:lvl>
    <w:lvl w:ilvl="8" w:tplc="2F205B9C">
      <w:start w:val="1"/>
      <w:numFmt w:val="bullet"/>
      <w:lvlText w:val="●"/>
      <w:lvlJc w:val="left"/>
      <w:pPr>
        <w:ind w:left="6480" w:hanging="360"/>
      </w:pPr>
    </w:lvl>
  </w:abstractNum>
  <w:num w:numId="1" w16cid:durableId="1541498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2A0"/>
    <w:rsid w:val="000202A0"/>
    <w:rsid w:val="000C43D9"/>
    <w:rsid w:val="00195364"/>
    <w:rsid w:val="00217E88"/>
    <w:rsid w:val="00270424"/>
    <w:rsid w:val="003F3DD5"/>
    <w:rsid w:val="004E3C4F"/>
    <w:rsid w:val="0052151D"/>
    <w:rsid w:val="00617F49"/>
    <w:rsid w:val="00647304"/>
    <w:rsid w:val="006A7A14"/>
    <w:rsid w:val="00925BDE"/>
    <w:rsid w:val="009D15BF"/>
    <w:rsid w:val="00D03A0D"/>
    <w:rsid w:val="00D97009"/>
    <w:rsid w:val="00DC05E2"/>
    <w:rsid w:val="00DE01C8"/>
    <w:rsid w:val="00FF1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098FB5"/>
  <w15:docId w15:val="{062FE4C2-B9BF-0F43-B1B4-10C4DC292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0C43D9"/>
  </w:style>
  <w:style w:type="character" w:styleId="UnresolvedMention">
    <w:name w:val="Unresolved Mention"/>
    <w:basedOn w:val="DefaultParagraphFont"/>
    <w:uiPriority w:val="99"/>
    <w:semiHidden/>
    <w:unhideWhenUsed/>
    <w:rsid w:val="000C43D9"/>
    <w:rPr>
      <w:color w:val="605E5C"/>
      <w:shd w:val="clear" w:color="auto" w:fill="E1DFDD"/>
    </w:rPr>
  </w:style>
  <w:style w:type="character" w:styleId="FollowedHyperlink">
    <w:name w:val="FollowedHyperlink"/>
    <w:basedOn w:val="DefaultParagraphFont"/>
    <w:uiPriority w:val="99"/>
    <w:semiHidden/>
    <w:unhideWhenUsed/>
    <w:rsid w:val="000C43D9"/>
    <w:rPr>
      <w:color w:val="96607D" w:themeColor="followedHyperlink"/>
      <w:u w:val="single"/>
    </w:rPr>
  </w:style>
  <w:style w:type="character" w:styleId="Emphasis">
    <w:name w:val="Emphasis"/>
    <w:basedOn w:val="DefaultParagraphFont"/>
    <w:uiPriority w:val="20"/>
    <w:qFormat/>
    <w:rsid w:val="00617F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ellytodhunter@gmail.com" TargetMode="External"/><Relationship Id="rId13" Type="http://schemas.openxmlformats.org/officeDocument/2006/relationships/image" Target="media/image5.png"/><Relationship Id="rId18" Type="http://schemas.openxmlformats.org/officeDocument/2006/relationships/hyperlink" Target="https://ideas.repec.org/s/bpj/jqsprt.html"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ideas.repec.org/a/bpj/jqsprt/v4y2008i1n1.html" TargetMode="External"/><Relationship Id="rId2" Type="http://schemas.openxmlformats.org/officeDocument/2006/relationships/numbering" Target="numbering.xml"/><Relationship Id="rId16" Type="http://schemas.openxmlformats.org/officeDocument/2006/relationships/hyperlink" Target="https://doi.org/10.1145/3347318.335552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71124-9433-8D4C-B1A9-940D92D1D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11</Pages>
  <Words>4463</Words>
  <Characters>25441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Todhunter, Kelly (Student)</cp:lastModifiedBy>
  <cp:revision>5</cp:revision>
  <cp:lastPrinted>2026-07-22T08:05:00Z</cp:lastPrinted>
  <dcterms:created xsi:type="dcterms:W3CDTF">2026-07-14T05:05:00Z</dcterms:created>
  <dcterms:modified xsi:type="dcterms:W3CDTF">2026-07-22T08:06:00Z</dcterms:modified>
</cp:coreProperties>
</file>