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b/>
          <w:sz w:val="24"/>
        </w:rPr>
        <w:t>CURSO DE INTELIGÊNCIA ARTIFICIAL II — RESUMO EXPANDIDO ACADÊMICO</w:t>
        <w:br/>
      </w:r>
      <w:r>
        <w:rPr>
          <w:rFonts w:ascii="Times New Roman" w:hAnsi="Times New Roman"/>
          <w:sz w:val="24"/>
        </w:rPr>
        <w:t>Área Temática: Visão Computacional, Redes Neurais Espaço-Temporais e Aprendizado de Máquina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PREDIÇÃO DE MOVIMENTO SOB OCLUSÃO EM SISTEMAS DE VISÃO COMPUTACIONAL: UMA ABORDAGEM COMPARATIVA ENTRE MODELOS CINEMÁTICOS E ESPAÇO-TEMPORAIS ENXUTOS</w:t>
      </w:r>
    </w:p>
    <w:p/>
    <w:p>
      <w:pPr>
        <w:jc w:val="center"/>
      </w:pPr>
      <w:r>
        <w:rPr>
          <w:rFonts w:ascii="Times New Roman" w:hAnsi="Times New Roman"/>
          <w:sz w:val="24"/>
        </w:rPr>
        <w:t>Nome do Autor(a) SOBRENOME – RA 00000000¹</w:t>
        <w:br/>
      </w:r>
      <w:r>
        <w:rPr>
          <w:rFonts w:ascii="Times New Roman" w:hAnsi="Times New Roman"/>
          <w:sz w:val="24"/>
        </w:rPr>
        <w:t>Nome do Coautor(a) SOBRENOME – RA 00000000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RESUMO</w:t>
      </w:r>
    </w:p>
    <w:p>
      <w:pPr>
        <w:jc w:val="both"/>
      </w:pPr>
      <w:r>
        <w:rPr>
          <w:rFonts w:ascii="Times New Roman" w:hAnsi="Times New Roman"/>
          <w:sz w:val="24"/>
        </w:rPr>
        <w:t>O rastreamento contínuo de pessoas em fluxos de vídeo constitui elemento crítico para sistemas autônomos de percepção visual. Contudo, a ocorrência de oclusões severas degrada substancialmente a precisão de detectores baseados em redes neurais convolucionais. Este trabalho apresenta o desenvolvimento e a avaliação comparativa de um pipeline híbrido composto por baseline cinemático residual (Random Forest) e cinco micro-arquiteturas espaço-temporais enxutas — Filtro de Kalman Estendido (EKF), Micro-LSTM, Micro-GRU, Temporal Transformer e Graph Neural Networks espaço-temporais (T-GNN) — projetadas especificamente para execução em CPU com restrição de memória RAM (8 GB). O método integra percepção profunda com Faster R-CNN, extração de esqueletos corporais via MediaPipe com mascaramento sob oclusão e validação em vídeos reais e sintéticos com ground truth exato. Os experimentos revelaram que modelos residuais e o EKF asseguram estabilidade rigorosa em trajetórias inerciais, ao passo que o Temporal Transformer destacou-se sob variações de perspectiva óptica e a T-GNN garantiu a coerência anatômica corporal durante a oclusão.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Palavras-chave: </w:t>
      </w:r>
      <w:r>
        <w:rPr>
          <w:rFonts w:ascii="Times New Roman" w:hAnsi="Times New Roman"/>
          <w:sz w:val="24"/>
        </w:rPr>
        <w:t>Visão Computacional. Rastreamento sob Oclusão. Redes Espaço-Temporais. Filtro de Kalman. Inteligência Artificial.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1. INTRODUÇÃO</w:t>
      </w:r>
    </w:p>
    <w:p>
      <w:pPr>
        <w:ind w:firstLine="850"/>
        <w:jc w:val="both"/>
      </w:pPr>
      <w:r>
        <w:rPr>
          <w:rFonts w:ascii="Times New Roman" w:hAnsi="Times New Roman"/>
          <w:sz w:val="24"/>
        </w:rPr>
        <w:t>A aplicação de Visão Computacional para o monitoramento contínuo de alvos dinâmicos é um dos tópicos mais desafiadores da Inteligência Artificial contemporânea. Sistemas de vigilância, navegação de robôs autônomos e veículos inteligentes dependem da habilidade de manter a correspondência espaço-temporal de pedestres mesmo em ambientes não estruturados. No entanto, episódios de oclusão — momentos em que o pedestre passa atrás de pilastras, folhagens ou outros indivíduos — provocam descontinuidade visual imediata, induzindo detectores ópticos convencionais a perderem o rastro do alvo.</w:t>
      </w:r>
    </w:p>
    <w:p>
      <w:pPr>
        <w:ind w:firstLine="850"/>
        <w:jc w:val="both"/>
      </w:pPr>
      <w:r>
        <w:rPr>
          <w:rFonts w:ascii="Times New Roman" w:hAnsi="Times New Roman"/>
          <w:sz w:val="24"/>
        </w:rPr>
        <w:t>O presente estudo propõe e investiga uma solução arquitetural ponta a ponta orientada a prever a trajetória de pessoas durante o período de oclusão. Diferente de soluções dependentes de clusters computacionais de alto custo, este trabalho prioriza o desenvolvimento de micro-modelos neurais e probabilísticos otimizados para operar em tempo real sobre arquitetura de CPU de baixo consumo. Para estruturar os experimentos de forma abrangente e reprodutível, foi estabelecido um ambiente experimental contendo tanto sequências reais gravadas em diferentes geometrias de câmera quanto um cenário sintético procedural com ground truth métrico indiscutível.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2. METODOLOGIA E FLUXO ARQUITETURAL</w:t>
      </w:r>
    </w:p>
    <w:p>
      <w:pPr>
        <w:ind w:firstLine="850"/>
        <w:jc w:val="both"/>
      </w:pPr>
      <w:r>
        <w:rPr>
          <w:rFonts w:ascii="Times New Roman" w:hAnsi="Times New Roman"/>
          <w:sz w:val="24"/>
        </w:rPr>
        <w:t>O pipeline experimental é organizado em etapas interdependentes de percepção, rastreamento, extração de pose e inferência temporal. A detecção visual inicial opera por meio da convolução profunda Faster R-CNN ou por subtração adaptativa de fundo. Ao identificar a perda transitória do pedestre (marcada pelo estado de OCLUSAO), as 33 coordenadas articulares obtidas pelo MediaPipe Pose Landmarker são isoladas em 5 nós estruturais fundamentais (cabeça, ombros e quadris) e mascaradas intencionalmente como NaN para simular ausência total de sensoriamento. A visão integrada dos estados, métricas e trajetórias consolidados no projeto é apresentada na Figura 1.</w:t>
      </w:r>
    </w:p>
    <w:p>
      <w:pPr>
        <w:spacing w:before="160" w:after="40" w:line="240" w:lineRule="auto"/>
        <w:ind w:firstLine="0"/>
        <w:jc w:val="center"/>
      </w:pPr>
      <w:r>
        <w:rPr>
          <w:rFonts w:ascii="Times New Roman" w:hAnsi="Times New Roman"/>
          <w:b/>
          <w:sz w:val="20"/>
        </w:rPr>
        <w:t>Figura 1 – Dashboard Integrado de Análise de Rastreamento, Estados e Previsão Temporal</w:t>
      </w:r>
    </w:p>
    <w:p>
      <w:pPr>
        <w:spacing w:before="4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analise_comple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/>
          <w:sz w:val="20"/>
        </w:rPr>
        <w:t>Fonte: Elaborado pelos autores a partir das execuções do projeto (2026).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3. ANÁLISE COMPARATIVA E RESULTADOS</w:t>
      </w:r>
    </w:p>
    <w:p>
      <w:pPr>
        <w:ind w:firstLine="850"/>
        <w:jc w:val="both"/>
      </w:pPr>
      <w:r>
        <w:rPr>
          <w:rFonts w:ascii="Times New Roman" w:hAnsi="Times New Roman"/>
          <w:sz w:val="24"/>
        </w:rPr>
        <w:t>O desempenho das 6 abordagens — Random Forest Baseline, Filtro de Kalman Estendido (PoseEKF), Micro-LSTM, Micro-GRU, Temporal Transformer e a Rede Convolucional em Grafos Espaço-Temporais (T-GNN) — foi quantificado pelo Erro Quadrático Médio (RMSE em pixels) durante a janela exata de ocultação do alvo. Conforme explicitado na Figura 2, cada arquitetura manifesta aptidões distintas conforme a dinâmica do vídeo.</w:t>
      </w:r>
    </w:p>
    <w:p>
      <w:pPr>
        <w:spacing w:before="160" w:after="40" w:line="240" w:lineRule="auto"/>
        <w:ind w:firstLine="0"/>
        <w:jc w:val="center"/>
      </w:pPr>
      <w:r>
        <w:rPr>
          <w:rFonts w:ascii="Times New Roman" w:hAnsi="Times New Roman"/>
          <w:b/>
          <w:sz w:val="20"/>
        </w:rPr>
        <w:t>Figura 2 – Erro Médio de Posição (RMSE em pixels) sob Oclusão para as 6 Arquiteturas Avaliadas</w:t>
      </w:r>
    </w:p>
    <w:p>
      <w:pPr>
        <w:spacing w:before="4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43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omparativo_mode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>
      <w:pPr>
        <w:ind w:firstLine="850"/>
        <w:jc w:val="both"/>
      </w:pPr>
      <w:r>
        <w:rPr>
          <w:rFonts w:ascii="Times New Roman" w:hAnsi="Times New Roman"/>
          <w:sz w:val="24"/>
        </w:rPr>
        <w:t>No vídeo Real (bosque com anteparo de árvore de grande porte), o Random Forest residual (14,52 px), a T-GNN (43,52 px) e o EKF (43,63 px) obtiveram os desvios mais baixos, comprovando a eficácia de formulações inerciais em trajetórias contínuas. Em contrapartida, no cenário Rua (com perspectiva vertical e desaceleração aparente de afastamento), o Temporal Transformer alcançou a menor taxa de erro (119,39 px), superando o baseline empírico em razão da capacidade de seu mecanismo de auto-atenção multi-cabeça de modelar dinâmicas temporais complexas.</w:t>
      </w:r>
    </w:p>
    <w:p>
      <w:pPr>
        <w:ind w:firstLine="850"/>
        <w:jc w:val="both"/>
      </w:pPr>
      <w:r>
        <w:rPr>
          <w:rFonts w:ascii="Times New Roman" w:hAnsi="Times New Roman"/>
          <w:sz w:val="24"/>
        </w:rPr>
        <w:t>Adicionalmente, a consistência física e anatômica das trajetórias reconstruídas sob oclusão foi analisada no plano bidimensional, conforme exposto na Figura 3. Observa-se que a T-GNN e o Temporal Transformer preservam estritamente a proporcionalidade entre as articulações corporais, ao passo que o EKF com suavização cinemática assegura uma extrapolação suave e livre de oscilações ruidosas.</w:t>
      </w:r>
    </w:p>
    <w:p>
      <w:pPr>
        <w:spacing w:before="160" w:after="40" w:line="240" w:lineRule="auto"/>
        <w:ind w:firstLine="0"/>
        <w:jc w:val="center"/>
      </w:pPr>
      <w:r>
        <w:rPr>
          <w:rFonts w:ascii="Times New Roman" w:hAnsi="Times New Roman"/>
          <w:b/>
          <w:sz w:val="20"/>
        </w:rPr>
        <w:t>Figura 3 – Comparativo das Trajetórias Espaciais 2D (X versus Y em pixels) Projetadas sob Oclusão</w:t>
      </w:r>
    </w:p>
    <w:p>
      <w:pPr>
        <w:spacing w:before="4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949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trajetorias_2d_oclu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94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ind w:firstLine="0"/>
        <w:jc w:val="center"/>
      </w:pPr>
      <w:r>
        <w:rPr>
          <w:rFonts w:ascii="Times New Roman" w:hAnsi="Times New Roman"/>
          <w:sz w:val="20"/>
        </w:rPr>
        <w:t>Fonte: Elaborado pelos autores (2026).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4. CONSIDERAÇÕES FINAIS</w:t>
      </w:r>
    </w:p>
    <w:p>
      <w:pPr>
        <w:ind w:firstLine="850"/>
        <w:jc w:val="both"/>
      </w:pPr>
      <w:r>
        <w:rPr>
          <w:rFonts w:ascii="Times New Roman" w:hAnsi="Times New Roman"/>
          <w:sz w:val="24"/>
        </w:rPr>
        <w:t>A investigação desenvolvida comprova a viabilidade técnica e a alta precisão de micro-modelos neurais e cinemáticos aplicados ao problema de predição sob oclusão. Ao limitar a complexidade das arquiteturas para execução estrita em CPU com menos de 2.000 parâmetros por rede, foi possível alcançar inferências na ordem de milissegundos sem comprometer a estabilidade do rastreador. Como trabalhos futuros, recomenda-se a integração de informações de profundidade tridimensional estéreo (RGB-D) e a inclusão de modelos semânticos de segmentação para detecção antecipada de obstáculos no ambiente operacional.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>REFERÊNCIAS BIBLIOGRÁFICAS</w:t>
      </w:r>
    </w:p>
    <w:p>
      <w:pPr>
        <w:spacing w:before="0" w:after="120" w:line="240" w:lineRule="auto"/>
        <w:ind w:firstLine="0"/>
        <w:jc w:val="left"/>
      </w:pPr>
      <w:r>
        <w:rPr>
          <w:rFonts w:ascii="Times New Roman" w:hAnsi="Times New Roman"/>
          <w:sz w:val="24"/>
        </w:rPr>
        <w:t>ASSOCIAÇÃO BRASILEIRA DE NORMAS TÉCNICAS (ABNT). NBR 14724: Informação e documentação — Trabalhos acadêmicos — Apresentação. Rio de Janeiro: ABNT, 2011.</w:t>
      </w:r>
    </w:p>
    <w:p>
      <w:pPr>
        <w:spacing w:before="0" w:after="120" w:line="240" w:lineRule="auto"/>
        <w:ind w:firstLine="0"/>
        <w:jc w:val="left"/>
      </w:pPr>
      <w:r>
        <w:rPr>
          <w:rFonts w:ascii="Times New Roman" w:hAnsi="Times New Roman"/>
          <w:sz w:val="24"/>
        </w:rPr>
        <w:t>BREIMAN, Leo. Random Forests. Machine Learning, v. 45, n. 1, p. 5-32, 2001.</w:t>
      </w:r>
    </w:p>
    <w:p>
      <w:pPr>
        <w:spacing w:before="0" w:after="120" w:line="240" w:lineRule="auto"/>
        <w:ind w:firstLine="0"/>
        <w:jc w:val="left"/>
      </w:pPr>
      <w:r>
        <w:rPr>
          <w:rFonts w:ascii="Times New Roman" w:hAnsi="Times New Roman"/>
          <w:sz w:val="24"/>
        </w:rPr>
        <w:t>KIPF, Thomas N.; WELLING, Max. Semi-Supervised Classification with Graph Convolutional Networks. In: INTERNATIONAL CONFERENCE ON LEARNING REPRESENTATIONS (ICLR), 2017, Toulon. Anais [...]. Toulon: ICLR, 2017.</w:t>
      </w:r>
    </w:p>
    <w:p>
      <w:pPr>
        <w:spacing w:before="0" w:after="120" w:line="240" w:lineRule="auto"/>
        <w:ind w:firstLine="0"/>
        <w:jc w:val="left"/>
      </w:pPr>
      <w:r>
        <w:rPr>
          <w:rFonts w:ascii="Times New Roman" w:hAnsi="Times New Roman"/>
          <w:sz w:val="24"/>
        </w:rPr>
        <w:t>LUGARESI, Camillo et al. MediaPipe: A Framework for Building Perception Pipelines. arXiv preprint arXiv:1906.08172, 2019.</w:t>
      </w:r>
    </w:p>
    <w:p>
      <w:pPr>
        <w:spacing w:before="0" w:after="120" w:line="240" w:lineRule="auto"/>
        <w:ind w:firstLine="0"/>
        <w:jc w:val="left"/>
      </w:pPr>
      <w:r>
        <w:rPr>
          <w:rFonts w:ascii="Times New Roman" w:hAnsi="Times New Roman"/>
          <w:sz w:val="24"/>
        </w:rPr>
        <w:t>REN, Shaoqing et al. Faster R-CNN: Towards Real-Time Object Detection with Region Proposal Networks. IEEE Transactions on Pattern Analysis and Machine Intelligence, v. 39, n. 6, p. 1137-1149, 2017.</w:t>
      </w:r>
    </w:p>
    <w:p>
      <w:pPr>
        <w:spacing w:before="0" w:after="120" w:line="240" w:lineRule="auto"/>
        <w:ind w:firstLine="0"/>
        <w:jc w:val="left"/>
      </w:pPr>
      <w:r>
        <w:rPr>
          <w:rFonts w:ascii="Times New Roman" w:hAnsi="Times New Roman"/>
          <w:sz w:val="24"/>
        </w:rPr>
        <w:t>VASWANI, Ashish et al. Attention Is All You Need. In: ADVANCES IN NEURAL INFORMATION PROCESSING SYSTEMS (NeurIPS), 30., 2017, Long Beach. Anais [...]. Long Beach: Curran Associates, 2017. p. 5998-6008.</w:t>
      </w:r>
    </w:p>
    <w:p>
      <w:pPr>
        <w:spacing w:before="0" w:after="120" w:line="240" w:lineRule="auto"/>
        <w:ind w:firstLine="0"/>
        <w:jc w:val="left"/>
      </w:pPr>
      <w:r>
        <w:rPr>
          <w:rFonts w:ascii="Times New Roman" w:hAnsi="Times New Roman"/>
          <w:sz w:val="24"/>
        </w:rPr>
        <w:t>WELCH, Greg; BISHOP, Gary. An Introduction to the Kalman Filter. Chapel Hill: University of North Carolina at Chapel Hill, 2006.</w:t>
      </w:r>
    </w:p>
    <w:sectPr w:rsidR="00FC693F" w:rsidRPr="0006063C" w:rsidSect="00034616">
      <w:footerReference w:type="default" r:id="rId12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both"/>
    </w:pPr>
    <w:r>
      <w:rPr>
        <w:rFonts w:ascii="Times New Roman" w:hAnsi="Times New Roman"/>
        <w:sz w:val="20"/>
      </w:rPr>
      <w:t>¹ Mini currículo dos autores: Graduandos / Pesquisadores em Inteligência Artificial e Visão Computacional. Contato: autor@faculdade.br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